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2E7C9137" w:rsidR="002D190A" w:rsidRDefault="002D190A" w:rsidP="00CD113F">
      <w:pPr>
        <w:spacing w:after="240"/>
        <w:ind w:left="6372"/>
        <w:rPr>
          <w:sz w:val="22"/>
        </w:rPr>
      </w:pPr>
      <w:bookmarkStart w:id="0" w:name="_Hlk150164254"/>
      <w:bookmarkEnd w:id="0"/>
      <w:r>
        <w:rPr>
          <w:sz w:val="22"/>
        </w:rPr>
        <w:t xml:space="preserve">Warszawa, </w:t>
      </w:r>
      <w:r w:rsidR="009716C3">
        <w:rPr>
          <w:sz w:val="22"/>
        </w:rPr>
        <w:t>05.03</w:t>
      </w:r>
      <w:r w:rsidR="00263BB5" w:rsidRPr="00263BB5">
        <w:rPr>
          <w:sz w:val="22"/>
        </w:rPr>
        <w:t>.202</w:t>
      </w:r>
      <w:r w:rsidR="00DD7138">
        <w:rPr>
          <w:sz w:val="22"/>
        </w:rPr>
        <w:t>4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4EB12C32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 w:rsidR="00172E5B">
        <w:rPr>
          <w:b/>
          <w:bCs/>
          <w:sz w:val="24"/>
          <w:szCs w:val="24"/>
        </w:rPr>
        <w:t>58,5</w:t>
      </w:r>
      <w:r w:rsidR="001D3DE7" w:rsidRPr="00C00D06">
        <w:rPr>
          <w:b/>
          <w:bCs/>
          <w:sz w:val="24"/>
          <w:szCs w:val="24"/>
        </w:rPr>
        <w:t>%</w:t>
      </w:r>
      <w:r w:rsidR="00B12F66">
        <w:rPr>
          <w:b/>
          <w:bCs/>
          <w:sz w:val="24"/>
          <w:szCs w:val="24"/>
        </w:rPr>
        <w:t xml:space="preserve"> r/r</w:t>
      </w:r>
      <w:r w:rsidR="001D3DE7" w:rsidRPr="00C00D06">
        <w:rPr>
          <w:b/>
          <w:bCs/>
          <w:sz w:val="24"/>
          <w:szCs w:val="24"/>
        </w:rPr>
        <w:t xml:space="preserve"> </w:t>
      </w:r>
      <w:r w:rsidR="005A0391">
        <w:rPr>
          <w:b/>
          <w:bCs/>
          <w:sz w:val="24"/>
          <w:szCs w:val="24"/>
        </w:rPr>
        <w:t>wzrosła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A95245">
        <w:rPr>
          <w:b/>
          <w:bCs/>
          <w:sz w:val="24"/>
          <w:szCs w:val="24"/>
        </w:rPr>
        <w:t xml:space="preserve">w </w:t>
      </w:r>
      <w:r w:rsidR="00A236BB">
        <w:rPr>
          <w:b/>
          <w:bCs/>
          <w:sz w:val="24"/>
          <w:szCs w:val="24"/>
        </w:rPr>
        <w:t>lutym</w:t>
      </w:r>
      <w:r w:rsidR="007B01BF">
        <w:rPr>
          <w:b/>
          <w:bCs/>
          <w:sz w:val="24"/>
          <w:szCs w:val="24"/>
        </w:rPr>
        <w:t xml:space="preserve"> </w:t>
      </w:r>
      <w:r w:rsidR="00B3797A">
        <w:rPr>
          <w:b/>
          <w:bCs/>
          <w:sz w:val="24"/>
          <w:szCs w:val="24"/>
        </w:rPr>
        <w:t>202</w:t>
      </w:r>
      <w:r w:rsidR="00CE4C3D">
        <w:rPr>
          <w:b/>
          <w:bCs/>
          <w:sz w:val="24"/>
          <w:szCs w:val="24"/>
        </w:rPr>
        <w:t>4</w:t>
      </w:r>
      <w:r w:rsidR="00B3797A">
        <w:rPr>
          <w:b/>
          <w:bCs/>
          <w:sz w:val="24"/>
          <w:szCs w:val="24"/>
        </w:rPr>
        <w:t xml:space="preserve"> r. </w:t>
      </w:r>
      <w:bookmarkStart w:id="1" w:name="_Hlk73698368"/>
      <w:r w:rsidR="001102F7">
        <w:rPr>
          <w:b/>
          <w:bCs/>
          <w:sz w:val="24"/>
          <w:szCs w:val="24"/>
        </w:rPr>
        <w:t xml:space="preserve">– informuje </w:t>
      </w:r>
      <w:r w:rsidR="001D3DE7" w:rsidRPr="00263BB5">
        <w:rPr>
          <w:b/>
          <w:bCs/>
          <w:sz w:val="23"/>
          <w:szCs w:val="23"/>
        </w:rPr>
        <w:t>BIK Indeks Popytu na Kredyty Mieszkaniowe</w:t>
      </w:r>
      <w:r w:rsidR="001102F7">
        <w:rPr>
          <w:b/>
          <w:bCs/>
          <w:sz w:val="23"/>
          <w:szCs w:val="23"/>
        </w:rPr>
        <w:t xml:space="preserve">. </w:t>
      </w:r>
      <w:r w:rsidR="001D3DE7" w:rsidRPr="00263BB5">
        <w:rPr>
          <w:b/>
          <w:bCs/>
          <w:sz w:val="23"/>
          <w:szCs w:val="23"/>
        </w:rPr>
        <w:t xml:space="preserve">Wartość Indeksu oznacza, że </w:t>
      </w:r>
      <w:r w:rsidR="00A95245">
        <w:rPr>
          <w:b/>
          <w:bCs/>
          <w:sz w:val="23"/>
          <w:szCs w:val="23"/>
        </w:rPr>
        <w:t xml:space="preserve">w </w:t>
      </w:r>
      <w:r w:rsidR="00A236BB">
        <w:rPr>
          <w:b/>
          <w:bCs/>
          <w:sz w:val="23"/>
          <w:szCs w:val="23"/>
        </w:rPr>
        <w:t>lutym</w:t>
      </w:r>
      <w:r w:rsidR="007B01BF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CE4C3D">
        <w:rPr>
          <w:b/>
          <w:bCs/>
          <w:sz w:val="23"/>
          <w:szCs w:val="23"/>
        </w:rPr>
        <w:t>4</w:t>
      </w:r>
      <w:r w:rsidR="001D3DE7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5A0391">
        <w:rPr>
          <w:b/>
          <w:bCs/>
          <w:sz w:val="23"/>
          <w:szCs w:val="23"/>
        </w:rPr>
        <w:t>wyższą</w:t>
      </w:r>
      <w:r w:rsidR="001D3DE7" w:rsidRPr="00263BB5">
        <w:rPr>
          <w:b/>
          <w:bCs/>
          <w:sz w:val="23"/>
          <w:szCs w:val="23"/>
        </w:rPr>
        <w:t xml:space="preserve"> o </w:t>
      </w:r>
      <w:r w:rsidR="00172E5B">
        <w:rPr>
          <w:b/>
          <w:bCs/>
          <w:sz w:val="24"/>
          <w:szCs w:val="24"/>
        </w:rPr>
        <w:t>58,5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A236BB">
        <w:rPr>
          <w:b/>
          <w:bCs/>
          <w:sz w:val="23"/>
          <w:szCs w:val="23"/>
        </w:rPr>
        <w:t>lutego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CE4C3D">
        <w:rPr>
          <w:b/>
          <w:bCs/>
          <w:sz w:val="23"/>
          <w:szCs w:val="23"/>
        </w:rPr>
        <w:t>3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1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5700EC0A" w:rsidR="001D3DE7" w:rsidRDefault="00A95245" w:rsidP="001D3DE7">
      <w:pPr>
        <w:jc w:val="both"/>
        <w:rPr>
          <w:szCs w:val="20"/>
        </w:rPr>
      </w:pPr>
      <w:r>
        <w:rPr>
          <w:szCs w:val="20"/>
        </w:rPr>
        <w:t xml:space="preserve">W </w:t>
      </w:r>
      <w:r w:rsidR="00A236BB">
        <w:rPr>
          <w:szCs w:val="20"/>
        </w:rPr>
        <w:t>lutym</w:t>
      </w:r>
      <w:r w:rsidR="001D3DE7" w:rsidRPr="00C00D06">
        <w:rPr>
          <w:szCs w:val="20"/>
        </w:rPr>
        <w:t xml:space="preserve"> 202</w:t>
      </w:r>
      <w:r w:rsidR="00CE4C3D">
        <w:rPr>
          <w:szCs w:val="20"/>
        </w:rPr>
        <w:t>4</w:t>
      </w:r>
      <w:r w:rsidR="001D3DE7" w:rsidRPr="00C00D06">
        <w:rPr>
          <w:szCs w:val="20"/>
        </w:rPr>
        <w:t xml:space="preserve"> r. o kredyt mieszkaniowy wnioskowało </w:t>
      </w:r>
      <w:r w:rsidR="00CE4C3D">
        <w:rPr>
          <w:szCs w:val="20"/>
        </w:rPr>
        <w:t>2</w:t>
      </w:r>
      <w:r w:rsidR="00172E5B">
        <w:rPr>
          <w:szCs w:val="20"/>
        </w:rPr>
        <w:t>6,66</w:t>
      </w:r>
      <w:r w:rsidR="001D3DE7" w:rsidRPr="00C00D06">
        <w:rPr>
          <w:szCs w:val="20"/>
        </w:rPr>
        <w:t xml:space="preserve"> tys. potencjalnych kredytobiorców w porównaniu do </w:t>
      </w:r>
      <w:r w:rsidR="00172E5B">
        <w:rPr>
          <w:szCs w:val="20"/>
        </w:rPr>
        <w:t>19,02</w:t>
      </w:r>
      <w:r w:rsidR="001D3DE7" w:rsidRPr="00C00D06">
        <w:rPr>
          <w:szCs w:val="20"/>
        </w:rPr>
        <w:t xml:space="preserve"> tys. rok wcześniej</w:t>
      </w:r>
      <w:r w:rsidR="00FB0C02">
        <w:rPr>
          <w:szCs w:val="20"/>
        </w:rPr>
        <w:t>, co przekłada się na</w:t>
      </w:r>
      <w:r w:rsidR="001D3DE7" w:rsidRPr="00C00D06">
        <w:rPr>
          <w:szCs w:val="20"/>
        </w:rPr>
        <w:t xml:space="preserve"> </w:t>
      </w:r>
      <w:r w:rsidR="00024264">
        <w:rPr>
          <w:szCs w:val="20"/>
        </w:rPr>
        <w:t>wzrost</w:t>
      </w:r>
      <w:r w:rsidR="001D3DE7" w:rsidRPr="00C00D06">
        <w:rPr>
          <w:szCs w:val="20"/>
        </w:rPr>
        <w:t xml:space="preserve"> </w:t>
      </w:r>
      <w:r w:rsidR="00ED659C">
        <w:rPr>
          <w:szCs w:val="20"/>
        </w:rPr>
        <w:t xml:space="preserve">r/r </w:t>
      </w:r>
      <w:r w:rsidR="00194C6A">
        <w:rPr>
          <w:szCs w:val="20"/>
        </w:rPr>
        <w:t xml:space="preserve">o </w:t>
      </w:r>
      <w:r w:rsidR="00172E5B">
        <w:rPr>
          <w:szCs w:val="20"/>
        </w:rPr>
        <w:t>40,1</w:t>
      </w:r>
      <w:r w:rsidR="001D3DE7" w:rsidRPr="00C00D06">
        <w:rPr>
          <w:szCs w:val="20"/>
        </w:rPr>
        <w:t xml:space="preserve">%. </w:t>
      </w:r>
      <w:r w:rsidR="00EF146F">
        <w:rPr>
          <w:szCs w:val="20"/>
        </w:rPr>
        <w:t>W</w:t>
      </w:r>
      <w:r w:rsidR="001D3DE7" w:rsidRPr="00C00D06">
        <w:rPr>
          <w:szCs w:val="20"/>
        </w:rPr>
        <w:t xml:space="preserve"> porównaniu do </w:t>
      </w:r>
      <w:r w:rsidR="00172E5B">
        <w:rPr>
          <w:szCs w:val="20"/>
        </w:rPr>
        <w:t>stycznia</w:t>
      </w:r>
      <w:r w:rsidR="002D4B49">
        <w:rPr>
          <w:szCs w:val="20"/>
        </w:rPr>
        <w:t xml:space="preserve"> </w:t>
      </w:r>
      <w:r w:rsidR="001D3DE7">
        <w:rPr>
          <w:szCs w:val="20"/>
        </w:rPr>
        <w:t>202</w:t>
      </w:r>
      <w:r w:rsidR="00172E5B">
        <w:rPr>
          <w:szCs w:val="20"/>
        </w:rPr>
        <w:t>4</w:t>
      </w:r>
      <w:r w:rsidR="001D3DE7">
        <w:rPr>
          <w:szCs w:val="20"/>
        </w:rPr>
        <w:t xml:space="preserve"> r.</w:t>
      </w:r>
      <w:r w:rsidR="001D3DE7"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="001D3DE7" w:rsidRPr="00C00D06">
        <w:rPr>
          <w:szCs w:val="20"/>
        </w:rPr>
        <w:t xml:space="preserve">osób wnioskujących o kredyt mieszkaniowy </w:t>
      </w:r>
      <w:r w:rsidR="00172E5B">
        <w:rPr>
          <w:szCs w:val="20"/>
        </w:rPr>
        <w:t>wzrosła</w:t>
      </w:r>
      <w:r w:rsidR="00060A9E">
        <w:rPr>
          <w:szCs w:val="20"/>
        </w:rPr>
        <w:t xml:space="preserve"> </w:t>
      </w:r>
      <w:r w:rsidR="001D3DE7" w:rsidRPr="00C00D06">
        <w:rPr>
          <w:szCs w:val="20"/>
        </w:rPr>
        <w:t xml:space="preserve">o </w:t>
      </w:r>
      <w:r w:rsidR="00172E5B">
        <w:rPr>
          <w:szCs w:val="20"/>
        </w:rPr>
        <w:t>18,1</w:t>
      </w:r>
      <w:r w:rsidR="001D3DE7" w:rsidRPr="00C00D06">
        <w:rPr>
          <w:szCs w:val="20"/>
        </w:rPr>
        <w:t xml:space="preserve">%. </w:t>
      </w:r>
    </w:p>
    <w:p w14:paraId="14A5F2D5" w14:textId="77777777" w:rsidR="003A5C50" w:rsidRDefault="003A5C50" w:rsidP="001D3DE7">
      <w:pPr>
        <w:jc w:val="both"/>
        <w:rPr>
          <w:szCs w:val="20"/>
        </w:rPr>
      </w:pPr>
    </w:p>
    <w:p w14:paraId="34F5606F" w14:textId="1CCC5BEC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wyniosła </w:t>
      </w:r>
      <w:r w:rsidR="00906133">
        <w:rPr>
          <w:szCs w:val="20"/>
        </w:rPr>
        <w:t xml:space="preserve">w </w:t>
      </w:r>
      <w:r w:rsidR="00A236BB">
        <w:rPr>
          <w:szCs w:val="20"/>
        </w:rPr>
        <w:t>lutym</w:t>
      </w:r>
      <w:r w:rsidR="00CE4C3D">
        <w:rPr>
          <w:szCs w:val="20"/>
        </w:rPr>
        <w:t xml:space="preserve"> 2024 r.</w:t>
      </w:r>
      <w:r w:rsidR="00906133" w:rsidRPr="00C00D06">
        <w:rPr>
          <w:szCs w:val="20"/>
        </w:rPr>
        <w:t xml:space="preserve"> </w:t>
      </w:r>
      <w:r w:rsidR="00172E5B">
        <w:rPr>
          <w:szCs w:val="20"/>
        </w:rPr>
        <w:t>427,22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 w:rsidR="005F680C">
        <w:rPr>
          <w:szCs w:val="20"/>
        </w:rPr>
        <w:t>wyższa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172E5B">
        <w:rPr>
          <w:szCs w:val="20"/>
        </w:rPr>
        <w:t>18,8</w:t>
      </w:r>
      <w:r w:rsidRPr="00C00D06">
        <w:rPr>
          <w:szCs w:val="20"/>
        </w:rPr>
        <w:t xml:space="preserve">% </w:t>
      </w:r>
      <w:r w:rsidR="009139B6">
        <w:rPr>
          <w:szCs w:val="20"/>
        </w:rPr>
        <w:t>niż w</w:t>
      </w:r>
      <w:r w:rsidRPr="00C00D06">
        <w:rPr>
          <w:szCs w:val="20"/>
        </w:rPr>
        <w:t xml:space="preserve"> </w:t>
      </w:r>
      <w:r w:rsidR="00A236BB">
        <w:rPr>
          <w:szCs w:val="20"/>
        </w:rPr>
        <w:t>lutym</w:t>
      </w:r>
      <w:r w:rsidRPr="00C00D06">
        <w:rPr>
          <w:szCs w:val="20"/>
        </w:rPr>
        <w:t xml:space="preserve"> 202</w:t>
      </w:r>
      <w:r w:rsidR="00CE4C3D">
        <w:rPr>
          <w:szCs w:val="20"/>
        </w:rPr>
        <w:t>3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172E5B">
        <w:rPr>
          <w:szCs w:val="20"/>
        </w:rPr>
        <w:t xml:space="preserve">stycznia 2024 </w:t>
      </w:r>
      <w:r w:rsidRPr="00C00D06">
        <w:rPr>
          <w:szCs w:val="20"/>
        </w:rPr>
        <w:t xml:space="preserve">r. </w:t>
      </w:r>
      <w:r w:rsidR="00172E5B">
        <w:rPr>
          <w:szCs w:val="20"/>
        </w:rPr>
        <w:t>nieznacznie wzrosła</w:t>
      </w:r>
      <w:r w:rsidR="00ED659C">
        <w:rPr>
          <w:szCs w:val="20"/>
        </w:rPr>
        <w:t xml:space="preserve"> </w:t>
      </w:r>
      <w:r w:rsidR="00140130">
        <w:rPr>
          <w:szCs w:val="20"/>
        </w:rPr>
        <w:t xml:space="preserve">o </w:t>
      </w:r>
      <w:r w:rsidR="00172E5B">
        <w:rPr>
          <w:szCs w:val="20"/>
        </w:rPr>
        <w:t>0,</w:t>
      </w:r>
      <w:r w:rsidR="00A40551">
        <w:rPr>
          <w:szCs w:val="20"/>
        </w:rPr>
        <w:t>1</w:t>
      </w:r>
      <w:r w:rsidR="00140130">
        <w:rPr>
          <w:szCs w:val="20"/>
        </w:rPr>
        <w:t>%</w:t>
      </w:r>
      <w:r w:rsidR="00C45493">
        <w:rPr>
          <w:szCs w:val="20"/>
        </w:rPr>
        <w:t>.</w:t>
      </w:r>
    </w:p>
    <w:p w14:paraId="1BD04E77" w14:textId="77777777" w:rsidR="00060A9E" w:rsidRDefault="00060A9E" w:rsidP="00610A4A">
      <w:pPr>
        <w:jc w:val="both"/>
        <w:rPr>
          <w:i/>
          <w:szCs w:val="20"/>
        </w:rPr>
      </w:pPr>
    </w:p>
    <w:p w14:paraId="4782726A" w14:textId="77777777" w:rsidR="00373BFB" w:rsidRDefault="007731CA" w:rsidP="00610A4A">
      <w:pPr>
        <w:jc w:val="both"/>
        <w:rPr>
          <w:iCs/>
          <w:szCs w:val="20"/>
        </w:rPr>
      </w:pPr>
      <w:r w:rsidRPr="003A5C50">
        <w:rPr>
          <w:iCs/>
          <w:szCs w:val="20"/>
        </w:rPr>
        <w:t>Potencjaln</w:t>
      </w:r>
      <w:r w:rsidR="00906133" w:rsidRPr="003A5C50">
        <w:rPr>
          <w:iCs/>
          <w:szCs w:val="20"/>
        </w:rPr>
        <w:t>i</w:t>
      </w:r>
      <w:r w:rsidRPr="003A5C50">
        <w:rPr>
          <w:iCs/>
          <w:szCs w:val="20"/>
        </w:rPr>
        <w:t xml:space="preserve"> kredytobiorcy złożyli </w:t>
      </w:r>
      <w:r w:rsidR="00A95245" w:rsidRPr="003A5C50">
        <w:rPr>
          <w:iCs/>
          <w:szCs w:val="20"/>
        </w:rPr>
        <w:t xml:space="preserve">w </w:t>
      </w:r>
      <w:r w:rsidR="00A236BB">
        <w:rPr>
          <w:iCs/>
          <w:szCs w:val="20"/>
        </w:rPr>
        <w:t>lutym</w:t>
      </w:r>
      <w:r w:rsidR="005A3102" w:rsidRPr="003A5C50">
        <w:rPr>
          <w:iCs/>
          <w:szCs w:val="20"/>
        </w:rPr>
        <w:t xml:space="preserve"> </w:t>
      </w:r>
      <w:r w:rsidR="00A40551" w:rsidRPr="003A5C50">
        <w:rPr>
          <w:iCs/>
          <w:szCs w:val="20"/>
        </w:rPr>
        <w:t>202</w:t>
      </w:r>
      <w:r w:rsidR="00CE4C3D" w:rsidRPr="003A5C50">
        <w:rPr>
          <w:iCs/>
          <w:szCs w:val="20"/>
        </w:rPr>
        <w:t>4</w:t>
      </w:r>
      <w:r w:rsidRPr="003A5C50">
        <w:rPr>
          <w:iCs/>
          <w:szCs w:val="20"/>
        </w:rPr>
        <w:t xml:space="preserve"> roku wnioski kredytowe na wartość </w:t>
      </w:r>
      <w:r w:rsidR="00A40551" w:rsidRPr="003A5C50">
        <w:rPr>
          <w:iCs/>
          <w:szCs w:val="20"/>
        </w:rPr>
        <w:t xml:space="preserve">ponad </w:t>
      </w:r>
      <w:r w:rsidR="00BE5D76">
        <w:rPr>
          <w:iCs/>
          <w:szCs w:val="20"/>
        </w:rPr>
        <w:t>58</w:t>
      </w:r>
      <w:r w:rsidR="00CE4C3D" w:rsidRPr="003A5C50">
        <w:rPr>
          <w:iCs/>
          <w:szCs w:val="20"/>
        </w:rPr>
        <w:t>%</w:t>
      </w:r>
      <w:r w:rsidRPr="003A5C50">
        <w:rPr>
          <w:iCs/>
          <w:szCs w:val="20"/>
        </w:rPr>
        <w:t xml:space="preserve"> wyższą niż rok</w:t>
      </w:r>
      <w:r w:rsidR="00A40551" w:rsidRPr="003A5C50">
        <w:rPr>
          <w:iCs/>
          <w:szCs w:val="20"/>
        </w:rPr>
        <w:t xml:space="preserve"> wcześniej</w:t>
      </w:r>
      <w:r w:rsidRPr="003A5C50">
        <w:rPr>
          <w:iCs/>
          <w:szCs w:val="20"/>
        </w:rPr>
        <w:t>.</w:t>
      </w:r>
      <w:r w:rsidR="005A3102" w:rsidRPr="003A5C50">
        <w:rPr>
          <w:iCs/>
          <w:szCs w:val="20"/>
        </w:rPr>
        <w:t xml:space="preserve"> </w:t>
      </w:r>
    </w:p>
    <w:p w14:paraId="7A38177B" w14:textId="3764F5ED" w:rsidR="00FB0C02" w:rsidRPr="00373BFB" w:rsidRDefault="00373BFB" w:rsidP="00610A4A">
      <w:pPr>
        <w:jc w:val="both"/>
        <w:rPr>
          <w:i/>
          <w:szCs w:val="20"/>
        </w:rPr>
      </w:pPr>
      <w:r w:rsidRPr="00373BFB">
        <w:rPr>
          <w:i/>
          <w:szCs w:val="20"/>
        </w:rPr>
        <w:t xml:space="preserve">- </w:t>
      </w:r>
      <w:r w:rsidR="005F0CE4" w:rsidRPr="00373BFB">
        <w:rPr>
          <w:i/>
          <w:szCs w:val="20"/>
        </w:rPr>
        <w:t xml:space="preserve">Popyt na kredyty mieszkaniowe wyhamował po </w:t>
      </w:r>
      <w:r w:rsidRPr="00373BFB">
        <w:rPr>
          <w:i/>
          <w:szCs w:val="20"/>
        </w:rPr>
        <w:t>zakończeniu</w:t>
      </w:r>
      <w:r w:rsidR="005F0CE4" w:rsidRPr="00373BFB">
        <w:rPr>
          <w:i/>
          <w:szCs w:val="20"/>
        </w:rPr>
        <w:t xml:space="preserve"> przyjmowania wniosków w ramach Programu B</w:t>
      </w:r>
      <w:r w:rsidR="00212052" w:rsidRPr="00373BFB">
        <w:rPr>
          <w:i/>
          <w:szCs w:val="20"/>
        </w:rPr>
        <w:t xml:space="preserve">ezpieczny </w:t>
      </w:r>
      <w:r w:rsidR="005F0CE4" w:rsidRPr="00373BFB">
        <w:rPr>
          <w:i/>
          <w:szCs w:val="20"/>
        </w:rPr>
        <w:t>K</w:t>
      </w:r>
      <w:r w:rsidR="00212052" w:rsidRPr="00373BFB">
        <w:rPr>
          <w:i/>
          <w:szCs w:val="20"/>
        </w:rPr>
        <w:t>redyt</w:t>
      </w:r>
      <w:r w:rsidR="005F0CE4" w:rsidRPr="00373BFB">
        <w:rPr>
          <w:i/>
          <w:szCs w:val="20"/>
        </w:rPr>
        <w:t xml:space="preserve"> 2%</w:t>
      </w:r>
      <w:r w:rsidRPr="00373BFB">
        <w:rPr>
          <w:i/>
          <w:szCs w:val="20"/>
        </w:rPr>
        <w:t xml:space="preserve"> i jest obecnie niższy niż w II półroczu 2023 roku, ale jednak </w:t>
      </w:r>
      <w:r w:rsidR="00E636F8">
        <w:rPr>
          <w:i/>
          <w:szCs w:val="20"/>
        </w:rPr>
        <w:t>pozostaje</w:t>
      </w:r>
      <w:r w:rsidRPr="00373BFB">
        <w:rPr>
          <w:i/>
          <w:szCs w:val="20"/>
        </w:rPr>
        <w:t xml:space="preserve"> on wyraźnie wyższy (o 30-40%) niż </w:t>
      </w:r>
      <w:r w:rsidR="00795FD7">
        <w:rPr>
          <w:i/>
          <w:szCs w:val="20"/>
        </w:rPr>
        <w:t xml:space="preserve">w miesiącach </w:t>
      </w:r>
      <w:r w:rsidRPr="00373BFB">
        <w:rPr>
          <w:i/>
          <w:szCs w:val="20"/>
        </w:rPr>
        <w:t>przed lipcem ubiegłego roku</w:t>
      </w:r>
      <w:r w:rsidR="000F6269" w:rsidRPr="00373BFB">
        <w:rPr>
          <w:i/>
          <w:szCs w:val="20"/>
        </w:rPr>
        <w:t>.</w:t>
      </w:r>
    </w:p>
    <w:p w14:paraId="02D7062B" w14:textId="77777777" w:rsidR="00E636F8" w:rsidRDefault="00373BFB" w:rsidP="00610A4A">
      <w:pPr>
        <w:jc w:val="both"/>
        <w:rPr>
          <w:i/>
          <w:szCs w:val="20"/>
        </w:rPr>
      </w:pPr>
      <w:r>
        <w:rPr>
          <w:i/>
          <w:szCs w:val="20"/>
        </w:rPr>
        <w:t>Istotnym</w:t>
      </w:r>
      <w:r w:rsidR="00F45BF7" w:rsidRPr="00F45BF7">
        <w:rPr>
          <w:i/>
          <w:szCs w:val="20"/>
        </w:rPr>
        <w:t xml:space="preserve"> czynnik</w:t>
      </w:r>
      <w:r>
        <w:rPr>
          <w:i/>
          <w:szCs w:val="20"/>
        </w:rPr>
        <w:t>iem</w:t>
      </w:r>
      <w:r w:rsidR="00F45BF7" w:rsidRPr="00F45BF7">
        <w:rPr>
          <w:i/>
          <w:szCs w:val="20"/>
        </w:rPr>
        <w:t xml:space="preserve"> wpływający</w:t>
      </w:r>
      <w:r w:rsidR="00E636F8">
        <w:rPr>
          <w:i/>
          <w:szCs w:val="20"/>
        </w:rPr>
        <w:t>m</w:t>
      </w:r>
      <w:r w:rsidR="00F45BF7" w:rsidRPr="00F45BF7">
        <w:rPr>
          <w:i/>
          <w:szCs w:val="20"/>
        </w:rPr>
        <w:t xml:space="preserve"> na wartość bieżącego odczytu Indeksu</w:t>
      </w:r>
      <w:r>
        <w:rPr>
          <w:i/>
          <w:szCs w:val="20"/>
        </w:rPr>
        <w:t xml:space="preserve"> Popytu</w:t>
      </w:r>
      <w:r w:rsidR="00F45BF7" w:rsidRPr="00F45BF7">
        <w:rPr>
          <w:i/>
          <w:szCs w:val="20"/>
        </w:rPr>
        <w:t xml:space="preserve"> </w:t>
      </w:r>
      <w:r w:rsidR="00764CC6">
        <w:rPr>
          <w:i/>
          <w:szCs w:val="20"/>
        </w:rPr>
        <w:t xml:space="preserve">jest </w:t>
      </w:r>
      <w:r w:rsidR="007731CA">
        <w:rPr>
          <w:i/>
          <w:szCs w:val="20"/>
        </w:rPr>
        <w:t>większa</w:t>
      </w:r>
      <w:r w:rsidR="00251A65">
        <w:rPr>
          <w:i/>
          <w:szCs w:val="20"/>
        </w:rPr>
        <w:t xml:space="preserve"> </w:t>
      </w:r>
      <w:r w:rsidR="007731CA">
        <w:rPr>
          <w:i/>
          <w:szCs w:val="20"/>
        </w:rPr>
        <w:t xml:space="preserve">liczba </w:t>
      </w:r>
      <w:r w:rsidR="000F6269">
        <w:rPr>
          <w:i/>
          <w:szCs w:val="20"/>
        </w:rPr>
        <w:t>osób wnioskujących o kredyt mieszkaniowy</w:t>
      </w:r>
      <w:r w:rsidR="00931C05">
        <w:rPr>
          <w:i/>
          <w:szCs w:val="20"/>
        </w:rPr>
        <w:t>, która</w:t>
      </w:r>
      <w:r w:rsidR="007731CA">
        <w:rPr>
          <w:i/>
          <w:szCs w:val="20"/>
        </w:rPr>
        <w:t xml:space="preserve"> </w:t>
      </w:r>
      <w:r w:rsidR="00931C05">
        <w:rPr>
          <w:i/>
          <w:szCs w:val="20"/>
        </w:rPr>
        <w:t>w</w:t>
      </w:r>
      <w:r w:rsidR="007731CA">
        <w:rPr>
          <w:i/>
          <w:szCs w:val="20"/>
        </w:rPr>
        <w:t xml:space="preserve">zrosła z </w:t>
      </w:r>
      <w:r>
        <w:rPr>
          <w:i/>
          <w:szCs w:val="20"/>
        </w:rPr>
        <w:t>19,02</w:t>
      </w:r>
      <w:r w:rsidR="002959B1">
        <w:rPr>
          <w:i/>
          <w:szCs w:val="20"/>
        </w:rPr>
        <w:t xml:space="preserve"> tysi</w:t>
      </w:r>
      <w:r w:rsidR="00931C05">
        <w:rPr>
          <w:i/>
          <w:szCs w:val="20"/>
        </w:rPr>
        <w:t>ę</w:t>
      </w:r>
      <w:r w:rsidR="002959B1">
        <w:rPr>
          <w:i/>
          <w:szCs w:val="20"/>
        </w:rPr>
        <w:t>c</w:t>
      </w:r>
      <w:r w:rsidR="00931C05">
        <w:rPr>
          <w:i/>
          <w:szCs w:val="20"/>
        </w:rPr>
        <w:t>y</w:t>
      </w:r>
      <w:r w:rsidR="002959B1">
        <w:rPr>
          <w:i/>
          <w:szCs w:val="20"/>
        </w:rPr>
        <w:t xml:space="preserve"> </w:t>
      </w:r>
      <w:r w:rsidR="00A95245">
        <w:rPr>
          <w:i/>
          <w:szCs w:val="20"/>
        </w:rPr>
        <w:t xml:space="preserve">w </w:t>
      </w:r>
      <w:r w:rsidR="00A236BB">
        <w:rPr>
          <w:i/>
          <w:szCs w:val="20"/>
        </w:rPr>
        <w:t>lutym</w:t>
      </w:r>
      <w:r w:rsidR="002959B1">
        <w:rPr>
          <w:i/>
          <w:szCs w:val="20"/>
        </w:rPr>
        <w:t xml:space="preserve"> </w:t>
      </w:r>
      <w:r w:rsidR="00A40551">
        <w:rPr>
          <w:i/>
          <w:szCs w:val="20"/>
        </w:rPr>
        <w:t>202</w:t>
      </w:r>
      <w:r w:rsidR="00CE4C3D">
        <w:rPr>
          <w:i/>
          <w:szCs w:val="20"/>
        </w:rPr>
        <w:t>3</w:t>
      </w:r>
      <w:r w:rsidR="004A39F3">
        <w:rPr>
          <w:i/>
          <w:szCs w:val="20"/>
        </w:rPr>
        <w:t xml:space="preserve"> roku do </w:t>
      </w:r>
      <w:r>
        <w:rPr>
          <w:i/>
          <w:szCs w:val="20"/>
        </w:rPr>
        <w:t>26,66</w:t>
      </w:r>
      <w:r w:rsidR="007731CA">
        <w:rPr>
          <w:i/>
          <w:szCs w:val="20"/>
        </w:rPr>
        <w:t xml:space="preserve"> </w:t>
      </w:r>
      <w:r w:rsidR="005A3102">
        <w:rPr>
          <w:i/>
          <w:szCs w:val="20"/>
        </w:rPr>
        <w:t>tysięcy</w:t>
      </w:r>
      <w:r w:rsidR="004A39F3">
        <w:rPr>
          <w:i/>
          <w:szCs w:val="20"/>
        </w:rPr>
        <w:t xml:space="preserve"> </w:t>
      </w:r>
      <w:r w:rsidR="00A95245">
        <w:rPr>
          <w:i/>
          <w:szCs w:val="20"/>
        </w:rPr>
        <w:t xml:space="preserve">w </w:t>
      </w:r>
      <w:r w:rsidR="00A236BB">
        <w:rPr>
          <w:i/>
          <w:szCs w:val="20"/>
        </w:rPr>
        <w:t>lutym</w:t>
      </w:r>
      <w:r w:rsidR="004A39F3">
        <w:rPr>
          <w:i/>
          <w:szCs w:val="20"/>
        </w:rPr>
        <w:t xml:space="preserve"> </w:t>
      </w:r>
      <w:r w:rsidR="00A40551">
        <w:rPr>
          <w:i/>
          <w:szCs w:val="20"/>
        </w:rPr>
        <w:t>202</w:t>
      </w:r>
      <w:r w:rsidR="00CE4C3D">
        <w:rPr>
          <w:i/>
          <w:szCs w:val="20"/>
        </w:rPr>
        <w:t xml:space="preserve">4. Ponad </w:t>
      </w:r>
      <w:r>
        <w:rPr>
          <w:i/>
          <w:szCs w:val="20"/>
        </w:rPr>
        <w:t>4</w:t>
      </w:r>
      <w:r w:rsidR="00CE4C3D">
        <w:rPr>
          <w:i/>
          <w:szCs w:val="20"/>
        </w:rPr>
        <w:t>0% wzrost</w:t>
      </w:r>
      <w:r>
        <w:rPr>
          <w:i/>
          <w:szCs w:val="20"/>
        </w:rPr>
        <w:t>u</w:t>
      </w:r>
      <w:r w:rsidR="00CE4C3D">
        <w:rPr>
          <w:i/>
          <w:szCs w:val="20"/>
        </w:rPr>
        <w:t xml:space="preserve"> liczby wnioskujących </w:t>
      </w:r>
      <w:r w:rsidR="00ED659C">
        <w:rPr>
          <w:i/>
          <w:szCs w:val="20"/>
        </w:rPr>
        <w:t xml:space="preserve">w porównaniu do </w:t>
      </w:r>
      <w:r w:rsidR="00A236BB">
        <w:rPr>
          <w:i/>
          <w:szCs w:val="20"/>
        </w:rPr>
        <w:t>lutego</w:t>
      </w:r>
      <w:r w:rsidR="00ED659C">
        <w:rPr>
          <w:i/>
          <w:szCs w:val="20"/>
        </w:rPr>
        <w:t xml:space="preserve"> ub.r. </w:t>
      </w:r>
      <w:r w:rsidR="00CE4C3D">
        <w:rPr>
          <w:i/>
          <w:szCs w:val="20"/>
        </w:rPr>
        <w:t>j</w:t>
      </w:r>
      <w:r w:rsidR="0028713B">
        <w:rPr>
          <w:i/>
          <w:szCs w:val="20"/>
        </w:rPr>
        <w:t xml:space="preserve">est w dużej mierze efektem </w:t>
      </w:r>
      <w:r w:rsidR="00ED659C">
        <w:rPr>
          <w:i/>
          <w:szCs w:val="20"/>
        </w:rPr>
        <w:t xml:space="preserve">ówczesnego </w:t>
      </w:r>
      <w:r w:rsidR="00CE4C3D">
        <w:rPr>
          <w:i/>
          <w:szCs w:val="20"/>
        </w:rPr>
        <w:t xml:space="preserve">„zamrożenia” popytu na kredyty mieszkaniowe w wyniku </w:t>
      </w:r>
      <w:r w:rsidR="00ED659C">
        <w:rPr>
          <w:i/>
          <w:szCs w:val="20"/>
        </w:rPr>
        <w:t>wysokiego poziomu</w:t>
      </w:r>
      <w:r w:rsidR="00CE4C3D">
        <w:rPr>
          <w:i/>
          <w:szCs w:val="20"/>
        </w:rPr>
        <w:t xml:space="preserve"> stóp procentowych</w:t>
      </w:r>
      <w:r w:rsidR="00ED659C">
        <w:rPr>
          <w:i/>
          <w:szCs w:val="20"/>
        </w:rPr>
        <w:t xml:space="preserve">, mamy więc efekt niskiej </w:t>
      </w:r>
      <w:r w:rsidR="00B64AB4">
        <w:rPr>
          <w:i/>
          <w:szCs w:val="20"/>
        </w:rPr>
        <w:t xml:space="preserve">zeszłorocznej </w:t>
      </w:r>
      <w:r w:rsidR="00ED659C">
        <w:rPr>
          <w:i/>
          <w:szCs w:val="20"/>
        </w:rPr>
        <w:t xml:space="preserve">bazy. </w:t>
      </w:r>
    </w:p>
    <w:p w14:paraId="0A097226" w14:textId="41F7A683" w:rsidR="00F84D27" w:rsidRDefault="00E636F8" w:rsidP="001D3DE7">
      <w:pPr>
        <w:jc w:val="both"/>
        <w:rPr>
          <w:i/>
          <w:szCs w:val="20"/>
        </w:rPr>
      </w:pPr>
      <w:r>
        <w:rPr>
          <w:i/>
          <w:szCs w:val="20"/>
        </w:rPr>
        <w:t>Drugim</w:t>
      </w:r>
      <w:r w:rsidR="00060A9E">
        <w:rPr>
          <w:i/>
          <w:szCs w:val="20"/>
        </w:rPr>
        <w:t xml:space="preserve"> </w:t>
      </w:r>
      <w:r>
        <w:rPr>
          <w:i/>
          <w:szCs w:val="20"/>
        </w:rPr>
        <w:t>ważnym aspektem</w:t>
      </w:r>
      <w:r w:rsidR="00600D13">
        <w:rPr>
          <w:i/>
          <w:szCs w:val="20"/>
        </w:rPr>
        <w:t xml:space="preserve"> determinującym poziom Indeksu </w:t>
      </w:r>
      <w:r w:rsidR="00F84D27">
        <w:rPr>
          <w:i/>
          <w:szCs w:val="20"/>
        </w:rPr>
        <w:t xml:space="preserve">jest </w:t>
      </w:r>
      <w:r w:rsidR="00780376">
        <w:rPr>
          <w:i/>
          <w:szCs w:val="20"/>
        </w:rPr>
        <w:t xml:space="preserve">wzrost średniej </w:t>
      </w:r>
      <w:r w:rsidR="0065153E">
        <w:rPr>
          <w:i/>
          <w:szCs w:val="20"/>
        </w:rPr>
        <w:t xml:space="preserve">kwoty </w:t>
      </w:r>
      <w:r w:rsidR="00780376">
        <w:rPr>
          <w:i/>
          <w:szCs w:val="20"/>
        </w:rPr>
        <w:t xml:space="preserve">wnioskowanego kredytu </w:t>
      </w:r>
      <w:r w:rsidR="00ED659C">
        <w:rPr>
          <w:i/>
          <w:szCs w:val="20"/>
        </w:rPr>
        <w:t xml:space="preserve">do </w:t>
      </w:r>
      <w:r w:rsidR="00CE2B17">
        <w:rPr>
          <w:i/>
          <w:szCs w:val="20"/>
        </w:rPr>
        <w:t>4</w:t>
      </w:r>
      <w:r w:rsidR="00ED659C">
        <w:rPr>
          <w:i/>
          <w:szCs w:val="20"/>
        </w:rPr>
        <w:t>27</w:t>
      </w:r>
      <w:r w:rsidR="00BF57D3">
        <w:rPr>
          <w:i/>
          <w:szCs w:val="20"/>
        </w:rPr>
        <w:t xml:space="preserve"> tys. zł</w:t>
      </w:r>
      <w:r w:rsidR="002130E1">
        <w:rPr>
          <w:i/>
          <w:szCs w:val="20"/>
        </w:rPr>
        <w:t xml:space="preserve"> –</w:t>
      </w:r>
      <w:r w:rsidR="00BF57D3">
        <w:rPr>
          <w:i/>
          <w:szCs w:val="20"/>
        </w:rPr>
        <w:t xml:space="preserve"> to </w:t>
      </w:r>
      <w:r w:rsidR="00CE2B17">
        <w:rPr>
          <w:i/>
          <w:szCs w:val="20"/>
        </w:rPr>
        <w:t xml:space="preserve">kwota </w:t>
      </w:r>
      <w:r w:rsidR="00780376">
        <w:rPr>
          <w:i/>
          <w:szCs w:val="20"/>
        </w:rPr>
        <w:t xml:space="preserve">o </w:t>
      </w:r>
      <w:r>
        <w:rPr>
          <w:i/>
          <w:szCs w:val="20"/>
        </w:rPr>
        <w:t>prawie 19%</w:t>
      </w:r>
      <w:r w:rsidR="00780376">
        <w:rPr>
          <w:i/>
          <w:szCs w:val="20"/>
        </w:rPr>
        <w:t xml:space="preserve"> </w:t>
      </w:r>
      <w:r w:rsidR="002B5BF2">
        <w:rPr>
          <w:i/>
          <w:szCs w:val="20"/>
        </w:rPr>
        <w:t>wyższ</w:t>
      </w:r>
      <w:r w:rsidR="00BF57D3">
        <w:rPr>
          <w:i/>
          <w:szCs w:val="20"/>
        </w:rPr>
        <w:t xml:space="preserve">a </w:t>
      </w:r>
      <w:r w:rsidR="00CE2B17">
        <w:rPr>
          <w:i/>
          <w:szCs w:val="20"/>
        </w:rPr>
        <w:t>niż w</w:t>
      </w:r>
      <w:r w:rsidR="00780376">
        <w:rPr>
          <w:i/>
          <w:szCs w:val="20"/>
        </w:rPr>
        <w:t xml:space="preserve"> </w:t>
      </w:r>
      <w:r w:rsidR="00A236BB">
        <w:rPr>
          <w:i/>
          <w:szCs w:val="20"/>
        </w:rPr>
        <w:t>lutym</w:t>
      </w:r>
      <w:r w:rsidR="00780376">
        <w:rPr>
          <w:i/>
          <w:szCs w:val="20"/>
        </w:rPr>
        <w:t xml:space="preserve"> 202</w:t>
      </w:r>
      <w:r w:rsidR="00ED659C">
        <w:rPr>
          <w:i/>
          <w:szCs w:val="20"/>
        </w:rPr>
        <w:t>3</w:t>
      </w:r>
      <w:r w:rsidR="00780376">
        <w:rPr>
          <w:i/>
          <w:szCs w:val="20"/>
        </w:rPr>
        <w:t xml:space="preserve"> r</w:t>
      </w:r>
      <w:r w:rsidR="00F33E9B">
        <w:rPr>
          <w:i/>
          <w:szCs w:val="20"/>
        </w:rPr>
        <w:t>.</w:t>
      </w:r>
      <w:r w:rsidR="00BF57D3">
        <w:rPr>
          <w:i/>
          <w:szCs w:val="20"/>
        </w:rPr>
        <w:t xml:space="preserve"> </w:t>
      </w:r>
      <w:r w:rsidR="00ED659C">
        <w:rPr>
          <w:i/>
          <w:szCs w:val="20"/>
        </w:rPr>
        <w:t xml:space="preserve">Jest ona jednak niższa </w:t>
      </w:r>
      <w:r w:rsidR="00795FD7">
        <w:rPr>
          <w:i/>
          <w:szCs w:val="20"/>
        </w:rPr>
        <w:t xml:space="preserve">o 1,8% </w:t>
      </w:r>
      <w:r w:rsidR="00ED659C" w:rsidRPr="00E636F8">
        <w:rPr>
          <w:i/>
          <w:szCs w:val="20"/>
        </w:rPr>
        <w:t>niż w grudniu</w:t>
      </w:r>
      <w:r w:rsidR="00F45BF7" w:rsidRPr="00E636F8">
        <w:rPr>
          <w:i/>
          <w:szCs w:val="20"/>
        </w:rPr>
        <w:t xml:space="preserve"> ub.</w:t>
      </w:r>
      <w:r w:rsidR="00F45BF7">
        <w:rPr>
          <w:i/>
          <w:szCs w:val="20"/>
        </w:rPr>
        <w:t xml:space="preserve"> </w:t>
      </w:r>
      <w:r>
        <w:rPr>
          <w:i/>
          <w:szCs w:val="20"/>
        </w:rPr>
        <w:t>r</w:t>
      </w:r>
      <w:r w:rsidR="00F45BF7">
        <w:rPr>
          <w:i/>
          <w:szCs w:val="20"/>
        </w:rPr>
        <w:t>oku</w:t>
      </w:r>
      <w:r w:rsidR="00ED659C">
        <w:rPr>
          <w:i/>
          <w:szCs w:val="20"/>
        </w:rPr>
        <w:t xml:space="preserve">. </w:t>
      </w:r>
      <w:r w:rsidR="00F45BF7">
        <w:rPr>
          <w:i/>
          <w:szCs w:val="20"/>
        </w:rPr>
        <w:t>J</w:t>
      </w:r>
      <w:r w:rsidR="00ED659C">
        <w:rPr>
          <w:i/>
          <w:szCs w:val="20"/>
        </w:rPr>
        <w:t xml:space="preserve">est to </w:t>
      </w:r>
      <w:r w:rsidR="00F45BF7">
        <w:rPr>
          <w:i/>
          <w:szCs w:val="20"/>
        </w:rPr>
        <w:t xml:space="preserve">już </w:t>
      </w:r>
      <w:r w:rsidR="00ED659C">
        <w:rPr>
          <w:i/>
          <w:szCs w:val="20"/>
        </w:rPr>
        <w:t xml:space="preserve">efekt wniosków </w:t>
      </w:r>
      <w:r w:rsidR="00F45BF7">
        <w:rPr>
          <w:i/>
          <w:szCs w:val="20"/>
        </w:rPr>
        <w:t>bez udziału Programu wsparcia kredytobiorców. B</w:t>
      </w:r>
      <w:r w:rsidR="00ED659C">
        <w:rPr>
          <w:i/>
          <w:szCs w:val="20"/>
        </w:rPr>
        <w:t xml:space="preserve">eneficjenci Programu </w:t>
      </w:r>
      <w:r w:rsidR="00F45BF7">
        <w:rPr>
          <w:i/>
          <w:szCs w:val="20"/>
        </w:rPr>
        <w:t xml:space="preserve">Bezpieczny Kredyt </w:t>
      </w:r>
      <w:r w:rsidR="00ED659C">
        <w:rPr>
          <w:i/>
          <w:szCs w:val="20"/>
        </w:rPr>
        <w:t xml:space="preserve">2% wnioskowali i zaciągali kredyty </w:t>
      </w:r>
      <w:r w:rsidR="007F7B7A">
        <w:rPr>
          <w:i/>
          <w:szCs w:val="20"/>
        </w:rPr>
        <w:t xml:space="preserve">na </w:t>
      </w:r>
      <w:r w:rsidR="00ED659C">
        <w:rPr>
          <w:i/>
          <w:szCs w:val="20"/>
        </w:rPr>
        <w:t>wyższ</w:t>
      </w:r>
      <w:r w:rsidR="007F7B7A">
        <w:rPr>
          <w:i/>
          <w:szCs w:val="20"/>
        </w:rPr>
        <w:t>ą</w:t>
      </w:r>
      <w:r w:rsidR="00ED659C">
        <w:rPr>
          <w:i/>
          <w:szCs w:val="20"/>
        </w:rPr>
        <w:t xml:space="preserve"> średni</w:t>
      </w:r>
      <w:r w:rsidR="007F7B7A">
        <w:rPr>
          <w:i/>
          <w:szCs w:val="20"/>
        </w:rPr>
        <w:t>ą</w:t>
      </w:r>
      <w:r w:rsidR="00ED659C">
        <w:rPr>
          <w:i/>
          <w:szCs w:val="20"/>
        </w:rPr>
        <w:t xml:space="preserve"> kwo</w:t>
      </w:r>
      <w:r w:rsidR="007F7B7A">
        <w:rPr>
          <w:i/>
          <w:szCs w:val="20"/>
        </w:rPr>
        <w:t>tę</w:t>
      </w:r>
      <w:r w:rsidR="00ED659C">
        <w:rPr>
          <w:i/>
          <w:szCs w:val="20"/>
        </w:rPr>
        <w:t xml:space="preserve"> w porównaniu z kredytobiorcami „rynkowymi”</w:t>
      </w:r>
      <w:r w:rsidR="00212052">
        <w:rPr>
          <w:i/>
          <w:szCs w:val="20"/>
        </w:rPr>
        <w:t xml:space="preserve"> </w:t>
      </w:r>
      <w:r w:rsidR="00F92565" w:rsidRPr="002E7473">
        <w:rPr>
          <w:iCs/>
          <w:szCs w:val="20"/>
        </w:rPr>
        <w:t xml:space="preserve">– </w:t>
      </w:r>
      <w:r w:rsidR="00B33BB7">
        <w:rPr>
          <w:iCs/>
          <w:szCs w:val="20"/>
        </w:rPr>
        <w:t>wyjaśnia</w:t>
      </w:r>
      <w:r w:rsidR="00B33BB7" w:rsidRPr="003947E9">
        <w:rPr>
          <w:iCs/>
          <w:szCs w:val="20"/>
        </w:rPr>
        <w:t xml:space="preserve"> </w:t>
      </w:r>
      <w:r>
        <w:rPr>
          <w:b/>
          <w:bCs/>
          <w:iCs/>
          <w:szCs w:val="20"/>
        </w:rPr>
        <w:t>Sławomir Nosal</w:t>
      </w:r>
      <w:r w:rsidR="00ED659C">
        <w:rPr>
          <w:b/>
          <w:bCs/>
          <w:iCs/>
          <w:szCs w:val="20"/>
        </w:rPr>
        <w:t xml:space="preserve">, </w:t>
      </w:r>
      <w:r>
        <w:rPr>
          <w:b/>
          <w:bCs/>
          <w:iCs/>
          <w:szCs w:val="20"/>
        </w:rPr>
        <w:t>kierownik Zespołu Analiz,</w:t>
      </w:r>
      <w:r w:rsidR="00ED659C">
        <w:rPr>
          <w:b/>
          <w:bCs/>
          <w:iCs/>
          <w:szCs w:val="20"/>
        </w:rPr>
        <w:t xml:space="preserve"> BIK</w:t>
      </w:r>
      <w:r w:rsidR="00B33BB7" w:rsidRPr="003A08FA">
        <w:rPr>
          <w:b/>
          <w:bCs/>
          <w:iCs/>
          <w:szCs w:val="20"/>
        </w:rPr>
        <w:t>.</w:t>
      </w:r>
    </w:p>
    <w:p w14:paraId="31914ABE" w14:textId="61580732" w:rsidR="001D3DE7" w:rsidRPr="00C00D06" w:rsidRDefault="001D3DE7" w:rsidP="001D3DE7">
      <w:pPr>
        <w:jc w:val="both"/>
        <w:rPr>
          <w:szCs w:val="20"/>
        </w:rPr>
      </w:pPr>
    </w:p>
    <w:p w14:paraId="2DED2162" w14:textId="71DCD16F" w:rsidR="001D3DE7" w:rsidRDefault="00A236BB" w:rsidP="001D3DE7">
      <w:pPr>
        <w:spacing w:after="160" w:line="259" w:lineRule="auto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565F2BC5" wp14:editId="1CCA1D3B">
            <wp:extent cx="5731510" cy="2379858"/>
            <wp:effectExtent l="0" t="0" r="2540" b="1905"/>
            <wp:docPr id="21228684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93" cy="239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67594" w14:textId="77777777" w:rsidR="001D3DE7" w:rsidRPr="007F7B7A" w:rsidRDefault="001D3DE7" w:rsidP="001D3DE7">
      <w:pPr>
        <w:jc w:val="both"/>
        <w:rPr>
          <w:sz w:val="22"/>
        </w:rPr>
      </w:pPr>
      <w:r w:rsidRPr="007F7B7A">
        <w:rPr>
          <w:sz w:val="22"/>
        </w:rPr>
        <w:t xml:space="preserve">Aktualne informacje o rynku kredytowym prezentujemy na stronie </w:t>
      </w:r>
      <w:hyperlink r:id="rId10" w:history="1">
        <w:r w:rsidRPr="007F7B7A">
          <w:rPr>
            <w:rStyle w:val="Hipercze"/>
            <w:sz w:val="22"/>
          </w:rPr>
          <w:t xml:space="preserve">Analizy rynkowe </w:t>
        </w:r>
      </w:hyperlink>
      <w:r w:rsidRPr="007F7B7A">
        <w:rPr>
          <w:sz w:val="22"/>
        </w:rPr>
        <w:t xml:space="preserve">oraz w </w:t>
      </w:r>
      <w:hyperlink r:id="rId11" w:history="1">
        <w:r w:rsidRPr="007F7B7A">
          <w:rPr>
            <w:rStyle w:val="Hipercze"/>
            <w:sz w:val="22"/>
          </w:rPr>
          <w:t>Newsletterze kredytowym BIK</w:t>
        </w:r>
      </w:hyperlink>
      <w:r w:rsidRPr="007F7B7A">
        <w:rPr>
          <w:sz w:val="22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6947BD3C" w14:textId="0E27924E" w:rsidR="00BA642F" w:rsidRDefault="00FB22EA" w:rsidP="00BA642F">
      <w:pPr>
        <w:spacing w:line="240" w:lineRule="auto"/>
        <w:jc w:val="both"/>
        <w:rPr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="00BA642F"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</w:t>
      </w:r>
      <w:proofErr w:type="spellStart"/>
      <w:r w:rsidR="00BA642F">
        <w:rPr>
          <w:color w:val="595959"/>
          <w:sz w:val="16"/>
          <w:szCs w:val="16"/>
        </w:rPr>
        <w:t>antyfraudowe</w:t>
      </w:r>
      <w:proofErr w:type="spellEnd"/>
      <w:r w:rsidR="00BA642F">
        <w:rPr>
          <w:color w:val="595959"/>
          <w:sz w:val="16"/>
          <w:szCs w:val="16"/>
        </w:rPr>
        <w:t xml:space="preserve">. Jako jedyne biuro kredytowe w Polsce, poprzez internetowy portal </w:t>
      </w:r>
      <w:hyperlink r:id="rId12">
        <w:r w:rsidR="00BA642F">
          <w:rPr>
            <w:color w:val="0000FF"/>
            <w:sz w:val="16"/>
            <w:szCs w:val="16"/>
            <w:u w:val="single"/>
          </w:rPr>
          <w:t>www.bik.pl</w:t>
        </w:r>
      </w:hyperlink>
      <w:r w:rsidR="00BA642F">
        <w:rPr>
          <w:color w:val="595959"/>
          <w:sz w:val="16"/>
          <w:szCs w:val="16"/>
        </w:rPr>
        <w:t xml:space="preserve"> oraz aplikację mobilną </w:t>
      </w:r>
      <w:hyperlink r:id="rId13">
        <w:r w:rsidR="00BA642F">
          <w:rPr>
            <w:color w:val="0000FF"/>
            <w:sz w:val="16"/>
            <w:szCs w:val="16"/>
            <w:u w:val="single"/>
          </w:rPr>
          <w:t>Mój BIK</w:t>
        </w:r>
      </w:hyperlink>
      <w:r w:rsidR="00BA642F">
        <w:rPr>
          <w:color w:val="0000FF"/>
          <w:sz w:val="16"/>
          <w:szCs w:val="16"/>
          <w:u w:val="single"/>
        </w:rPr>
        <w:t>,</w:t>
      </w:r>
      <w:r w:rsidR="00BA642F"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4">
        <w:r w:rsidR="00BA642F">
          <w:rPr>
            <w:color w:val="0000FF"/>
            <w:sz w:val="16"/>
            <w:szCs w:val="16"/>
            <w:u w:val="single"/>
          </w:rPr>
          <w:t>Alertom BIK</w:t>
        </w:r>
      </w:hyperlink>
      <w:r w:rsidR="00BA642F">
        <w:rPr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="00BA642F">
        <w:rPr>
          <w:color w:val="595959"/>
          <w:sz w:val="16"/>
          <w:szCs w:val="16"/>
        </w:rPr>
        <w:t>antyfraudowe</w:t>
      </w:r>
      <w:proofErr w:type="spellEnd"/>
      <w:r w:rsidR="00BA642F">
        <w:rPr>
          <w:color w:val="595959"/>
          <w:sz w:val="16"/>
          <w:szCs w:val="16"/>
        </w:rPr>
        <w:t xml:space="preserve"> w portfolio BIK to: Platforma </w:t>
      </w:r>
      <w:proofErr w:type="spellStart"/>
      <w:r w:rsidR="00BA642F">
        <w:rPr>
          <w:color w:val="595959"/>
          <w:sz w:val="16"/>
          <w:szCs w:val="16"/>
        </w:rPr>
        <w:t>Antyfraudowa</w:t>
      </w:r>
      <w:proofErr w:type="spellEnd"/>
      <w:r w:rsidR="00BA642F">
        <w:rPr>
          <w:color w:val="595959"/>
          <w:sz w:val="16"/>
          <w:szCs w:val="16"/>
        </w:rPr>
        <w:t xml:space="preserve"> BIK, Platforma </w:t>
      </w:r>
      <w:proofErr w:type="spellStart"/>
      <w:r w:rsidR="00BA642F">
        <w:rPr>
          <w:color w:val="595959"/>
          <w:sz w:val="16"/>
          <w:szCs w:val="16"/>
        </w:rPr>
        <w:t>Blockchain</w:t>
      </w:r>
      <w:proofErr w:type="spellEnd"/>
      <w:r w:rsidR="00BA642F">
        <w:rPr>
          <w:color w:val="595959"/>
          <w:sz w:val="16"/>
          <w:szCs w:val="16"/>
        </w:rPr>
        <w:t xml:space="preserve">, Platforma </w:t>
      </w:r>
      <w:proofErr w:type="spellStart"/>
      <w:r w:rsidR="00BA642F">
        <w:rPr>
          <w:color w:val="595959"/>
          <w:sz w:val="16"/>
          <w:szCs w:val="16"/>
        </w:rPr>
        <w:t>Cyber</w:t>
      </w:r>
      <w:proofErr w:type="spellEnd"/>
      <w:r w:rsidR="00BA642F">
        <w:rPr>
          <w:color w:val="595959"/>
          <w:sz w:val="16"/>
          <w:szCs w:val="16"/>
        </w:rPr>
        <w:t xml:space="preserve"> Fraud </w:t>
      </w:r>
      <w:proofErr w:type="spellStart"/>
      <w:r w:rsidR="00BA642F">
        <w:rPr>
          <w:color w:val="595959"/>
          <w:sz w:val="16"/>
          <w:szCs w:val="16"/>
        </w:rPr>
        <w:t>Detection</w:t>
      </w:r>
      <w:proofErr w:type="spellEnd"/>
      <w:r w:rsidR="00BA642F">
        <w:rPr>
          <w:color w:val="595959"/>
          <w:sz w:val="16"/>
          <w:szCs w:val="16"/>
        </w:rPr>
        <w:t xml:space="preserve"> oraz nowo budowana Platforma Biometrii Behawioralnej. BIK aktywnie  wspiera innowacje, adresowane do przedsiębiorców z sektora finansów, a także innych segmentów rynku, startupów, </w:t>
      </w:r>
      <w:proofErr w:type="spellStart"/>
      <w:r w:rsidR="00BA642F">
        <w:rPr>
          <w:color w:val="595959"/>
          <w:sz w:val="16"/>
          <w:szCs w:val="16"/>
        </w:rPr>
        <w:t>fintechów</w:t>
      </w:r>
      <w:proofErr w:type="spellEnd"/>
      <w:r w:rsidR="00BA642F">
        <w:rPr>
          <w:color w:val="595959"/>
          <w:sz w:val="16"/>
          <w:szCs w:val="16"/>
        </w:rPr>
        <w:t xml:space="preserve">. BIK gromadzi i udostępnia dane o historii kredytowej klientów indywidualnych i przedsiębiorców z całego rynku kredytowego, oraz dane z obszaru pożyczek </w:t>
      </w:r>
      <w:proofErr w:type="spellStart"/>
      <w:r w:rsidR="00BA642F">
        <w:rPr>
          <w:color w:val="595959"/>
          <w:sz w:val="16"/>
          <w:szCs w:val="16"/>
        </w:rPr>
        <w:t>pozabankowych</w:t>
      </w:r>
      <w:proofErr w:type="spellEnd"/>
      <w:r w:rsidR="00BA642F">
        <w:rPr>
          <w:color w:val="595959"/>
          <w:sz w:val="16"/>
          <w:szCs w:val="16"/>
        </w:rPr>
        <w:t xml:space="preserve">. Baza BIK zawiera informacje o 177mln rachunków należących do 25 mln klientów indywidualnych oraz 5,5 mln firm, w tym o 1,8 mln </w:t>
      </w:r>
      <w:proofErr w:type="spellStart"/>
      <w:r w:rsidR="00BA642F">
        <w:rPr>
          <w:color w:val="595959"/>
          <w:sz w:val="16"/>
          <w:szCs w:val="16"/>
        </w:rPr>
        <w:t>mikroprzedsiębiorców</w:t>
      </w:r>
      <w:proofErr w:type="spellEnd"/>
      <w:r w:rsidR="00BA642F">
        <w:rPr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5">
        <w:r w:rsidR="00BA642F">
          <w:rPr>
            <w:color w:val="0000FF"/>
            <w:sz w:val="16"/>
            <w:szCs w:val="16"/>
            <w:u w:val="single"/>
          </w:rPr>
          <w:t>Analiz rynkowych</w:t>
        </w:r>
      </w:hyperlink>
      <w:r w:rsidR="00BA642F"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p w14:paraId="13A5D52E" w14:textId="00339AB7" w:rsidR="001A18BA" w:rsidRPr="00BA642F" w:rsidRDefault="001A18BA" w:rsidP="00BA642F">
      <w:pPr>
        <w:spacing w:line="240" w:lineRule="auto"/>
        <w:jc w:val="both"/>
        <w:rPr>
          <w:rStyle w:val="StylStBIKsubowagwkaZnak"/>
          <w:rFonts w:eastAsiaTheme="minorHAnsi"/>
          <w:b w:val="0"/>
          <w:sz w:val="18"/>
          <w:szCs w:val="18"/>
          <w:lang w:eastAsia="pl-PL"/>
        </w:rPr>
      </w:pPr>
    </w:p>
    <w:p w14:paraId="5BEFFC68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20B3128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0DB6CD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CEC1242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17853BC1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6D52236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2C34B2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DF05" w14:textId="77777777" w:rsidR="002C34B2" w:rsidRDefault="002C34B2" w:rsidP="00866834">
      <w:r>
        <w:separator/>
      </w:r>
    </w:p>
    <w:p w14:paraId="77836D13" w14:textId="77777777" w:rsidR="002C34B2" w:rsidRDefault="002C34B2"/>
  </w:endnote>
  <w:endnote w:type="continuationSeparator" w:id="0">
    <w:p w14:paraId="7781F7D2" w14:textId="77777777" w:rsidR="002C34B2" w:rsidRDefault="002C34B2" w:rsidP="00866834">
      <w:r>
        <w:continuationSeparator/>
      </w:r>
    </w:p>
    <w:p w14:paraId="500D2614" w14:textId="77777777" w:rsidR="002C34B2" w:rsidRDefault="002C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262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2BF4FC4B" w14:textId="01DD3DD5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9784DDC" w14:textId="2F913D2A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EB50" w14:textId="77777777" w:rsidR="002C34B2" w:rsidRDefault="002C34B2" w:rsidP="00866834">
      <w:r>
        <w:separator/>
      </w:r>
    </w:p>
    <w:p w14:paraId="18294DCE" w14:textId="77777777" w:rsidR="002C34B2" w:rsidRDefault="002C34B2"/>
  </w:footnote>
  <w:footnote w:type="continuationSeparator" w:id="0">
    <w:p w14:paraId="5F125D5D" w14:textId="77777777" w:rsidR="002C34B2" w:rsidRDefault="002C34B2" w:rsidP="00866834">
      <w:r>
        <w:continuationSeparator/>
      </w:r>
    </w:p>
    <w:p w14:paraId="5E94B1CB" w14:textId="77777777" w:rsidR="002C34B2" w:rsidRDefault="002C3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5BF"/>
    <w:rsid w:val="000009DC"/>
    <w:rsid w:val="00010682"/>
    <w:rsid w:val="0001284E"/>
    <w:rsid w:val="000133E5"/>
    <w:rsid w:val="0001644B"/>
    <w:rsid w:val="00016952"/>
    <w:rsid w:val="00021E4C"/>
    <w:rsid w:val="00024264"/>
    <w:rsid w:val="0002470B"/>
    <w:rsid w:val="00036506"/>
    <w:rsid w:val="00040397"/>
    <w:rsid w:val="000407B1"/>
    <w:rsid w:val="00041E7C"/>
    <w:rsid w:val="00051AF1"/>
    <w:rsid w:val="00052165"/>
    <w:rsid w:val="00060A9E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A6D78"/>
    <w:rsid w:val="000B0755"/>
    <w:rsid w:val="000D073E"/>
    <w:rsid w:val="000D253F"/>
    <w:rsid w:val="000D5993"/>
    <w:rsid w:val="000D7AD5"/>
    <w:rsid w:val="000E3C74"/>
    <w:rsid w:val="000F6269"/>
    <w:rsid w:val="00102C68"/>
    <w:rsid w:val="0010407D"/>
    <w:rsid w:val="001102F7"/>
    <w:rsid w:val="001149A6"/>
    <w:rsid w:val="001216FF"/>
    <w:rsid w:val="001266A3"/>
    <w:rsid w:val="0013027F"/>
    <w:rsid w:val="001336D3"/>
    <w:rsid w:val="001354FA"/>
    <w:rsid w:val="00135732"/>
    <w:rsid w:val="001374D3"/>
    <w:rsid w:val="00140130"/>
    <w:rsid w:val="0014528E"/>
    <w:rsid w:val="00160DCE"/>
    <w:rsid w:val="00162D9C"/>
    <w:rsid w:val="001661AF"/>
    <w:rsid w:val="00166EB1"/>
    <w:rsid w:val="001718BB"/>
    <w:rsid w:val="00171AC4"/>
    <w:rsid w:val="00172E5B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D0DED"/>
    <w:rsid w:val="001D10A7"/>
    <w:rsid w:val="001D1404"/>
    <w:rsid w:val="001D253F"/>
    <w:rsid w:val="001D3412"/>
    <w:rsid w:val="001D3DE7"/>
    <w:rsid w:val="001E4E47"/>
    <w:rsid w:val="001F597F"/>
    <w:rsid w:val="001F5B54"/>
    <w:rsid w:val="001F6BED"/>
    <w:rsid w:val="002105B8"/>
    <w:rsid w:val="00212052"/>
    <w:rsid w:val="002130E1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A65"/>
    <w:rsid w:val="00251D5F"/>
    <w:rsid w:val="00263BB5"/>
    <w:rsid w:val="00271B37"/>
    <w:rsid w:val="00281392"/>
    <w:rsid w:val="0028713B"/>
    <w:rsid w:val="0029160F"/>
    <w:rsid w:val="002959B1"/>
    <w:rsid w:val="002971C2"/>
    <w:rsid w:val="002A63FD"/>
    <w:rsid w:val="002B3EAC"/>
    <w:rsid w:val="002B3FE4"/>
    <w:rsid w:val="002B5BF2"/>
    <w:rsid w:val="002C34B2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E7473"/>
    <w:rsid w:val="002F1502"/>
    <w:rsid w:val="002F2D97"/>
    <w:rsid w:val="002F39DD"/>
    <w:rsid w:val="002F4540"/>
    <w:rsid w:val="002F7017"/>
    <w:rsid w:val="00300DB3"/>
    <w:rsid w:val="003010B3"/>
    <w:rsid w:val="00301E1C"/>
    <w:rsid w:val="00315358"/>
    <w:rsid w:val="0031648A"/>
    <w:rsid w:val="00325875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73BFB"/>
    <w:rsid w:val="00376440"/>
    <w:rsid w:val="003839D6"/>
    <w:rsid w:val="003853CC"/>
    <w:rsid w:val="00387C34"/>
    <w:rsid w:val="00393A63"/>
    <w:rsid w:val="003947E9"/>
    <w:rsid w:val="003A00D0"/>
    <w:rsid w:val="003A1A09"/>
    <w:rsid w:val="003A460F"/>
    <w:rsid w:val="003A5C50"/>
    <w:rsid w:val="003A6B00"/>
    <w:rsid w:val="003C0F79"/>
    <w:rsid w:val="003C5672"/>
    <w:rsid w:val="003C79A3"/>
    <w:rsid w:val="003D13A1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63EB"/>
    <w:rsid w:val="00457C3A"/>
    <w:rsid w:val="004613BB"/>
    <w:rsid w:val="00464740"/>
    <w:rsid w:val="00474DF1"/>
    <w:rsid w:val="004767B5"/>
    <w:rsid w:val="00481CFA"/>
    <w:rsid w:val="0048408C"/>
    <w:rsid w:val="00490399"/>
    <w:rsid w:val="004A2397"/>
    <w:rsid w:val="004A39F3"/>
    <w:rsid w:val="004B18C0"/>
    <w:rsid w:val="004B4400"/>
    <w:rsid w:val="004C17A7"/>
    <w:rsid w:val="004C4026"/>
    <w:rsid w:val="004C44D3"/>
    <w:rsid w:val="004C4C22"/>
    <w:rsid w:val="004D6267"/>
    <w:rsid w:val="004E7CE1"/>
    <w:rsid w:val="004F00FD"/>
    <w:rsid w:val="004F5805"/>
    <w:rsid w:val="004F5815"/>
    <w:rsid w:val="005000C3"/>
    <w:rsid w:val="0050297C"/>
    <w:rsid w:val="00503E29"/>
    <w:rsid w:val="00507F2B"/>
    <w:rsid w:val="0051176F"/>
    <w:rsid w:val="00513DC6"/>
    <w:rsid w:val="00526CDD"/>
    <w:rsid w:val="00533908"/>
    <w:rsid w:val="005377DC"/>
    <w:rsid w:val="00540014"/>
    <w:rsid w:val="00541CDA"/>
    <w:rsid w:val="00541DBA"/>
    <w:rsid w:val="00543371"/>
    <w:rsid w:val="00543D89"/>
    <w:rsid w:val="005450F2"/>
    <w:rsid w:val="005468AD"/>
    <w:rsid w:val="0055409A"/>
    <w:rsid w:val="00572764"/>
    <w:rsid w:val="005842F8"/>
    <w:rsid w:val="00584732"/>
    <w:rsid w:val="00590159"/>
    <w:rsid w:val="005A0391"/>
    <w:rsid w:val="005A0EEF"/>
    <w:rsid w:val="005A3102"/>
    <w:rsid w:val="005A5F6D"/>
    <w:rsid w:val="005A65ED"/>
    <w:rsid w:val="005C0301"/>
    <w:rsid w:val="005C0F42"/>
    <w:rsid w:val="005C7BF8"/>
    <w:rsid w:val="005D030A"/>
    <w:rsid w:val="005D1495"/>
    <w:rsid w:val="005D7891"/>
    <w:rsid w:val="005F0A9A"/>
    <w:rsid w:val="005F0CE4"/>
    <w:rsid w:val="005F17E6"/>
    <w:rsid w:val="005F1C55"/>
    <w:rsid w:val="005F680C"/>
    <w:rsid w:val="005F74B8"/>
    <w:rsid w:val="00600D13"/>
    <w:rsid w:val="006059D5"/>
    <w:rsid w:val="00610A4A"/>
    <w:rsid w:val="0061285D"/>
    <w:rsid w:val="00613BB5"/>
    <w:rsid w:val="00620D7B"/>
    <w:rsid w:val="00625B1C"/>
    <w:rsid w:val="00636328"/>
    <w:rsid w:val="00637C84"/>
    <w:rsid w:val="00644A0E"/>
    <w:rsid w:val="0065021F"/>
    <w:rsid w:val="0065153E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6F3"/>
    <w:rsid w:val="006852E5"/>
    <w:rsid w:val="00685450"/>
    <w:rsid w:val="006920D7"/>
    <w:rsid w:val="006937DD"/>
    <w:rsid w:val="006A2C5F"/>
    <w:rsid w:val="006A65EC"/>
    <w:rsid w:val="006A6B2C"/>
    <w:rsid w:val="006B0DDE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0AFD"/>
    <w:rsid w:val="00764CC6"/>
    <w:rsid w:val="00766E82"/>
    <w:rsid w:val="007731CA"/>
    <w:rsid w:val="00777163"/>
    <w:rsid w:val="00777AED"/>
    <w:rsid w:val="00780376"/>
    <w:rsid w:val="00794548"/>
    <w:rsid w:val="00794B24"/>
    <w:rsid w:val="00795992"/>
    <w:rsid w:val="00795FD7"/>
    <w:rsid w:val="007A002C"/>
    <w:rsid w:val="007A098A"/>
    <w:rsid w:val="007A1B69"/>
    <w:rsid w:val="007A3AAB"/>
    <w:rsid w:val="007B01BF"/>
    <w:rsid w:val="007B4B19"/>
    <w:rsid w:val="007B58FC"/>
    <w:rsid w:val="007D0B3B"/>
    <w:rsid w:val="007E5C6A"/>
    <w:rsid w:val="007F06DA"/>
    <w:rsid w:val="007F7B7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D2E"/>
    <w:rsid w:val="00832EFB"/>
    <w:rsid w:val="008350ED"/>
    <w:rsid w:val="00841A2A"/>
    <w:rsid w:val="0084396A"/>
    <w:rsid w:val="00844DBE"/>
    <w:rsid w:val="008456D4"/>
    <w:rsid w:val="00847E9D"/>
    <w:rsid w:val="00852229"/>
    <w:rsid w:val="00853A9D"/>
    <w:rsid w:val="00854B7B"/>
    <w:rsid w:val="00866834"/>
    <w:rsid w:val="0086695E"/>
    <w:rsid w:val="00866BAB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42FB"/>
    <w:rsid w:val="008A7291"/>
    <w:rsid w:val="008A7EA9"/>
    <w:rsid w:val="008B1AA6"/>
    <w:rsid w:val="008B2062"/>
    <w:rsid w:val="008B4DBE"/>
    <w:rsid w:val="008C1729"/>
    <w:rsid w:val="008C23C8"/>
    <w:rsid w:val="008C75DD"/>
    <w:rsid w:val="008E04B2"/>
    <w:rsid w:val="008E44F2"/>
    <w:rsid w:val="008F209D"/>
    <w:rsid w:val="008F6B32"/>
    <w:rsid w:val="00906133"/>
    <w:rsid w:val="00910872"/>
    <w:rsid w:val="00912FC5"/>
    <w:rsid w:val="009139B6"/>
    <w:rsid w:val="00914B33"/>
    <w:rsid w:val="009154F2"/>
    <w:rsid w:val="00920E46"/>
    <w:rsid w:val="0092387C"/>
    <w:rsid w:val="00931C05"/>
    <w:rsid w:val="00933A79"/>
    <w:rsid w:val="00934659"/>
    <w:rsid w:val="00943829"/>
    <w:rsid w:val="00947069"/>
    <w:rsid w:val="00954066"/>
    <w:rsid w:val="00954F60"/>
    <w:rsid w:val="00970D51"/>
    <w:rsid w:val="009716C3"/>
    <w:rsid w:val="00974CB7"/>
    <w:rsid w:val="00975E58"/>
    <w:rsid w:val="0098250F"/>
    <w:rsid w:val="00996627"/>
    <w:rsid w:val="009A1CEE"/>
    <w:rsid w:val="009C0766"/>
    <w:rsid w:val="009C2A87"/>
    <w:rsid w:val="009C3709"/>
    <w:rsid w:val="009C4547"/>
    <w:rsid w:val="009C4AB9"/>
    <w:rsid w:val="009C56EE"/>
    <w:rsid w:val="009D2B0D"/>
    <w:rsid w:val="009D3E46"/>
    <w:rsid w:val="009D4C4D"/>
    <w:rsid w:val="009D75D3"/>
    <w:rsid w:val="009E4A7E"/>
    <w:rsid w:val="009F0CC3"/>
    <w:rsid w:val="009F58F8"/>
    <w:rsid w:val="009F5B2B"/>
    <w:rsid w:val="009F64ED"/>
    <w:rsid w:val="00A11066"/>
    <w:rsid w:val="00A11219"/>
    <w:rsid w:val="00A236BB"/>
    <w:rsid w:val="00A3057A"/>
    <w:rsid w:val="00A350A7"/>
    <w:rsid w:val="00A36F46"/>
    <w:rsid w:val="00A40551"/>
    <w:rsid w:val="00A4087C"/>
    <w:rsid w:val="00A4363C"/>
    <w:rsid w:val="00A4507F"/>
    <w:rsid w:val="00A46BE2"/>
    <w:rsid w:val="00A50C8D"/>
    <w:rsid w:val="00A60509"/>
    <w:rsid w:val="00A612D8"/>
    <w:rsid w:val="00A72BE7"/>
    <w:rsid w:val="00A73FDB"/>
    <w:rsid w:val="00A7543E"/>
    <w:rsid w:val="00A81A69"/>
    <w:rsid w:val="00A82827"/>
    <w:rsid w:val="00A828C7"/>
    <w:rsid w:val="00A85D65"/>
    <w:rsid w:val="00A87DF9"/>
    <w:rsid w:val="00A87FFE"/>
    <w:rsid w:val="00A90B66"/>
    <w:rsid w:val="00A90FE6"/>
    <w:rsid w:val="00A931CF"/>
    <w:rsid w:val="00A94C25"/>
    <w:rsid w:val="00A9524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1367"/>
    <w:rsid w:val="00AF3176"/>
    <w:rsid w:val="00B010F5"/>
    <w:rsid w:val="00B12F66"/>
    <w:rsid w:val="00B21D57"/>
    <w:rsid w:val="00B26DDD"/>
    <w:rsid w:val="00B33BB7"/>
    <w:rsid w:val="00B35B63"/>
    <w:rsid w:val="00B3797A"/>
    <w:rsid w:val="00B429BF"/>
    <w:rsid w:val="00B50905"/>
    <w:rsid w:val="00B5586F"/>
    <w:rsid w:val="00B56575"/>
    <w:rsid w:val="00B60E67"/>
    <w:rsid w:val="00B61F8A"/>
    <w:rsid w:val="00B64AB4"/>
    <w:rsid w:val="00B65DDC"/>
    <w:rsid w:val="00B70D20"/>
    <w:rsid w:val="00B72FE3"/>
    <w:rsid w:val="00B85ED1"/>
    <w:rsid w:val="00B976FD"/>
    <w:rsid w:val="00BA328D"/>
    <w:rsid w:val="00BA642F"/>
    <w:rsid w:val="00BA759D"/>
    <w:rsid w:val="00BB3391"/>
    <w:rsid w:val="00BB4A80"/>
    <w:rsid w:val="00BB59C6"/>
    <w:rsid w:val="00BB75B6"/>
    <w:rsid w:val="00BC55AC"/>
    <w:rsid w:val="00BC6ABB"/>
    <w:rsid w:val="00BD48A8"/>
    <w:rsid w:val="00BD5534"/>
    <w:rsid w:val="00BD5EA8"/>
    <w:rsid w:val="00BD6260"/>
    <w:rsid w:val="00BD6AE4"/>
    <w:rsid w:val="00BE5C9B"/>
    <w:rsid w:val="00BE5D76"/>
    <w:rsid w:val="00BF191F"/>
    <w:rsid w:val="00BF57D3"/>
    <w:rsid w:val="00BF7242"/>
    <w:rsid w:val="00C00D06"/>
    <w:rsid w:val="00C037C2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2BB4"/>
    <w:rsid w:val="00C44C19"/>
    <w:rsid w:val="00C45493"/>
    <w:rsid w:val="00C47889"/>
    <w:rsid w:val="00C5064F"/>
    <w:rsid w:val="00C537EB"/>
    <w:rsid w:val="00C57C5D"/>
    <w:rsid w:val="00C6089D"/>
    <w:rsid w:val="00C63331"/>
    <w:rsid w:val="00C74378"/>
    <w:rsid w:val="00C828B7"/>
    <w:rsid w:val="00CA59D7"/>
    <w:rsid w:val="00CC4824"/>
    <w:rsid w:val="00CD113F"/>
    <w:rsid w:val="00CD1C41"/>
    <w:rsid w:val="00CD3939"/>
    <w:rsid w:val="00CE03AC"/>
    <w:rsid w:val="00CE2B17"/>
    <w:rsid w:val="00CE4C3D"/>
    <w:rsid w:val="00CF012F"/>
    <w:rsid w:val="00CF3E86"/>
    <w:rsid w:val="00CF51E1"/>
    <w:rsid w:val="00CF7ECD"/>
    <w:rsid w:val="00D005B3"/>
    <w:rsid w:val="00D0425E"/>
    <w:rsid w:val="00D051D1"/>
    <w:rsid w:val="00D06D36"/>
    <w:rsid w:val="00D1358D"/>
    <w:rsid w:val="00D141CD"/>
    <w:rsid w:val="00D16362"/>
    <w:rsid w:val="00D17C4A"/>
    <w:rsid w:val="00D2211E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138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54531"/>
    <w:rsid w:val="00E57F49"/>
    <w:rsid w:val="00E636F8"/>
    <w:rsid w:val="00E72CC9"/>
    <w:rsid w:val="00E8069E"/>
    <w:rsid w:val="00E81E48"/>
    <w:rsid w:val="00E86BFC"/>
    <w:rsid w:val="00E86ED1"/>
    <w:rsid w:val="00EA3A41"/>
    <w:rsid w:val="00EA59EB"/>
    <w:rsid w:val="00EC7B6F"/>
    <w:rsid w:val="00ED34ED"/>
    <w:rsid w:val="00ED659C"/>
    <w:rsid w:val="00EE176C"/>
    <w:rsid w:val="00EE493C"/>
    <w:rsid w:val="00EF146F"/>
    <w:rsid w:val="00EF3CDE"/>
    <w:rsid w:val="00F00843"/>
    <w:rsid w:val="00F009BC"/>
    <w:rsid w:val="00F03CB7"/>
    <w:rsid w:val="00F04772"/>
    <w:rsid w:val="00F12476"/>
    <w:rsid w:val="00F13DDF"/>
    <w:rsid w:val="00F21E8C"/>
    <w:rsid w:val="00F25E87"/>
    <w:rsid w:val="00F26ECD"/>
    <w:rsid w:val="00F323D1"/>
    <w:rsid w:val="00F33E9B"/>
    <w:rsid w:val="00F45BF7"/>
    <w:rsid w:val="00F4777B"/>
    <w:rsid w:val="00F526E5"/>
    <w:rsid w:val="00F63136"/>
    <w:rsid w:val="00F82D3F"/>
    <w:rsid w:val="00F84D27"/>
    <w:rsid w:val="00F85535"/>
    <w:rsid w:val="00F915B6"/>
    <w:rsid w:val="00F92565"/>
    <w:rsid w:val="00FB0C02"/>
    <w:rsid w:val="00FB1A13"/>
    <w:rsid w:val="00FB22EA"/>
    <w:rsid w:val="00FB31CA"/>
    <w:rsid w:val="00FC494D"/>
    <w:rsid w:val="00FC6AEC"/>
    <w:rsid w:val="00FD52BA"/>
    <w:rsid w:val="00FE4771"/>
    <w:rsid w:val="00FE6E01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moj-bik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ik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publikacje/43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klienci-indywidualni/alerty-bik?utm_source=gazeta.pl&amp;utm_medium=artykul&amp;utm_campaign=alert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2024-02-01T14:14:00Z</cp:lastPrinted>
  <dcterms:created xsi:type="dcterms:W3CDTF">2024-03-04T15:46:00Z</dcterms:created>
  <dcterms:modified xsi:type="dcterms:W3CDTF">2024-03-04T15:46:00Z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2023-05-08T09:24:20Z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695b65da-6dc7-4e5e-947e-ddfde63eaf08</vt:lpwstr>
  </property>
  <property fmtid="{D5CDD505-2E9C-101B-9397-08002B2CF9AE}" pid="13" name="MSIP_Label_1391a466-f120-4668-a5e5-7af4d8a99d82_ContentBits">
    <vt:lpwstr>2</vt:lpwstr>
  </property>
</Properties>
</file>