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4F8ADC95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505586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7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CF1605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02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CF1605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C72549B" w14:textId="1293FA11" w:rsidR="00213707" w:rsidRPr="00EB3314" w:rsidRDefault="00011545" w:rsidP="00213707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b/>
          <w:bCs/>
          <w:color w:val="000000" w:themeColor="text1"/>
          <w:sz w:val="22"/>
          <w:szCs w:val="22"/>
          <w:lang w:val="x-none"/>
        </w:rPr>
      </w:pPr>
      <w:r>
        <w:rPr>
          <w:rFonts w:ascii="Intrum Sans" w:hAnsi="Intrum Sans" w:cs="Segoe UI"/>
          <w:b/>
          <w:bCs/>
          <w:color w:val="000000" w:themeColor="text1"/>
          <w:sz w:val="22"/>
          <w:szCs w:val="22"/>
        </w:rPr>
        <w:t>Czy kobiety mają większe długi niż mężczyźni? S</w:t>
      </w:r>
      <w:proofErr w:type="spellStart"/>
      <w:r w:rsidRPr="00EB3314">
        <w:rPr>
          <w:rFonts w:ascii="Intrum Sans" w:hAnsi="Intrum Sans" w:cs="Segoe UI"/>
          <w:b/>
          <w:bCs/>
          <w:color w:val="000000" w:themeColor="text1"/>
          <w:sz w:val="22"/>
          <w:szCs w:val="22"/>
          <w:lang w:val="x-none"/>
        </w:rPr>
        <w:t>ytuacja</w:t>
      </w:r>
      <w:proofErr w:type="spellEnd"/>
      <w:r w:rsidR="00EB3314" w:rsidRPr="00EB3314">
        <w:rPr>
          <w:rFonts w:ascii="Intrum Sans" w:hAnsi="Intrum Sans" w:cs="Segoe UI"/>
          <w:b/>
          <w:bCs/>
          <w:color w:val="000000" w:themeColor="text1"/>
          <w:sz w:val="22"/>
          <w:szCs w:val="22"/>
          <w:lang w:val="x-none"/>
        </w:rPr>
        <w:t xml:space="preserve"> finansowa polskich kobiet</w:t>
      </w:r>
    </w:p>
    <w:p w14:paraId="209A58FB" w14:textId="2579D82E" w:rsidR="00945F8A" w:rsidRPr="00945F8A" w:rsidRDefault="00945F8A" w:rsidP="00945F8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</w:rPr>
      </w:pPr>
      <w:bookmarkStart w:id="0" w:name="_Hlk160630852"/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8 marca obchodzimy Dzień Kobiet. Z tej okazji przyjrzeliśmy się, jak wygląda sytuacja finansowa płci pięknej </w:t>
      </w:r>
      <w:r w:rsidR="00146CD7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br/>
      </w:r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w Polsce. Często spotykanym mitem jest to, że kobiety są bardziej rozrzutne i łatwiej popadają w zadłużenie. Tymczasem z danych </w:t>
      </w:r>
      <w:proofErr w:type="spellStart"/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wynika, że niechlubne pierwsze miejsce wśród osób z zaległościami zajmują mężczyźni, którzy stanowią 64</w:t>
      </w:r>
      <w:r w:rsidR="00864125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procent</w:t>
      </w:r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tej grupy. Średnia wartość przeterminowanych zobowiązań w przypadku kobiet jest o ponad 1500 zł niższa niż u panów.</w:t>
      </w:r>
      <w:r w:rsidRPr="00945F8A">
        <w:rPr>
          <w:rFonts w:ascii="Intrum Sans" w:hAnsi="Intrum Sans" w:cs="Segoe U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Ponadto na sytuację finansową kobiet w Polsce wpływa wiele czynników. Wśród nich są między innymi</w:t>
      </w:r>
      <w:r w:rsidR="00146CD7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:</w:t>
      </w:r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samotne macierzyństwo, przebieg kariery zawodowej, a nawet przemoc ekonomiczna, która jak się okazuje może dotyczyć nawet 77</w:t>
      </w:r>
      <w:r w:rsidR="00864125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proc. </w:t>
      </w:r>
      <w:r w:rsidRPr="00945F8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kobiet dotkniętych przemocą w rodzinie.</w:t>
      </w:r>
    </w:p>
    <w:bookmarkEnd w:id="0"/>
    <w:p w14:paraId="6C9BE5C5" w14:textId="77777777" w:rsidR="00213707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Zadłużenie kobiet w Polsce</w:t>
      </w:r>
    </w:p>
    <w:p w14:paraId="4583FA4A" w14:textId="48F7FC6E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Najnowszy raport Krajowego Rejestru Długów pokazuje, że finanse Polaków nie są w najlepszym stanie. W ciągu roku zadłużenie konsumentów wzrosło o prawie 3 mld zł i wynosi 45 mld zł. Do KRD wpisanych jest ponad 2 mln osób, które od dłuższego czasu nie płacą rat kredytów i pożyczek, rachunków za telefon, </w:t>
      </w:r>
      <w:proofErr w:type="spellStart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internet</w:t>
      </w:r>
      <w:proofErr w:type="spellEnd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, telewizję, prąd, gaz czy mieszkanie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1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. </w:t>
      </w:r>
    </w:p>
    <w:p w14:paraId="7325B070" w14:textId="77777777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Zobowiązania za opłaty mieszkaniowe wynoszą 290,8 mln zł. W tym przypadku widać lekką przewagę kobiet – 51 proc. Również wartość zadłużenia jest nieco wyższa niż w przypadku mężczyzn – 153,3 mln zł wobec 137,5 mln zł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2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.</w:t>
      </w:r>
    </w:p>
    <w:p w14:paraId="07EEA470" w14:textId="42B0532B" w:rsidR="00E05FEA" w:rsidRPr="00E05FEA" w:rsidRDefault="0091480B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77187C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- </w:t>
      </w:r>
      <w:r w:rsidR="00E05FEA" w:rsidRPr="00E05FEA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Z kolei według danych </w:t>
      </w:r>
      <w:proofErr w:type="spellStart"/>
      <w:r w:rsidR="00E05FEA" w:rsidRPr="00E05FEA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>InfoDług</w:t>
      </w:r>
      <w:proofErr w:type="spellEnd"/>
      <w:r w:rsidR="00E05FEA" w:rsidRPr="00E05FEA">
        <w:rPr>
          <w:rFonts w:ascii="Intrum Sans" w:hAnsi="Intrum Sans" w:cs="Segoe UI"/>
          <w:i/>
          <w:iCs/>
          <w:color w:val="000000" w:themeColor="text1"/>
          <w:sz w:val="18"/>
          <w:szCs w:val="18"/>
        </w:rPr>
        <w:t xml:space="preserve"> w okresie od września 2022 roku do września 2023 roku nieopłacone na czas zobowiązania konsumentów zwiększyły się o ponad 7 mld zł (ponad 8 proc.), osiągając rekordowy poziom 84 mld zł. Raport pokazuje, że 4 na 10 zadłużonych stanowią kobiety, przy czym zaległości panów zwykle są wyższe, stąd ich udział w sumie długów wynosi 68%</w:t>
      </w:r>
      <w:r w:rsidR="00E05FEA" w:rsidRPr="00E05FEA">
        <w:rPr>
          <w:rFonts w:ascii="Intrum Sans" w:hAnsi="Intrum Sans" w:cs="Segoe UI"/>
          <w:i/>
          <w:iCs/>
          <w:color w:val="000000" w:themeColor="text1"/>
          <w:sz w:val="18"/>
          <w:szCs w:val="18"/>
          <w:vertAlign w:val="superscript"/>
        </w:rPr>
        <w:footnoteReference w:id="3"/>
      </w:r>
      <w:r>
        <w:rPr>
          <w:rFonts w:ascii="Intrum Sans" w:hAnsi="Intrum Sans" w:cs="Segoe UI"/>
          <w:color w:val="000000" w:themeColor="text1"/>
          <w:sz w:val="18"/>
          <w:szCs w:val="18"/>
        </w:rPr>
        <w:t xml:space="preserve"> - mówi </w:t>
      </w:r>
      <w:r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Ewelina </w:t>
      </w:r>
      <w:proofErr w:type="spellStart"/>
      <w:r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Kawałko</w:t>
      </w:r>
      <w:proofErr w:type="spellEnd"/>
      <w:r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, ekspertka</w:t>
      </w: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Pr="00E05FEA">
        <w:rPr>
          <w:rFonts w:ascii="Intrum Sans" w:hAnsi="Intrum Sans" w:cs="Segoe UI"/>
          <w:b/>
          <w:bCs/>
          <w:i/>
          <w:color w:val="000000" w:themeColor="text1"/>
          <w:sz w:val="18"/>
          <w:szCs w:val="18"/>
        </w:rPr>
        <w:t>.</w:t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</w:t>
      </w:r>
    </w:p>
    <w:p w14:paraId="692717F4" w14:textId="77777777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Wśród najbardziej zadłużonych dominują mężczyźni</w:t>
      </w:r>
    </w:p>
    <w:p w14:paraId="1BCEDF7B" w14:textId="521F72B7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Raport </w:t>
      </w:r>
      <w:proofErr w:type="spellStart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InfoDług</w:t>
      </w:r>
      <w:proofErr w:type="spellEnd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podaje również informacje o najbardziej zadłużonych Polakach. Podium zamyka 41-letnia kobieta </w:t>
      </w:r>
      <w:r w:rsidR="004F4DD5">
        <w:rPr>
          <w:rFonts w:ascii="Intrum Sans" w:hAnsi="Intrum Sans" w:cs="Segoe UI"/>
          <w:color w:val="000000" w:themeColor="text1"/>
          <w:sz w:val="18"/>
          <w:szCs w:val="18"/>
        </w:rPr>
        <w:br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z województwa pomorskiego, której zadłużenie wynosi ponad 75 mln zł. Na 5. pozycji znajduje się pani </w:t>
      </w:r>
      <w:r w:rsidR="004F4DD5">
        <w:rPr>
          <w:rFonts w:ascii="Intrum Sans" w:hAnsi="Intrum Sans" w:cs="Segoe UI"/>
          <w:color w:val="000000" w:themeColor="text1"/>
          <w:sz w:val="18"/>
          <w:szCs w:val="18"/>
        </w:rPr>
        <w:br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z województwa śląskiego, która ma 67 lat i zalega z ponad 50 mln zł. 9. pozycję zajmuje kobieta z mazowieckiego, której zadłużenie wynosi ponad 30 mln zł. Zatem aż 7 osób z top10 to mężczyźni, z których rekordzista z lubuskiego zalega z płatnościami na blisko 87 mln zł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4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.</w:t>
      </w:r>
    </w:p>
    <w:p w14:paraId="6A60447A" w14:textId="77777777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Rekordowe długi alimentacyjne</w:t>
      </w:r>
    </w:p>
    <w:p w14:paraId="0A2FF183" w14:textId="77777777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W Polsce rozwodzi się około 35% małżeństw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5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. W takiej sytuacji najczęściej to kobiety przejmują opiekę nad dzieckiem, a panowie płacą alimenty. Niestety, ale zadłużenie alimentacyjne jest bardzo wysokie. Z danych zgromadzonych w Rejestrze Dłużników BIG </w:t>
      </w:r>
      <w:proofErr w:type="spellStart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InfoMonitor</w:t>
      </w:r>
      <w:proofErr w:type="spellEnd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wynika, że grono niepłacących rodziców liczy już blisko 290 tys. osób. Kwota nieuregulowanych świadczeń to blisko 15 mld zł. Średnio na dłużnika alimentacyjnego przypadają 52 tys. zł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6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. Dla kobiet to duży problem, szczególnie że wiele matek opiekuje się potomstwem, nie mając możliwości pójścia do pracy. </w:t>
      </w:r>
    </w:p>
    <w:p w14:paraId="7196CD03" w14:textId="77777777" w:rsidR="00243AF2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  <w:t>Kobiety mają niższe dochody</w:t>
      </w:r>
    </w:p>
    <w:p w14:paraId="767BF228" w14:textId="7EB9C839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  <w:lang w:val="x-none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Z badania „Finanse w związkach” zrealizowanego dla BIG </w:t>
      </w:r>
      <w:proofErr w:type="spellStart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InfoMonitor</w:t>
      </w:r>
      <w:proofErr w:type="spellEnd"/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wynika, że w zaledwie co 5. parze dochody partnerów są podobne. Co ciekawe, mimo to mężczyźni dominują w rejestrach zadłużenia. Wyższe zarobki ma 60 proc. mężczyzn i tylko 21 proc. kobiet. Co o tym sądzą osoby, które osiągają niższe dochody? 73% nie przywiązuje do tego większej uwagi. Dla 13% to problem, z którym nie czują się dobrze. Zdecydowanie częściej mierzą się z tym kobiety i to one są bardziej drażliwe na punkcie różnic w zarobkach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7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. Trzeba przy tym wspomnieć o przemocy ekonomicznej, która – według badania „Niebieska Linia” –</w:t>
      </w:r>
      <w:r w:rsidRPr="00E05FEA">
        <w:rPr>
          <w:rFonts w:ascii="Intrum Sans" w:hAnsi="Intrum Sans" w:cs="Segoe UI"/>
          <w:b/>
          <w:color w:val="000000" w:themeColor="text1"/>
          <w:sz w:val="18"/>
          <w:szCs w:val="18"/>
        </w:rPr>
        <w:t xml:space="preserve"> </w:t>
      </w:r>
      <w:r w:rsidR="00AC43A1">
        <w:rPr>
          <w:rFonts w:ascii="Intrum Sans" w:hAnsi="Intrum Sans" w:cs="Segoe UI"/>
          <w:color w:val="000000" w:themeColor="text1"/>
          <w:sz w:val="18"/>
          <w:szCs w:val="18"/>
        </w:rPr>
        <w:t>dotyczy</w:t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ponad 70% wszystkich kobiet</w:t>
      </w:r>
      <w:r w:rsidR="00AC43A1">
        <w:rPr>
          <w:rFonts w:ascii="Intrum Sans" w:hAnsi="Intrum Sans" w:cs="Segoe UI"/>
          <w:color w:val="000000" w:themeColor="text1"/>
          <w:sz w:val="18"/>
          <w:szCs w:val="18"/>
        </w:rPr>
        <w:t xml:space="preserve"> dotkniętych </w:t>
      </w:r>
      <w:r w:rsidR="00AC43A1">
        <w:rPr>
          <w:rFonts w:ascii="Intrum Sans" w:hAnsi="Intrum Sans" w:cs="Segoe UI"/>
          <w:color w:val="000000" w:themeColor="text1"/>
          <w:sz w:val="18"/>
          <w:szCs w:val="18"/>
        </w:rPr>
        <w:lastRenderedPageBreak/>
        <w:t>przemocą</w:t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. Nie mają do dyspozycji środków na własne potrzeby, muszą się rozliczać z każdego grosza, a partnerzy zabraniają im pójścia do pracy. </w:t>
      </w:r>
    </w:p>
    <w:p w14:paraId="0C05CC90" w14:textId="22D3D630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E05FEA">
        <w:rPr>
          <w:rFonts w:ascii="Intrum Sans" w:hAnsi="Intrum Sans" w:cs="Segoe UI"/>
          <w:i/>
          <w:color w:val="000000" w:themeColor="text1"/>
          <w:sz w:val="18"/>
          <w:szCs w:val="18"/>
        </w:rPr>
        <w:t>- Problem dysproporcji w zarobkach doskwiera bardziej kobietom, gdyż po prostu zarabiają mniej. Przyczyn taki</w:t>
      </w:r>
      <w:r w:rsidR="00A62015">
        <w:rPr>
          <w:rFonts w:ascii="Intrum Sans" w:hAnsi="Intrum Sans" w:cs="Segoe UI"/>
          <w:i/>
          <w:color w:val="000000" w:themeColor="text1"/>
          <w:sz w:val="18"/>
          <w:szCs w:val="18"/>
        </w:rPr>
        <w:t>ej</w:t>
      </w:r>
      <w:r w:rsidRPr="00E05FEA">
        <w:rPr>
          <w:rFonts w:ascii="Intrum Sans" w:hAnsi="Intrum Sans" w:cs="Segoe UI"/>
          <w:i/>
          <w:color w:val="000000" w:themeColor="text1"/>
          <w:sz w:val="18"/>
          <w:szCs w:val="18"/>
        </w:rPr>
        <w:t xml:space="preserve"> sytuacji jest wiele. Panie wychowują dzieci, przebywają na urlopie wychowawczym, zazwyczaj zajmują niższe stanowiska niż panowie i mają przeciętnie niższe zarobki. W dodatku wcześniej przechodzą na emeryturę, co powoduje, że ich świadczenie może być niskie i w dużej mierze są zależne od świadczenia partnera – </w:t>
      </w: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zauważa </w:t>
      </w:r>
      <w:r w:rsidR="0091480B"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Ewelina </w:t>
      </w:r>
      <w:proofErr w:type="spellStart"/>
      <w:r w:rsidR="0091480B"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Kawałko</w:t>
      </w:r>
      <w:proofErr w:type="spellEnd"/>
      <w:r w:rsidR="0091480B" w:rsidRPr="0091480B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, ekspertka</w:t>
      </w:r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E05FEA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>Intrum</w:t>
      </w:r>
      <w:proofErr w:type="spellEnd"/>
      <w:r w:rsidRPr="00E05FEA">
        <w:rPr>
          <w:rFonts w:ascii="Intrum Sans" w:hAnsi="Intrum Sans" w:cs="Segoe UI"/>
          <w:b/>
          <w:bCs/>
          <w:i/>
          <w:color w:val="000000" w:themeColor="text1"/>
          <w:sz w:val="18"/>
          <w:szCs w:val="18"/>
        </w:rPr>
        <w:t>.</w:t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 </w:t>
      </w:r>
    </w:p>
    <w:p w14:paraId="694244EC" w14:textId="38D23E83" w:rsidR="00E05FEA" w:rsidRPr="00E05FEA" w:rsidRDefault="00E05FEA" w:rsidP="00E05FEA">
      <w:pPr>
        <w:pStyle w:val="paragraph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 xml:space="preserve">Według Głównego Urzędu Skarbowego luka płacowa w Polsce wynosi prawie 5%. Największa jest w sektorze prywatnym – blisko 13%. Kobiety gorzej od mężczyzn oceniają swoją sytuację na rynku pracy. W październiku 2023 roku GUS opublikował dane za październik 2022. Przeciętne miesięczne wynagrodzenie brutto mężczyzn było </w:t>
      </w:r>
      <w:r w:rsidR="00505586">
        <w:rPr>
          <w:rFonts w:ascii="Intrum Sans" w:hAnsi="Intrum Sans" w:cs="Segoe UI"/>
          <w:color w:val="000000" w:themeColor="text1"/>
          <w:sz w:val="18"/>
          <w:szCs w:val="18"/>
        </w:rPr>
        <w:br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o 17,6% wyższe od pensji kobiet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8"/>
      </w:r>
      <w:r w:rsidR="00A62015">
        <w:rPr>
          <w:rFonts w:ascii="Intrum Sans" w:hAnsi="Intrum Sans" w:cs="Segoe UI"/>
          <w:color w:val="000000" w:themeColor="text1"/>
          <w:sz w:val="18"/>
          <w:szCs w:val="18"/>
        </w:rPr>
        <w:t xml:space="preserve">. </w:t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Jak to wygląda w Unii Europejskiej? Podobnie. Z danych Eurostatu wynika, że kobiety pracujące w UE, zarabiają średnio 12,7% mniej za godzinę niż mężczyźni</w:t>
      </w:r>
      <w:r w:rsidRPr="00E05FEA">
        <w:rPr>
          <w:rFonts w:ascii="Intrum Sans" w:hAnsi="Intrum Sans" w:cs="Segoe UI"/>
          <w:color w:val="000000" w:themeColor="text1"/>
          <w:sz w:val="18"/>
          <w:szCs w:val="18"/>
          <w:vertAlign w:val="superscript"/>
        </w:rPr>
        <w:footnoteReference w:id="9"/>
      </w:r>
      <w:r w:rsidRPr="00E05FEA">
        <w:rPr>
          <w:rFonts w:ascii="Intrum Sans" w:hAnsi="Intrum Sans" w:cs="Segoe UI"/>
          <w:color w:val="000000" w:themeColor="text1"/>
          <w:sz w:val="18"/>
          <w:szCs w:val="18"/>
        </w:rPr>
        <w:t>.</w:t>
      </w:r>
    </w:p>
    <w:p w14:paraId="07AC5F9E" w14:textId="2C4DA29D" w:rsidR="00B33607" w:rsidRPr="003379AD" w:rsidRDefault="003379AD" w:rsidP="003379AD">
      <w:pPr>
        <w:pStyle w:val="paragraph"/>
        <w:spacing w:line="276" w:lineRule="auto"/>
        <w:textAlignment w:val="baseline"/>
        <w:rPr>
          <w:rFonts w:ascii="Intrum Sans" w:hAnsi="Intrum Sans" w:cs="Segoe UI"/>
          <w:b/>
          <w:bCs/>
          <w:color w:val="000000" w:themeColor="text1"/>
          <w:sz w:val="18"/>
          <w:szCs w:val="18"/>
        </w:rPr>
      </w:pPr>
      <w:r w:rsidRPr="003379AD">
        <w:rPr>
          <w:rFonts w:ascii="Intrum Sans" w:hAnsi="Intrum Sans" w:cs="Segoe UI"/>
          <w:b/>
          <w:bCs/>
          <w:color w:val="000000" w:themeColor="text1"/>
          <w:sz w:val="18"/>
          <w:szCs w:val="18"/>
        </w:rPr>
        <w:t xml:space="preserve"> </w:t>
      </w:r>
    </w:p>
    <w:sectPr w:rsidR="00B33607" w:rsidRPr="003379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545D" w14:textId="77777777" w:rsidR="003A06BE" w:rsidRDefault="003A06BE">
      <w:r>
        <w:separator/>
      </w:r>
    </w:p>
  </w:endnote>
  <w:endnote w:type="continuationSeparator" w:id="0">
    <w:p w14:paraId="248BF378" w14:textId="77777777" w:rsidR="003A06BE" w:rsidRDefault="003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709F" w14:textId="77777777" w:rsidR="003A06BE" w:rsidRDefault="003A06BE">
      <w:r>
        <w:separator/>
      </w:r>
    </w:p>
  </w:footnote>
  <w:footnote w:type="continuationSeparator" w:id="0">
    <w:p w14:paraId="5D8C388F" w14:textId="77777777" w:rsidR="003A06BE" w:rsidRDefault="003A06BE">
      <w:r>
        <w:continuationSeparator/>
      </w:r>
    </w:p>
  </w:footnote>
  <w:footnote w:id="1">
    <w:p w14:paraId="2E5AF1B8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Portfele Polaków w opłakanym stanie: zadłużenie rośnie, oszczędności topnieją, 26 września 2023 roku</w:t>
      </w:r>
    </w:p>
  </w:footnote>
  <w:footnote w:id="2">
    <w:p w14:paraId="71F7ED77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Milionowe długi mieszkaniowe Polaków, 17 marca 2023 roku</w:t>
      </w:r>
    </w:p>
  </w:footnote>
  <w:footnote w:id="3">
    <w:p w14:paraId="4F5DF553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Raport </w:t>
      </w:r>
      <w:proofErr w:type="spellStart"/>
      <w:r w:rsidRPr="00213707">
        <w:rPr>
          <w:rFonts w:ascii="Intrum Sans" w:hAnsi="Intrum Sans"/>
          <w:sz w:val="16"/>
          <w:szCs w:val="16"/>
        </w:rPr>
        <w:t>InfoDług</w:t>
      </w:r>
      <w:proofErr w:type="spellEnd"/>
      <w:r w:rsidRPr="00213707">
        <w:rPr>
          <w:rFonts w:ascii="Intrum Sans" w:hAnsi="Intrum Sans"/>
          <w:sz w:val="16"/>
          <w:szCs w:val="16"/>
        </w:rPr>
        <w:t xml:space="preserve">: Rekordowy wzrost zadłużenia Polaków. Inflacja bardziej zaszkodziła Polsce Wschodniej, 6 grudnia 2023. </w:t>
      </w:r>
    </w:p>
  </w:footnote>
  <w:footnote w:id="4">
    <w:p w14:paraId="62995E2C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Raport </w:t>
      </w:r>
      <w:proofErr w:type="spellStart"/>
      <w:r w:rsidRPr="00213707">
        <w:rPr>
          <w:rFonts w:ascii="Intrum Sans" w:hAnsi="Intrum Sans"/>
          <w:sz w:val="16"/>
          <w:szCs w:val="16"/>
        </w:rPr>
        <w:t>InfoDług</w:t>
      </w:r>
      <w:proofErr w:type="spellEnd"/>
      <w:r w:rsidRPr="00213707">
        <w:rPr>
          <w:rFonts w:ascii="Intrum Sans" w:hAnsi="Intrum Sans"/>
          <w:sz w:val="16"/>
          <w:szCs w:val="16"/>
        </w:rPr>
        <w:t>: Rekordowy wzrost zadłużenia Polaków. Inflacja bardziej zaszkodziła Polsce Wschodniej, 6 grudnia 2023.</w:t>
      </w:r>
    </w:p>
  </w:footnote>
  <w:footnote w:id="5">
    <w:p w14:paraId="30BEA2D7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  <w:lang w:val="en-US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  <w:lang w:val="en-US"/>
        </w:rPr>
        <w:t xml:space="preserve"> Eurostat: Marriage and divorce statistics, 2021. </w:t>
      </w:r>
    </w:p>
  </w:footnote>
  <w:footnote w:id="6">
    <w:p w14:paraId="1C79D851" w14:textId="77777777" w:rsidR="00E05FEA" w:rsidRPr="00213707" w:rsidRDefault="00E05FEA" w:rsidP="00E05FEA">
      <w:pPr>
        <w:pStyle w:val="Tekstprzypisudolnego"/>
        <w:rPr>
          <w:sz w:val="22"/>
          <w:szCs w:val="22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Rekordowe długi alimentacyjne w prezencie na święta, grudzień 2023</w:t>
      </w:r>
    </w:p>
  </w:footnote>
  <w:footnote w:id="7">
    <w:p w14:paraId="096C5679" w14:textId="77777777" w:rsidR="00E05FEA" w:rsidRPr="00213707" w:rsidRDefault="00E05FEA" w:rsidP="00E05FEA">
      <w:pPr>
        <w:pStyle w:val="Tekstprzypisudolnego"/>
        <w:rPr>
          <w:rFonts w:ascii="Intrum Sans" w:hAnsi="Intrum Sans"/>
          <w:sz w:val="14"/>
          <w:szCs w:val="14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Tylko w co piątym związku dochody obu osób są porównywalne, luty 2024</w:t>
      </w:r>
    </w:p>
  </w:footnote>
  <w:footnote w:id="8">
    <w:p w14:paraId="1C3E1888" w14:textId="77777777" w:rsidR="00E05FEA" w:rsidRPr="00213707" w:rsidRDefault="00E05FEA" w:rsidP="00E05FEA">
      <w:pPr>
        <w:pStyle w:val="Tekstprzypisudolnego"/>
        <w:rPr>
          <w:rFonts w:ascii="Intrum Sans" w:hAnsi="Intrum Sans"/>
          <w:sz w:val="16"/>
          <w:szCs w:val="16"/>
        </w:rPr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GUS: Struktura wynagrodzeń według zawodów za październik 2022 r.</w:t>
      </w:r>
    </w:p>
  </w:footnote>
  <w:footnote w:id="9">
    <w:p w14:paraId="153FD234" w14:textId="77777777" w:rsidR="00E05FEA" w:rsidRDefault="00E05FEA" w:rsidP="00E05FEA">
      <w:pPr>
        <w:pStyle w:val="Tekstprzypisudolnego"/>
      </w:pPr>
      <w:r w:rsidRPr="00213707">
        <w:rPr>
          <w:rStyle w:val="Odwoanieprzypisudolnego"/>
          <w:rFonts w:ascii="Intrum Sans" w:hAnsi="Intrum Sans"/>
          <w:sz w:val="16"/>
          <w:szCs w:val="16"/>
        </w:rPr>
        <w:footnoteRef/>
      </w:r>
      <w:r w:rsidRPr="00213707">
        <w:rPr>
          <w:rFonts w:ascii="Intrum Sans" w:hAnsi="Intrum Sans"/>
          <w:sz w:val="16"/>
          <w:szCs w:val="16"/>
        </w:rPr>
        <w:t xml:space="preserve"> Eurostat: Luka płacowa między kobietami a mężczyznami: definicja i przyczyny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11545"/>
    <w:rsid w:val="000F27B4"/>
    <w:rsid w:val="00146CD7"/>
    <w:rsid w:val="001D6E33"/>
    <w:rsid w:val="001E33E4"/>
    <w:rsid w:val="00213707"/>
    <w:rsid w:val="00243AF2"/>
    <w:rsid w:val="00255113"/>
    <w:rsid w:val="00276ACB"/>
    <w:rsid w:val="002D6508"/>
    <w:rsid w:val="002E6824"/>
    <w:rsid w:val="002F3D8A"/>
    <w:rsid w:val="00326774"/>
    <w:rsid w:val="003379AD"/>
    <w:rsid w:val="003A06BE"/>
    <w:rsid w:val="00411486"/>
    <w:rsid w:val="0042236C"/>
    <w:rsid w:val="004E49CD"/>
    <w:rsid w:val="004F4DD5"/>
    <w:rsid w:val="00505586"/>
    <w:rsid w:val="005407D5"/>
    <w:rsid w:val="005734C2"/>
    <w:rsid w:val="00684AEB"/>
    <w:rsid w:val="0077187C"/>
    <w:rsid w:val="00864125"/>
    <w:rsid w:val="00891C49"/>
    <w:rsid w:val="0091480B"/>
    <w:rsid w:val="00945F8A"/>
    <w:rsid w:val="00976956"/>
    <w:rsid w:val="00A33DC8"/>
    <w:rsid w:val="00A62015"/>
    <w:rsid w:val="00A63854"/>
    <w:rsid w:val="00AC43A1"/>
    <w:rsid w:val="00AF7AF0"/>
    <w:rsid w:val="00B27939"/>
    <w:rsid w:val="00B33607"/>
    <w:rsid w:val="00BD5C57"/>
    <w:rsid w:val="00C07463"/>
    <w:rsid w:val="00C40743"/>
    <w:rsid w:val="00CE049F"/>
    <w:rsid w:val="00CF1605"/>
    <w:rsid w:val="00DB0F7D"/>
    <w:rsid w:val="00E05FEA"/>
    <w:rsid w:val="00E07771"/>
    <w:rsid w:val="00EB3314"/>
    <w:rsid w:val="00EE723A"/>
    <w:rsid w:val="00F81211"/>
    <w:rsid w:val="00FC3FFA"/>
    <w:rsid w:val="00FD17E4"/>
    <w:rsid w:val="035A367E"/>
    <w:rsid w:val="0B395C30"/>
    <w:rsid w:val="11CBEDB8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Katarzyna Bil</cp:lastModifiedBy>
  <cp:revision>26</cp:revision>
  <cp:lastPrinted>2024-03-06T14:33:00Z</cp:lastPrinted>
  <dcterms:created xsi:type="dcterms:W3CDTF">2023-10-06T01:45:00Z</dcterms:created>
  <dcterms:modified xsi:type="dcterms:W3CDTF">2024-03-07T07:36:00Z</dcterms:modified>
</cp:coreProperties>
</file>