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0AE2" w14:textId="6E61E151" w:rsidR="00912639" w:rsidRPr="00445695" w:rsidRDefault="00912639" w:rsidP="00912639">
      <w:pPr>
        <w:pStyle w:val="paragraph"/>
        <w:spacing w:before="0" w:beforeAutospacing="0" w:after="0" w:afterAutospacing="0" w:line="276" w:lineRule="auto"/>
        <w:jc w:val="right"/>
        <w:textAlignment w:val="baseline"/>
        <w:rPr>
          <w:rFonts w:ascii="Intrum Sans" w:hAnsi="Intrum Sans" w:cs="Segoe UI"/>
          <w:sz w:val="27"/>
          <w:szCs w:val="27"/>
        </w:rPr>
      </w:pPr>
      <w:r w:rsidRPr="00445695">
        <w:rPr>
          <w:rStyle w:val="normaltextrun"/>
          <w:rFonts w:ascii="Intrum Sans" w:hAnsi="Intrum Sans" w:cs="Segoe UI"/>
          <w:color w:val="000000" w:themeColor="text1"/>
          <w:sz w:val="18"/>
          <w:szCs w:val="18"/>
        </w:rPr>
        <w:t xml:space="preserve">Materiał prasowy, </w:t>
      </w:r>
      <w:r w:rsidR="00451161">
        <w:rPr>
          <w:rStyle w:val="normaltextrun"/>
          <w:rFonts w:ascii="Intrum Sans" w:hAnsi="Intrum Sans" w:cs="Segoe UI"/>
          <w:color w:val="000000" w:themeColor="text1"/>
          <w:sz w:val="18"/>
          <w:szCs w:val="18"/>
        </w:rPr>
        <w:t>15</w:t>
      </w:r>
      <w:r w:rsidRPr="00445695">
        <w:rPr>
          <w:rStyle w:val="normaltextrun"/>
          <w:rFonts w:ascii="Intrum Sans" w:hAnsi="Intrum Sans" w:cs="Segoe UI"/>
          <w:color w:val="000000" w:themeColor="text1"/>
          <w:sz w:val="18"/>
          <w:szCs w:val="18"/>
        </w:rPr>
        <w:t>.03.2024 r.</w:t>
      </w:r>
      <w:r w:rsidRPr="00445695">
        <w:rPr>
          <w:rStyle w:val="normaltextrun"/>
          <w:rFonts w:ascii="Intrum Sans" w:hAnsi="Intrum Sans"/>
          <w:color w:val="000000" w:themeColor="text1"/>
          <w:sz w:val="18"/>
          <w:szCs w:val="18"/>
        </w:rPr>
        <w:t> </w:t>
      </w:r>
      <w:r w:rsidRPr="00445695">
        <w:rPr>
          <w:rStyle w:val="normaltextrun"/>
          <w:rFonts w:ascii="Intrum Sans" w:hAnsi="Intrum Sans" w:cs="Segoe UI"/>
          <w:color w:val="000000" w:themeColor="text1"/>
          <w:sz w:val="18"/>
          <w:szCs w:val="18"/>
        </w:rPr>
        <w:t> </w:t>
      </w:r>
      <w:r w:rsidRPr="00445695">
        <w:rPr>
          <w:rStyle w:val="eop"/>
          <w:rFonts w:ascii="Intrum Sans" w:hAnsi="Intrum Sans" w:cs="Segoe UI"/>
          <w:color w:val="000000" w:themeColor="text1"/>
          <w:sz w:val="18"/>
          <w:szCs w:val="18"/>
        </w:rPr>
        <w:t> </w:t>
      </w:r>
    </w:p>
    <w:p w14:paraId="7C7247FF" w14:textId="77777777" w:rsidR="00912639" w:rsidRPr="00445695" w:rsidRDefault="00912639" w:rsidP="00912639">
      <w:pPr>
        <w:rPr>
          <w:rFonts w:ascii="Intrum Sans" w:hAnsi="Intrum Sans"/>
          <w:b/>
          <w:bCs/>
          <w:sz w:val="18"/>
          <w:szCs w:val="18"/>
        </w:rPr>
      </w:pPr>
    </w:p>
    <w:p w14:paraId="244C62B7" w14:textId="77777777" w:rsidR="00912639" w:rsidRPr="00445695" w:rsidRDefault="00912639" w:rsidP="00912639">
      <w:pPr>
        <w:rPr>
          <w:rFonts w:ascii="Intrum Sans" w:hAnsi="Intrum Sans"/>
          <w:b/>
          <w:bCs/>
          <w:sz w:val="18"/>
          <w:szCs w:val="18"/>
        </w:rPr>
      </w:pPr>
    </w:p>
    <w:p w14:paraId="79792562" w14:textId="77777777" w:rsidR="00451161" w:rsidRDefault="00451161" w:rsidP="00451161">
      <w:pPr>
        <w:jc w:val="both"/>
        <w:rPr>
          <w:rFonts w:ascii="Intrum Sans" w:hAnsi="Intrum Sans"/>
          <w:b/>
          <w:bCs/>
        </w:rPr>
      </w:pPr>
      <w:r w:rsidRPr="00A77401">
        <w:rPr>
          <w:rFonts w:ascii="Intrum Sans" w:hAnsi="Intrum Sans"/>
          <w:b/>
          <w:bCs/>
        </w:rPr>
        <w:t xml:space="preserve">Chciwość czy przedsiębiorczość? Konsumenci w cieniu </w:t>
      </w:r>
      <w:proofErr w:type="spellStart"/>
      <w:r w:rsidRPr="00A77401">
        <w:rPr>
          <w:rFonts w:ascii="Intrum Sans" w:hAnsi="Intrum Sans"/>
          <w:b/>
          <w:bCs/>
        </w:rPr>
        <w:t>greedflacji</w:t>
      </w:r>
      <w:proofErr w:type="spellEnd"/>
    </w:p>
    <w:p w14:paraId="1B01F09B" w14:textId="77777777" w:rsidR="00451161" w:rsidRDefault="00451161" w:rsidP="00451161">
      <w:pPr>
        <w:jc w:val="both"/>
        <w:rPr>
          <w:rFonts w:ascii="Intrum Sans" w:hAnsi="Intrum Sans"/>
        </w:rPr>
      </w:pPr>
    </w:p>
    <w:p w14:paraId="379C23F4" w14:textId="77777777" w:rsidR="00451161" w:rsidRDefault="00451161" w:rsidP="00451161">
      <w:pPr>
        <w:jc w:val="both"/>
        <w:rPr>
          <w:rFonts w:ascii="Intrum Sans" w:hAnsi="Intrum Sans"/>
          <w:b/>
          <w:bCs/>
          <w:sz w:val="18"/>
          <w:szCs w:val="18"/>
        </w:rPr>
      </w:pPr>
      <w:r w:rsidRPr="008D25B7">
        <w:rPr>
          <w:rFonts w:ascii="Intrum Sans" w:hAnsi="Intrum Sans"/>
          <w:b/>
          <w:bCs/>
          <w:sz w:val="18"/>
          <w:szCs w:val="18"/>
        </w:rPr>
        <w:t xml:space="preserve">Galopujące podwyżki cen sprawiają, że codzienne zakupy stają się niebezpieczne dla naszych portfeli niczym wyprawa do dżungli, w której czyha wiele niespodzianek, a jedną z najbardziej zjadliwych jest </w:t>
      </w:r>
      <w:proofErr w:type="spellStart"/>
      <w:r w:rsidRPr="008D25B7">
        <w:rPr>
          <w:rFonts w:ascii="Intrum Sans" w:hAnsi="Intrum Sans"/>
          <w:b/>
          <w:bCs/>
          <w:sz w:val="18"/>
          <w:szCs w:val="18"/>
        </w:rPr>
        <w:t>greedflacja</w:t>
      </w:r>
      <w:proofErr w:type="spellEnd"/>
      <w:r w:rsidRPr="008D25B7">
        <w:rPr>
          <w:rFonts w:ascii="Intrum Sans" w:hAnsi="Intrum Sans"/>
          <w:b/>
          <w:bCs/>
          <w:sz w:val="18"/>
          <w:szCs w:val="18"/>
        </w:rPr>
        <w:t xml:space="preserve">. Chociaż, jak wynika z Raportu </w:t>
      </w:r>
      <w:proofErr w:type="spellStart"/>
      <w:r w:rsidRPr="008D25B7">
        <w:rPr>
          <w:rFonts w:ascii="Intrum Sans" w:hAnsi="Intrum Sans"/>
          <w:b/>
          <w:bCs/>
          <w:sz w:val="18"/>
          <w:szCs w:val="18"/>
        </w:rPr>
        <w:t>Intrum</w:t>
      </w:r>
      <w:proofErr w:type="spellEnd"/>
      <w:r>
        <w:rPr>
          <w:rFonts w:ascii="Intrum Sans" w:hAnsi="Intrum Sans"/>
          <w:b/>
          <w:bCs/>
          <w:sz w:val="18"/>
          <w:szCs w:val="18"/>
        </w:rPr>
        <w:t xml:space="preserve"> </w:t>
      </w:r>
      <w:r w:rsidRPr="00A153F6">
        <w:rPr>
          <w:rFonts w:ascii="Intrum Sans" w:hAnsi="Intrum Sans"/>
          <w:b/>
          <w:bCs/>
          <w:sz w:val="18"/>
          <w:szCs w:val="18"/>
        </w:rPr>
        <w:t>„</w:t>
      </w:r>
      <w:proofErr w:type="spellStart"/>
      <w:r w:rsidRPr="00A153F6">
        <w:rPr>
          <w:rFonts w:ascii="Intrum Sans" w:hAnsi="Intrum Sans"/>
          <w:b/>
          <w:bCs/>
          <w:sz w:val="18"/>
          <w:szCs w:val="18"/>
        </w:rPr>
        <w:t>European</w:t>
      </w:r>
      <w:proofErr w:type="spellEnd"/>
      <w:r w:rsidRPr="00A153F6">
        <w:rPr>
          <w:rFonts w:ascii="Intrum Sans" w:hAnsi="Intrum Sans"/>
          <w:b/>
          <w:bCs/>
          <w:sz w:val="18"/>
          <w:szCs w:val="18"/>
        </w:rPr>
        <w:t xml:space="preserve"> Consumer </w:t>
      </w:r>
      <w:proofErr w:type="spellStart"/>
      <w:r w:rsidRPr="00A153F6">
        <w:rPr>
          <w:rFonts w:ascii="Intrum Sans" w:hAnsi="Intrum Sans"/>
          <w:b/>
          <w:bCs/>
          <w:sz w:val="18"/>
          <w:szCs w:val="18"/>
        </w:rPr>
        <w:t>Payment</w:t>
      </w:r>
      <w:proofErr w:type="spellEnd"/>
      <w:r w:rsidRPr="00A153F6">
        <w:rPr>
          <w:rFonts w:ascii="Intrum Sans" w:hAnsi="Intrum Sans"/>
          <w:b/>
          <w:bCs/>
          <w:sz w:val="18"/>
          <w:szCs w:val="18"/>
        </w:rPr>
        <w:t xml:space="preserve"> Report 2023”</w:t>
      </w:r>
      <w:r w:rsidRPr="008D25B7">
        <w:rPr>
          <w:rFonts w:ascii="Intrum Sans" w:hAnsi="Intrum Sans"/>
          <w:b/>
          <w:bCs/>
          <w:sz w:val="18"/>
          <w:szCs w:val="18"/>
        </w:rPr>
        <w:t xml:space="preserve">, praktykę tę zdecydowanie potępia </w:t>
      </w:r>
      <w:r w:rsidRPr="00A153F6">
        <w:rPr>
          <w:rFonts w:ascii="Intrum Sans" w:hAnsi="Intrum Sans"/>
          <w:b/>
          <w:bCs/>
          <w:sz w:val="18"/>
          <w:szCs w:val="18"/>
        </w:rPr>
        <w:t xml:space="preserve">aż 67% ankietowanych Europejczyków, wiele firm </w:t>
      </w:r>
      <w:r>
        <w:rPr>
          <w:rFonts w:ascii="Intrum Sans" w:hAnsi="Intrum Sans"/>
          <w:b/>
          <w:bCs/>
          <w:sz w:val="18"/>
          <w:szCs w:val="18"/>
        </w:rPr>
        <w:t>stawia</w:t>
      </w:r>
      <w:r w:rsidRPr="00A153F6">
        <w:rPr>
          <w:rFonts w:ascii="Intrum Sans" w:hAnsi="Intrum Sans"/>
          <w:b/>
          <w:bCs/>
          <w:sz w:val="18"/>
          <w:szCs w:val="18"/>
        </w:rPr>
        <w:t xml:space="preserve"> chwilowe zyski </w:t>
      </w:r>
      <w:r>
        <w:rPr>
          <w:rFonts w:ascii="Intrum Sans" w:hAnsi="Intrum Sans"/>
          <w:b/>
          <w:bCs/>
          <w:sz w:val="18"/>
          <w:szCs w:val="18"/>
        </w:rPr>
        <w:t>ponad</w:t>
      </w:r>
      <w:r w:rsidRPr="00A153F6">
        <w:rPr>
          <w:rFonts w:ascii="Intrum Sans" w:hAnsi="Intrum Sans"/>
          <w:b/>
          <w:bCs/>
          <w:sz w:val="18"/>
          <w:szCs w:val="18"/>
        </w:rPr>
        <w:t xml:space="preserve"> reputacj</w:t>
      </w:r>
      <w:r>
        <w:rPr>
          <w:rFonts w:ascii="Intrum Sans" w:hAnsi="Intrum Sans"/>
          <w:b/>
          <w:bCs/>
          <w:sz w:val="18"/>
          <w:szCs w:val="18"/>
        </w:rPr>
        <w:t>ę</w:t>
      </w:r>
      <w:r w:rsidRPr="00A153F6">
        <w:rPr>
          <w:rFonts w:ascii="Intrum Sans" w:hAnsi="Intrum Sans"/>
          <w:b/>
          <w:bCs/>
          <w:sz w:val="18"/>
          <w:szCs w:val="18"/>
        </w:rPr>
        <w:t xml:space="preserve"> i </w:t>
      </w:r>
      <w:r>
        <w:rPr>
          <w:rFonts w:ascii="Intrum Sans" w:hAnsi="Intrum Sans"/>
          <w:b/>
          <w:bCs/>
          <w:sz w:val="18"/>
          <w:szCs w:val="18"/>
        </w:rPr>
        <w:t>relacje</w:t>
      </w:r>
      <w:r w:rsidRPr="00A153F6">
        <w:rPr>
          <w:rFonts w:ascii="Intrum Sans" w:hAnsi="Intrum Sans"/>
          <w:b/>
          <w:bCs/>
          <w:sz w:val="18"/>
          <w:szCs w:val="18"/>
        </w:rPr>
        <w:t xml:space="preserve"> </w:t>
      </w:r>
      <w:r w:rsidRPr="00A153F6">
        <w:rPr>
          <w:rFonts w:ascii="Intrum Sans" w:hAnsi="Intrum Sans"/>
          <w:b/>
          <w:bCs/>
          <w:sz w:val="18"/>
          <w:szCs w:val="18"/>
        </w:rPr>
        <w:t xml:space="preserve">z klientami. W Światowym Dniu Praw Konsumenta postanowiliśmy sprawdzić, na ile prawo chroni konsumentów przed </w:t>
      </w:r>
      <w:r>
        <w:rPr>
          <w:rFonts w:ascii="Intrum Sans" w:hAnsi="Intrum Sans"/>
          <w:b/>
          <w:bCs/>
          <w:sz w:val="18"/>
          <w:szCs w:val="18"/>
        </w:rPr>
        <w:t xml:space="preserve">tego typu </w:t>
      </w:r>
      <w:r w:rsidRPr="00A153F6">
        <w:rPr>
          <w:rFonts w:ascii="Intrum Sans" w:hAnsi="Intrum Sans"/>
          <w:b/>
          <w:bCs/>
          <w:sz w:val="18"/>
          <w:szCs w:val="18"/>
        </w:rPr>
        <w:t>nieuczciwymi praktykami cenowymi i jakimi metodami mogą zadbać oni o swoje interesy.</w:t>
      </w:r>
    </w:p>
    <w:p w14:paraId="185585FC" w14:textId="77777777" w:rsidR="00451161" w:rsidRPr="00A77401" w:rsidRDefault="00451161" w:rsidP="00451161">
      <w:pPr>
        <w:jc w:val="both"/>
        <w:rPr>
          <w:rFonts w:ascii="Intrum Sans" w:hAnsi="Intrum Sans"/>
          <w:b/>
          <w:bCs/>
          <w:sz w:val="18"/>
          <w:szCs w:val="18"/>
        </w:rPr>
      </w:pPr>
    </w:p>
    <w:p w14:paraId="7C1C0B26" w14:textId="77777777" w:rsidR="00451161" w:rsidRDefault="00451161" w:rsidP="00451161">
      <w:pPr>
        <w:jc w:val="both"/>
        <w:rPr>
          <w:rFonts w:ascii="Intrum Sans" w:hAnsi="Intrum Sans"/>
          <w:b/>
          <w:bCs/>
          <w:sz w:val="18"/>
          <w:szCs w:val="18"/>
        </w:rPr>
      </w:pPr>
      <w:r>
        <w:rPr>
          <w:rFonts w:ascii="Intrum Sans" w:hAnsi="Intrum Sans"/>
          <w:b/>
          <w:bCs/>
          <w:sz w:val="18"/>
          <w:szCs w:val="18"/>
        </w:rPr>
        <w:t>Brak wiedzy sprawia, że zgadzamy się na podwyżki…</w:t>
      </w:r>
    </w:p>
    <w:p w14:paraId="0365884B" w14:textId="77777777" w:rsidR="00451161" w:rsidRPr="00A77401" w:rsidRDefault="00451161" w:rsidP="00451161">
      <w:pPr>
        <w:jc w:val="both"/>
        <w:rPr>
          <w:rFonts w:ascii="Intrum Sans" w:hAnsi="Intrum Sans"/>
          <w:b/>
          <w:bCs/>
          <w:sz w:val="18"/>
          <w:szCs w:val="18"/>
        </w:rPr>
      </w:pPr>
    </w:p>
    <w:p w14:paraId="5AE4A3E5" w14:textId="77777777" w:rsidR="00451161" w:rsidRDefault="00451161" w:rsidP="00451161">
      <w:pPr>
        <w:jc w:val="both"/>
        <w:rPr>
          <w:rFonts w:ascii="Intrum Sans" w:hAnsi="Intrum Sans"/>
          <w:sz w:val="18"/>
          <w:szCs w:val="18"/>
        </w:rPr>
      </w:pPr>
      <w:r w:rsidRPr="00A77401">
        <w:rPr>
          <w:rFonts w:ascii="Intrum Sans" w:hAnsi="Intrum Sans"/>
          <w:sz w:val="18"/>
          <w:szCs w:val="18"/>
        </w:rPr>
        <w:t xml:space="preserve">Pojęcie </w:t>
      </w:r>
      <w:proofErr w:type="spellStart"/>
      <w:r w:rsidRPr="00A77401">
        <w:rPr>
          <w:rFonts w:ascii="Intrum Sans" w:hAnsi="Intrum Sans"/>
          <w:sz w:val="18"/>
          <w:szCs w:val="18"/>
        </w:rPr>
        <w:t>greedflacji</w:t>
      </w:r>
      <w:proofErr w:type="spellEnd"/>
      <w:r w:rsidRPr="00A77401">
        <w:rPr>
          <w:rFonts w:ascii="Intrum Sans" w:hAnsi="Intrum Sans"/>
          <w:sz w:val="18"/>
          <w:szCs w:val="18"/>
        </w:rPr>
        <w:t xml:space="preserve"> oznacza sytuację, w której ceny produktów i usług rosną </w:t>
      </w:r>
      <w:r>
        <w:rPr>
          <w:rFonts w:ascii="Intrum Sans" w:hAnsi="Intrum Sans"/>
          <w:sz w:val="18"/>
          <w:szCs w:val="18"/>
        </w:rPr>
        <w:t>niewspółmiernie szybko w stosunku do wzrostu nakładów ponoszonych w związku z ich wytworzeniem i dostarczeniem na rynek</w:t>
      </w:r>
      <w:r w:rsidRPr="00A77401">
        <w:rPr>
          <w:rFonts w:ascii="Intrum Sans" w:hAnsi="Intrum Sans"/>
          <w:sz w:val="18"/>
          <w:szCs w:val="18"/>
        </w:rPr>
        <w:t>. T</w:t>
      </w:r>
      <w:r>
        <w:rPr>
          <w:rFonts w:ascii="Intrum Sans" w:hAnsi="Intrum Sans"/>
          <w:sz w:val="18"/>
          <w:szCs w:val="18"/>
        </w:rPr>
        <w:t>a</w:t>
      </w:r>
      <w:r w:rsidRPr="00A77401">
        <w:rPr>
          <w:rFonts w:ascii="Intrum Sans" w:hAnsi="Intrum Sans"/>
          <w:sz w:val="18"/>
          <w:szCs w:val="18"/>
        </w:rPr>
        <w:t xml:space="preserve"> próba maksymalizowania własnych zysków kosztem konsumentów, </w:t>
      </w:r>
      <w:r>
        <w:rPr>
          <w:rFonts w:ascii="Intrum Sans" w:hAnsi="Intrum Sans"/>
          <w:sz w:val="18"/>
          <w:szCs w:val="18"/>
        </w:rPr>
        <w:t>połączona z brakiem możliwości ciągłego analizowania cen przez tych drugich, niesie szereg</w:t>
      </w:r>
      <w:r w:rsidRPr="00A77401">
        <w:rPr>
          <w:rFonts w:ascii="Intrum Sans" w:hAnsi="Intrum Sans"/>
          <w:sz w:val="18"/>
          <w:szCs w:val="18"/>
        </w:rPr>
        <w:t xml:space="preserve"> </w:t>
      </w:r>
      <w:r>
        <w:rPr>
          <w:rFonts w:ascii="Intrum Sans" w:hAnsi="Intrum Sans"/>
          <w:sz w:val="18"/>
          <w:szCs w:val="18"/>
        </w:rPr>
        <w:t xml:space="preserve">negatywnych </w:t>
      </w:r>
      <w:r w:rsidRPr="00A77401">
        <w:rPr>
          <w:rFonts w:ascii="Intrum Sans" w:hAnsi="Intrum Sans"/>
          <w:sz w:val="18"/>
          <w:szCs w:val="18"/>
        </w:rPr>
        <w:t>konsekwencji</w:t>
      </w:r>
      <w:r>
        <w:rPr>
          <w:rFonts w:ascii="Intrum Sans" w:hAnsi="Intrum Sans"/>
          <w:sz w:val="18"/>
          <w:szCs w:val="18"/>
        </w:rPr>
        <w:t xml:space="preserve">. </w:t>
      </w:r>
      <w:r w:rsidRPr="00A77401">
        <w:rPr>
          <w:rFonts w:ascii="Intrum Sans" w:hAnsi="Intrum Sans"/>
          <w:sz w:val="18"/>
          <w:szCs w:val="18"/>
        </w:rPr>
        <w:t>–</w:t>
      </w:r>
      <w:r>
        <w:rPr>
          <w:rFonts w:ascii="Intrum Sans" w:hAnsi="Intrum Sans"/>
          <w:sz w:val="18"/>
          <w:szCs w:val="18"/>
        </w:rPr>
        <w:t xml:space="preserve"> </w:t>
      </w:r>
      <w:r w:rsidRPr="00A153F6">
        <w:rPr>
          <w:rFonts w:ascii="Intrum Sans" w:hAnsi="Intrum Sans"/>
          <w:i/>
          <w:iCs/>
          <w:sz w:val="18"/>
          <w:szCs w:val="18"/>
        </w:rPr>
        <w:t xml:space="preserve">W szczególności cenowe „zamieszanie” sprawia, że klienci przepłacają za wiele podstawowych produktów i </w:t>
      </w:r>
      <w:r>
        <w:rPr>
          <w:rFonts w:ascii="Intrum Sans" w:hAnsi="Intrum Sans"/>
          <w:i/>
          <w:iCs/>
          <w:sz w:val="18"/>
          <w:szCs w:val="18"/>
        </w:rPr>
        <w:t xml:space="preserve">w efekcie </w:t>
      </w:r>
      <w:r w:rsidRPr="00A153F6">
        <w:rPr>
          <w:rFonts w:ascii="Intrum Sans" w:hAnsi="Intrum Sans"/>
          <w:i/>
          <w:iCs/>
          <w:sz w:val="18"/>
          <w:szCs w:val="18"/>
        </w:rPr>
        <w:t>spada siła nabywcza ich portfeli.</w:t>
      </w:r>
      <w:r w:rsidRPr="00C77E0B">
        <w:rPr>
          <w:rFonts w:ascii="Intrum Sans" w:hAnsi="Intrum Sans"/>
          <w:i/>
          <w:iCs/>
          <w:sz w:val="18"/>
          <w:szCs w:val="18"/>
        </w:rPr>
        <w:t xml:space="preserve"> Pensje zwyczajnie nie nadążają za wzrostem cen produktów. Dochodzimy do sytuacji, w której trudno jest przetrwać „od pierwszego do pierwszego</w:t>
      </w:r>
      <w:r>
        <w:rPr>
          <w:rFonts w:ascii="Intrum Sans" w:hAnsi="Intrum Sans"/>
          <w:i/>
          <w:iCs/>
          <w:sz w:val="18"/>
          <w:szCs w:val="18"/>
        </w:rPr>
        <w:t>”</w:t>
      </w:r>
      <w:r w:rsidRPr="00C77E0B">
        <w:rPr>
          <w:rFonts w:ascii="Intrum Sans" w:hAnsi="Intrum Sans"/>
          <w:i/>
          <w:iCs/>
          <w:sz w:val="18"/>
          <w:szCs w:val="18"/>
        </w:rPr>
        <w:t xml:space="preserve"> i utrzymać dotychczasową stopę życiową</w:t>
      </w:r>
      <w:r w:rsidRPr="00A153F6">
        <w:rPr>
          <w:rFonts w:ascii="Intrum Sans" w:hAnsi="Intrum Sans"/>
          <w:i/>
          <w:iCs/>
          <w:sz w:val="18"/>
          <w:szCs w:val="18"/>
        </w:rPr>
        <w:t xml:space="preserve"> </w:t>
      </w:r>
      <w:r w:rsidRPr="00A77401">
        <w:rPr>
          <w:rFonts w:ascii="Intrum Sans" w:hAnsi="Intrum Sans"/>
          <w:sz w:val="18"/>
          <w:szCs w:val="18"/>
        </w:rPr>
        <w:t xml:space="preserve">– mówi </w:t>
      </w:r>
      <w:r w:rsidRPr="00A77401">
        <w:rPr>
          <w:rFonts w:ascii="Intrum Sans" w:hAnsi="Intrum Sans"/>
          <w:b/>
          <w:bCs/>
          <w:sz w:val="18"/>
          <w:szCs w:val="18"/>
        </w:rPr>
        <w:t xml:space="preserve">Piotr Szymański, </w:t>
      </w:r>
      <w:r>
        <w:rPr>
          <w:rFonts w:ascii="Intrum Sans" w:hAnsi="Intrum Sans"/>
          <w:b/>
          <w:bCs/>
          <w:sz w:val="18"/>
          <w:szCs w:val="18"/>
        </w:rPr>
        <w:t xml:space="preserve">ekspert </w:t>
      </w:r>
      <w:proofErr w:type="spellStart"/>
      <w:r>
        <w:rPr>
          <w:rFonts w:ascii="Intrum Sans" w:hAnsi="Intrum Sans"/>
          <w:b/>
          <w:bCs/>
          <w:sz w:val="18"/>
          <w:szCs w:val="18"/>
        </w:rPr>
        <w:t>Intrum</w:t>
      </w:r>
      <w:proofErr w:type="spellEnd"/>
      <w:r>
        <w:rPr>
          <w:rStyle w:val="Odwoanieprzypisudolnego"/>
          <w:rFonts w:ascii="Intrum Sans" w:hAnsi="Intrum Sans"/>
          <w:b/>
          <w:bCs/>
          <w:sz w:val="18"/>
          <w:szCs w:val="18"/>
        </w:rPr>
        <w:footnoteReference w:id="1"/>
      </w:r>
      <w:r>
        <w:rPr>
          <w:rFonts w:ascii="Intrum Sans" w:hAnsi="Intrum Sans"/>
          <w:b/>
          <w:bCs/>
          <w:sz w:val="18"/>
          <w:szCs w:val="18"/>
        </w:rPr>
        <w:t xml:space="preserve">. </w:t>
      </w:r>
      <w:r w:rsidRPr="00A77401">
        <w:rPr>
          <w:rFonts w:ascii="Intrum Sans" w:hAnsi="Intrum Sans"/>
          <w:sz w:val="18"/>
          <w:szCs w:val="18"/>
        </w:rPr>
        <w:t>–</w:t>
      </w:r>
      <w:r>
        <w:rPr>
          <w:rFonts w:ascii="Intrum Sans" w:hAnsi="Intrum Sans"/>
          <w:b/>
          <w:bCs/>
          <w:sz w:val="18"/>
          <w:szCs w:val="18"/>
        </w:rPr>
        <w:t xml:space="preserve"> </w:t>
      </w:r>
      <w:r w:rsidRPr="00A153F6">
        <w:rPr>
          <w:rFonts w:ascii="Intrum Sans" w:hAnsi="Intrum Sans"/>
          <w:i/>
          <w:iCs/>
          <w:sz w:val="18"/>
          <w:szCs w:val="18"/>
        </w:rPr>
        <w:t xml:space="preserve">Podnoszenie cen stało się swego rodzaju normą od czasu pandemii, która oswoiła nas z rosnącymi kosztami utrzymania </w:t>
      </w:r>
      <w:r>
        <w:rPr>
          <w:rFonts w:ascii="Intrum Sans" w:hAnsi="Intrum Sans"/>
          <w:sz w:val="18"/>
          <w:szCs w:val="18"/>
        </w:rPr>
        <w:t xml:space="preserve">– dodaje ekspert. </w:t>
      </w:r>
    </w:p>
    <w:p w14:paraId="76A4FA58" w14:textId="77777777" w:rsidR="00451161" w:rsidRDefault="00451161" w:rsidP="00451161">
      <w:pPr>
        <w:jc w:val="both"/>
        <w:rPr>
          <w:rFonts w:ascii="Intrum Sans" w:hAnsi="Intrum Sans"/>
          <w:sz w:val="18"/>
          <w:szCs w:val="18"/>
        </w:rPr>
      </w:pPr>
    </w:p>
    <w:p w14:paraId="10706209" w14:textId="77777777" w:rsidR="00451161" w:rsidRDefault="00451161" w:rsidP="00451161">
      <w:pPr>
        <w:jc w:val="both"/>
        <w:rPr>
          <w:rFonts w:ascii="Intrum Sans" w:hAnsi="Intrum Sans"/>
          <w:sz w:val="18"/>
          <w:szCs w:val="18"/>
        </w:rPr>
      </w:pPr>
      <w:r w:rsidRPr="00A77401">
        <w:rPr>
          <w:rFonts w:ascii="Intrum Sans" w:hAnsi="Intrum Sans"/>
          <w:sz w:val="18"/>
          <w:szCs w:val="18"/>
        </w:rPr>
        <w:t xml:space="preserve">Jak wynika z 50. edycji </w:t>
      </w:r>
      <w:r>
        <w:rPr>
          <w:rFonts w:ascii="Intrum Sans" w:hAnsi="Intrum Sans"/>
          <w:sz w:val="18"/>
          <w:szCs w:val="18"/>
        </w:rPr>
        <w:t>raportu</w:t>
      </w:r>
      <w:r w:rsidRPr="00A77401">
        <w:rPr>
          <w:rFonts w:ascii="Intrum Sans" w:hAnsi="Intrum Sans"/>
          <w:sz w:val="18"/>
          <w:szCs w:val="18"/>
        </w:rPr>
        <w:t xml:space="preserve"> „Consumer </w:t>
      </w:r>
      <w:proofErr w:type="spellStart"/>
      <w:r w:rsidRPr="00A77401">
        <w:rPr>
          <w:rFonts w:ascii="Intrum Sans" w:hAnsi="Intrum Sans"/>
          <w:sz w:val="18"/>
          <w:szCs w:val="18"/>
        </w:rPr>
        <w:t>Signals</w:t>
      </w:r>
      <w:proofErr w:type="spellEnd"/>
      <w:r w:rsidRPr="00A77401">
        <w:rPr>
          <w:rFonts w:ascii="Intrum Sans" w:hAnsi="Intrum Sans"/>
          <w:sz w:val="18"/>
          <w:szCs w:val="18"/>
        </w:rPr>
        <w:t>” firmy doradczej Deloitte, aż 70% badanych Polaków zakłada dalszy wzrost cen żywności</w:t>
      </w:r>
      <w:r w:rsidRPr="00A77401">
        <w:rPr>
          <w:rStyle w:val="Odwoanieprzypisudolnego"/>
          <w:rFonts w:ascii="Intrum Sans" w:hAnsi="Intrum Sans"/>
          <w:sz w:val="18"/>
          <w:szCs w:val="18"/>
        </w:rPr>
        <w:footnoteReference w:id="2"/>
      </w:r>
      <w:r w:rsidRPr="00A77401">
        <w:rPr>
          <w:rFonts w:ascii="Intrum Sans" w:hAnsi="Intrum Sans"/>
          <w:sz w:val="18"/>
          <w:szCs w:val="18"/>
        </w:rPr>
        <w:t>.</w:t>
      </w:r>
      <w:r>
        <w:rPr>
          <w:rFonts w:ascii="Intrum Sans" w:hAnsi="Intrum Sans"/>
          <w:sz w:val="18"/>
          <w:szCs w:val="18"/>
        </w:rPr>
        <w:t xml:space="preserve"> Szeroko komunikowany wzrost kosztów działalności firm sprawił, że zmiany stały się bardziej akceptowalne moralnie, chociaż badania pokazały, że np. przychody przedsiębiorstw gastronomicznych czy oferujących zakwaterowanie rosły szybciej niż koszty (odpowiednio 40 i 34%)</w:t>
      </w:r>
      <w:r>
        <w:rPr>
          <w:rStyle w:val="Odwoanieprzypisudolnego"/>
          <w:rFonts w:ascii="Intrum Sans" w:hAnsi="Intrum Sans"/>
          <w:sz w:val="18"/>
          <w:szCs w:val="18"/>
        </w:rPr>
        <w:footnoteReference w:id="3"/>
      </w:r>
      <w:r>
        <w:rPr>
          <w:rFonts w:ascii="Intrum Sans" w:hAnsi="Intrum Sans"/>
          <w:sz w:val="18"/>
          <w:szCs w:val="18"/>
        </w:rPr>
        <w:t>. Istnienie wspomnianego „</w:t>
      </w:r>
      <w:proofErr w:type="spellStart"/>
      <w:r>
        <w:rPr>
          <w:rFonts w:ascii="Intrum Sans" w:hAnsi="Intrum Sans"/>
          <w:sz w:val="18"/>
          <w:szCs w:val="18"/>
        </w:rPr>
        <w:t>new</w:t>
      </w:r>
      <w:proofErr w:type="spellEnd"/>
      <w:r>
        <w:rPr>
          <w:rFonts w:ascii="Intrum Sans" w:hAnsi="Intrum Sans"/>
          <w:sz w:val="18"/>
          <w:szCs w:val="18"/>
        </w:rPr>
        <w:t xml:space="preserve"> </w:t>
      </w:r>
      <w:proofErr w:type="spellStart"/>
      <w:r>
        <w:rPr>
          <w:rFonts w:ascii="Intrum Sans" w:hAnsi="Intrum Sans"/>
          <w:sz w:val="18"/>
          <w:szCs w:val="18"/>
        </w:rPr>
        <w:t>normal</w:t>
      </w:r>
      <w:proofErr w:type="spellEnd"/>
      <w:r>
        <w:rPr>
          <w:rFonts w:ascii="Intrum Sans" w:hAnsi="Intrum Sans"/>
          <w:sz w:val="18"/>
          <w:szCs w:val="18"/>
        </w:rPr>
        <w:t xml:space="preserve">” w polityce cenowej potwierdzają same przedsiębiorstwa, które jako główny powód podwyżek </w:t>
      </w:r>
      <w:r w:rsidRPr="00342790">
        <w:rPr>
          <w:rFonts w:ascii="Intrum Sans" w:hAnsi="Intrum Sans"/>
          <w:sz w:val="18"/>
          <w:szCs w:val="18"/>
        </w:rPr>
        <w:t xml:space="preserve">wskazują </w:t>
      </w:r>
      <w:r>
        <w:rPr>
          <w:rFonts w:ascii="Intrum Sans" w:hAnsi="Intrum Sans"/>
          <w:sz w:val="18"/>
          <w:szCs w:val="18"/>
        </w:rPr>
        <w:t xml:space="preserve">rosnące ceny </w:t>
      </w:r>
      <w:r w:rsidRPr="00A153F6">
        <w:rPr>
          <w:rFonts w:ascii="Intrum Sans" w:hAnsi="Intrum Sans"/>
          <w:sz w:val="18"/>
          <w:szCs w:val="18"/>
        </w:rPr>
        <w:t>surowców, półproduktów i komponentów</w:t>
      </w:r>
      <w:r>
        <w:rPr>
          <w:rFonts w:ascii="Intrum Sans" w:hAnsi="Intrum Sans"/>
          <w:sz w:val="18"/>
          <w:szCs w:val="18"/>
        </w:rPr>
        <w:t xml:space="preserve">, ale aż 43% wskazuje, że zmiany cennika są pokłosiem ruchów konkurencji, a co 5. firma podejmuje decyzje o zmianach ze względu na przyzwolenie społeczne. Wspomniana, łatwiejsza akceptacja negatywnych zmian jest bez wątpienia pokłosiem braku wiedzy finansowej, a w szczególności nierozumienia pojęcia inflacji, którym wiele firm tłumaczy ruchy cenowe: </w:t>
      </w:r>
      <w:r w:rsidRPr="00342790">
        <w:rPr>
          <w:rFonts w:ascii="Intrum Sans" w:hAnsi="Intrum Sans"/>
          <w:sz w:val="18"/>
          <w:szCs w:val="18"/>
        </w:rPr>
        <w:t xml:space="preserve">40 proc. Polaków </w:t>
      </w:r>
      <w:r>
        <w:rPr>
          <w:rFonts w:ascii="Intrum Sans" w:hAnsi="Intrum Sans"/>
          <w:sz w:val="18"/>
          <w:szCs w:val="18"/>
        </w:rPr>
        <w:t xml:space="preserve">zupełnie </w:t>
      </w:r>
      <w:r w:rsidRPr="00342790">
        <w:rPr>
          <w:rFonts w:ascii="Intrum Sans" w:hAnsi="Intrum Sans"/>
          <w:sz w:val="18"/>
          <w:szCs w:val="18"/>
        </w:rPr>
        <w:t xml:space="preserve">nie </w:t>
      </w:r>
      <w:r>
        <w:rPr>
          <w:rFonts w:ascii="Intrum Sans" w:hAnsi="Intrum Sans"/>
          <w:sz w:val="18"/>
          <w:szCs w:val="18"/>
        </w:rPr>
        <w:t>potrafi wyjaśnić</w:t>
      </w:r>
      <w:r w:rsidRPr="00342790">
        <w:rPr>
          <w:rFonts w:ascii="Intrum Sans" w:hAnsi="Intrum Sans"/>
          <w:sz w:val="18"/>
          <w:szCs w:val="18"/>
        </w:rPr>
        <w:t xml:space="preserve"> związku między spadającym wskaźnikiem inflacji a poziomem cen</w:t>
      </w:r>
      <w:r>
        <w:rPr>
          <w:rStyle w:val="Odwoanieprzypisudolnego"/>
          <w:rFonts w:ascii="Intrum Sans" w:hAnsi="Intrum Sans"/>
          <w:sz w:val="18"/>
          <w:szCs w:val="18"/>
        </w:rPr>
        <w:footnoteReference w:id="4"/>
      </w:r>
      <w:r w:rsidRPr="00342790">
        <w:rPr>
          <w:rFonts w:ascii="Intrum Sans" w:hAnsi="Intrum Sans"/>
          <w:sz w:val="18"/>
          <w:szCs w:val="18"/>
        </w:rPr>
        <w:t>.</w:t>
      </w:r>
      <w:r>
        <w:rPr>
          <w:rFonts w:ascii="Intrum Sans" w:hAnsi="Intrum Sans"/>
          <w:sz w:val="18"/>
          <w:szCs w:val="18"/>
        </w:rPr>
        <w:t xml:space="preserve">  </w:t>
      </w:r>
    </w:p>
    <w:p w14:paraId="4FDFAE98" w14:textId="77777777" w:rsidR="00451161" w:rsidRPr="00342790" w:rsidRDefault="00451161" w:rsidP="00451161">
      <w:pPr>
        <w:jc w:val="both"/>
        <w:rPr>
          <w:rFonts w:ascii="Intrum Sans" w:hAnsi="Intrum Sans"/>
          <w:sz w:val="18"/>
          <w:szCs w:val="18"/>
        </w:rPr>
      </w:pPr>
    </w:p>
    <w:p w14:paraId="426D9E94" w14:textId="77777777" w:rsidR="00451161" w:rsidRDefault="00451161" w:rsidP="00451161">
      <w:pPr>
        <w:jc w:val="both"/>
        <w:rPr>
          <w:rFonts w:ascii="Intrum Sans" w:hAnsi="Intrum Sans"/>
          <w:b/>
          <w:bCs/>
          <w:sz w:val="18"/>
          <w:szCs w:val="18"/>
        </w:rPr>
      </w:pPr>
      <w:r>
        <w:rPr>
          <w:rFonts w:ascii="Intrum Sans" w:hAnsi="Intrum Sans"/>
          <w:b/>
          <w:bCs/>
          <w:sz w:val="18"/>
          <w:szCs w:val="18"/>
        </w:rPr>
        <w:t>… a nawet na nie czekamy</w:t>
      </w:r>
    </w:p>
    <w:p w14:paraId="6E18BF51" w14:textId="77777777" w:rsidR="00451161" w:rsidRPr="00A153F6" w:rsidRDefault="00451161" w:rsidP="00451161">
      <w:pPr>
        <w:jc w:val="both"/>
        <w:rPr>
          <w:rFonts w:ascii="Intrum Sans" w:hAnsi="Intrum Sans"/>
          <w:b/>
          <w:bCs/>
          <w:sz w:val="18"/>
          <w:szCs w:val="18"/>
        </w:rPr>
      </w:pPr>
    </w:p>
    <w:p w14:paraId="02696D29" w14:textId="77777777" w:rsidR="00451161" w:rsidRDefault="00451161" w:rsidP="00451161">
      <w:pPr>
        <w:jc w:val="both"/>
        <w:rPr>
          <w:rFonts w:ascii="Intrum Sans" w:hAnsi="Intrum Sans"/>
          <w:sz w:val="18"/>
          <w:szCs w:val="18"/>
        </w:rPr>
      </w:pPr>
      <w:r w:rsidRPr="00A77401">
        <w:rPr>
          <w:rFonts w:ascii="Intrum Sans" w:hAnsi="Intrum Sans"/>
          <w:sz w:val="18"/>
          <w:szCs w:val="18"/>
        </w:rPr>
        <w:t>Polscy konsumenci mierzą się obecnie z licznymi wyzwaniami finansowymi i jak wskazują badania, ich nastroje nie napawają szczególnym optymizmem.</w:t>
      </w:r>
      <w:r>
        <w:rPr>
          <w:rFonts w:ascii="Intrum Sans" w:hAnsi="Intrum Sans"/>
          <w:sz w:val="18"/>
          <w:szCs w:val="18"/>
        </w:rPr>
        <w:t xml:space="preserve"> </w:t>
      </w:r>
      <w:r w:rsidRPr="00A77401">
        <w:rPr>
          <w:rFonts w:ascii="Intrum Sans" w:hAnsi="Intrum Sans"/>
          <w:sz w:val="18"/>
          <w:szCs w:val="18"/>
        </w:rPr>
        <w:t xml:space="preserve">Jak wynika z 50. edycji </w:t>
      </w:r>
      <w:r>
        <w:rPr>
          <w:rFonts w:ascii="Intrum Sans" w:hAnsi="Intrum Sans"/>
          <w:sz w:val="18"/>
          <w:szCs w:val="18"/>
        </w:rPr>
        <w:t>raportu</w:t>
      </w:r>
      <w:r w:rsidRPr="00A77401">
        <w:rPr>
          <w:rFonts w:ascii="Intrum Sans" w:hAnsi="Intrum Sans"/>
          <w:sz w:val="18"/>
          <w:szCs w:val="18"/>
        </w:rPr>
        <w:t xml:space="preserve"> „Consumer </w:t>
      </w:r>
      <w:proofErr w:type="spellStart"/>
      <w:r w:rsidRPr="00A77401">
        <w:rPr>
          <w:rFonts w:ascii="Intrum Sans" w:hAnsi="Intrum Sans"/>
          <w:sz w:val="18"/>
          <w:szCs w:val="18"/>
        </w:rPr>
        <w:t>Signals</w:t>
      </w:r>
      <w:proofErr w:type="spellEnd"/>
      <w:r w:rsidRPr="00A77401">
        <w:rPr>
          <w:rFonts w:ascii="Intrum Sans" w:hAnsi="Intrum Sans"/>
          <w:sz w:val="18"/>
          <w:szCs w:val="18"/>
        </w:rPr>
        <w:t>”, aż 70% badanych zakłada dalszy wzrost cen żywności.</w:t>
      </w:r>
      <w:r>
        <w:rPr>
          <w:rFonts w:ascii="Intrum Sans" w:hAnsi="Intrum Sans"/>
          <w:sz w:val="18"/>
          <w:szCs w:val="18"/>
        </w:rPr>
        <w:t xml:space="preserve"> Prawie 6 na 10 osób przyznaje, że stać je na coraz mniej</w:t>
      </w:r>
      <w:r>
        <w:rPr>
          <w:rStyle w:val="Odwoanieprzypisudolnego"/>
          <w:rFonts w:ascii="Intrum Sans" w:hAnsi="Intrum Sans"/>
          <w:sz w:val="18"/>
          <w:szCs w:val="18"/>
        </w:rPr>
        <w:footnoteReference w:id="5"/>
      </w:r>
      <w:r>
        <w:rPr>
          <w:rFonts w:ascii="Intrum Sans" w:hAnsi="Intrum Sans"/>
          <w:sz w:val="18"/>
          <w:szCs w:val="18"/>
        </w:rPr>
        <w:t xml:space="preserve">, a co drugi Polak </w:t>
      </w:r>
      <w:r w:rsidRPr="00A77401">
        <w:rPr>
          <w:rFonts w:ascii="Intrum Sans" w:hAnsi="Intrum Sans"/>
          <w:sz w:val="18"/>
          <w:szCs w:val="18"/>
        </w:rPr>
        <w:t>nie jest przygotowan</w:t>
      </w:r>
      <w:r>
        <w:rPr>
          <w:rFonts w:ascii="Intrum Sans" w:hAnsi="Intrum Sans"/>
          <w:sz w:val="18"/>
          <w:szCs w:val="18"/>
        </w:rPr>
        <w:t>y</w:t>
      </w:r>
      <w:r w:rsidRPr="00A77401">
        <w:rPr>
          <w:rFonts w:ascii="Intrum Sans" w:hAnsi="Intrum Sans"/>
          <w:sz w:val="18"/>
          <w:szCs w:val="18"/>
        </w:rPr>
        <w:t xml:space="preserve"> na niespodziewany wydatek</w:t>
      </w:r>
      <w:r>
        <w:rPr>
          <w:rFonts w:ascii="Intrum Sans" w:hAnsi="Intrum Sans"/>
          <w:sz w:val="18"/>
          <w:szCs w:val="18"/>
        </w:rPr>
        <w:t xml:space="preserve">. Jednocześnie blisko co trzeci </w:t>
      </w:r>
      <w:r w:rsidRPr="00A77401">
        <w:rPr>
          <w:rFonts w:ascii="Intrum Sans" w:hAnsi="Intrum Sans"/>
          <w:sz w:val="18"/>
          <w:szCs w:val="18"/>
        </w:rPr>
        <w:t>obawia się o swoją zdolność do regulowania nadchodzących płatności.</w:t>
      </w:r>
      <w:r w:rsidRPr="00A77401">
        <w:rPr>
          <w:rStyle w:val="Odwoanieprzypisudolnego"/>
          <w:rFonts w:ascii="Intrum Sans" w:hAnsi="Intrum Sans"/>
          <w:sz w:val="18"/>
          <w:szCs w:val="18"/>
        </w:rPr>
        <w:footnoteReference w:id="6"/>
      </w:r>
    </w:p>
    <w:p w14:paraId="218D65C2" w14:textId="77777777" w:rsidR="00451161" w:rsidRDefault="00451161" w:rsidP="00451161">
      <w:pPr>
        <w:jc w:val="both"/>
        <w:rPr>
          <w:rFonts w:ascii="Intrum Sans" w:hAnsi="Intrum Sans"/>
          <w:sz w:val="18"/>
          <w:szCs w:val="18"/>
        </w:rPr>
      </w:pPr>
      <w:r w:rsidRPr="00A77401">
        <w:rPr>
          <w:rFonts w:ascii="Intrum Sans" w:hAnsi="Intrum Sans"/>
          <w:sz w:val="18"/>
          <w:szCs w:val="18"/>
        </w:rPr>
        <w:t xml:space="preserve">Ceny produktów ulegają dynamicznym zmianom każdego dnia i nie mamy fizycznej możliwości, aby za każdą z nich nadążyć. Przez to może się zdarzyć, że będziemy gotowi zapłacić </w:t>
      </w:r>
      <w:r>
        <w:rPr>
          <w:rFonts w:ascii="Intrum Sans" w:hAnsi="Intrum Sans"/>
          <w:sz w:val="18"/>
          <w:szCs w:val="18"/>
        </w:rPr>
        <w:t>cenę przewyższającą realną wartość danego towaru</w:t>
      </w:r>
      <w:r w:rsidRPr="00A77401">
        <w:rPr>
          <w:rFonts w:ascii="Intrum Sans" w:hAnsi="Intrum Sans"/>
          <w:sz w:val="18"/>
          <w:szCs w:val="18"/>
        </w:rPr>
        <w:t xml:space="preserve">. Za </w:t>
      </w:r>
      <w:r>
        <w:rPr>
          <w:rFonts w:ascii="Intrum Sans" w:hAnsi="Intrum Sans"/>
          <w:sz w:val="18"/>
          <w:szCs w:val="18"/>
        </w:rPr>
        <w:t xml:space="preserve">jaskrawy </w:t>
      </w:r>
      <w:r w:rsidRPr="00A77401">
        <w:rPr>
          <w:rFonts w:ascii="Intrum Sans" w:hAnsi="Intrum Sans"/>
          <w:sz w:val="18"/>
          <w:szCs w:val="18"/>
        </w:rPr>
        <w:t xml:space="preserve">przykład </w:t>
      </w:r>
      <w:r>
        <w:rPr>
          <w:rFonts w:ascii="Intrum Sans" w:hAnsi="Intrum Sans"/>
          <w:sz w:val="18"/>
          <w:szCs w:val="18"/>
        </w:rPr>
        <w:t xml:space="preserve">takiej konsumenckiej „dezorientacji” </w:t>
      </w:r>
      <w:r w:rsidRPr="00A77401">
        <w:rPr>
          <w:rFonts w:ascii="Intrum Sans" w:hAnsi="Intrum Sans"/>
          <w:sz w:val="18"/>
          <w:szCs w:val="18"/>
        </w:rPr>
        <w:t>może posłużyć cykliczne podnoszenie cen masek ochronnych podczas pandemii COVID-19. Jeszcze w roku 2016 średnia cena tego produktu nie przekroczyła 1 zł za opakowanie, natomiast w roku 2021 wynosiła już średnio 4,72 zł</w:t>
      </w:r>
      <w:r w:rsidRPr="00A77401">
        <w:rPr>
          <w:rStyle w:val="Odwoanieprzypisudolnego"/>
          <w:rFonts w:ascii="Intrum Sans" w:hAnsi="Intrum Sans"/>
          <w:sz w:val="18"/>
          <w:szCs w:val="18"/>
        </w:rPr>
        <w:footnoteReference w:id="7"/>
      </w:r>
      <w:r w:rsidRPr="00A77401">
        <w:rPr>
          <w:rFonts w:ascii="Intrum Sans" w:hAnsi="Intrum Sans"/>
          <w:sz w:val="18"/>
          <w:szCs w:val="18"/>
        </w:rPr>
        <w:t xml:space="preserve">. Na rynku było wówczas dostępnych wiele rodzajów masek ochronnych, wykonanych z różnych materiałów, jedno- i wielorazowych, z filtrami o różnej skuteczności ochronnej, co dodatkowo mogło wywołać </w:t>
      </w:r>
      <w:r>
        <w:rPr>
          <w:rFonts w:ascii="Intrum Sans" w:hAnsi="Intrum Sans"/>
          <w:sz w:val="18"/>
          <w:szCs w:val="18"/>
        </w:rPr>
        <w:t>problemy z porównaniem ofert</w:t>
      </w:r>
      <w:r w:rsidRPr="00A77401">
        <w:rPr>
          <w:rFonts w:ascii="Intrum Sans" w:hAnsi="Intrum Sans"/>
          <w:sz w:val="18"/>
          <w:szCs w:val="18"/>
        </w:rPr>
        <w:t>, a w rezultacie – pozwoliło producentom narzucać absurdalnie wysokie</w:t>
      </w:r>
      <w:r>
        <w:rPr>
          <w:rFonts w:ascii="Intrum Sans" w:hAnsi="Intrum Sans"/>
          <w:sz w:val="18"/>
          <w:szCs w:val="18"/>
        </w:rPr>
        <w:t>, sięgające nawet kilkudziesięciu złotych za sztukę,</w:t>
      </w:r>
      <w:r w:rsidRPr="00A77401">
        <w:rPr>
          <w:rFonts w:ascii="Intrum Sans" w:hAnsi="Intrum Sans"/>
          <w:sz w:val="18"/>
          <w:szCs w:val="18"/>
        </w:rPr>
        <w:t xml:space="preserve"> ceny produktu. </w:t>
      </w:r>
    </w:p>
    <w:p w14:paraId="62322AF7" w14:textId="77777777" w:rsidR="00451161" w:rsidRPr="00A153F6" w:rsidRDefault="00451161" w:rsidP="00451161">
      <w:pPr>
        <w:jc w:val="both"/>
        <w:rPr>
          <w:rFonts w:ascii="Intrum Sans" w:hAnsi="Intrum Sans"/>
          <w:sz w:val="18"/>
          <w:szCs w:val="18"/>
        </w:rPr>
      </w:pPr>
    </w:p>
    <w:p w14:paraId="48858F3B" w14:textId="77777777" w:rsidR="00451161" w:rsidRPr="00A77401" w:rsidRDefault="00451161" w:rsidP="00451161">
      <w:pPr>
        <w:jc w:val="both"/>
        <w:rPr>
          <w:rFonts w:ascii="Intrum Sans" w:hAnsi="Intrum Sans"/>
          <w:b/>
          <w:bCs/>
          <w:sz w:val="18"/>
          <w:szCs w:val="18"/>
        </w:rPr>
      </w:pPr>
      <w:r w:rsidRPr="00A77401">
        <w:rPr>
          <w:rFonts w:ascii="Intrum Sans" w:hAnsi="Intrum Sans"/>
          <w:b/>
          <w:bCs/>
          <w:sz w:val="18"/>
          <w:szCs w:val="18"/>
        </w:rPr>
        <w:t xml:space="preserve">Czy Europa podejmie walkę z </w:t>
      </w:r>
      <w:proofErr w:type="spellStart"/>
      <w:r w:rsidRPr="00A77401">
        <w:rPr>
          <w:rFonts w:ascii="Intrum Sans" w:hAnsi="Intrum Sans"/>
          <w:b/>
          <w:bCs/>
          <w:sz w:val="18"/>
          <w:szCs w:val="18"/>
        </w:rPr>
        <w:t>greedflacją</w:t>
      </w:r>
      <w:proofErr w:type="spellEnd"/>
      <w:r w:rsidRPr="00A77401">
        <w:rPr>
          <w:rFonts w:ascii="Intrum Sans" w:hAnsi="Intrum Sans"/>
          <w:b/>
          <w:bCs/>
          <w:sz w:val="18"/>
          <w:szCs w:val="18"/>
        </w:rPr>
        <w:t>?</w:t>
      </w:r>
    </w:p>
    <w:p w14:paraId="46D4AD6A" w14:textId="77777777" w:rsidR="00451161" w:rsidRDefault="00451161" w:rsidP="00451161">
      <w:pPr>
        <w:jc w:val="both"/>
        <w:rPr>
          <w:rFonts w:ascii="Intrum Sans" w:hAnsi="Intrum Sans"/>
          <w:sz w:val="18"/>
          <w:szCs w:val="18"/>
        </w:rPr>
      </w:pPr>
      <w:r w:rsidRPr="00A77401">
        <w:rPr>
          <w:rFonts w:ascii="Intrum Sans" w:hAnsi="Intrum Sans"/>
          <w:sz w:val="18"/>
          <w:szCs w:val="18"/>
        </w:rPr>
        <w:lastRenderedPageBreak/>
        <w:t xml:space="preserve">15 marca obchodzimy Światowy Dzień Praw Konsumenta. To dobry moment, aby przyjrzeć się bliżej sytuacji </w:t>
      </w:r>
      <w:r>
        <w:rPr>
          <w:rFonts w:ascii="Intrum Sans" w:hAnsi="Intrum Sans"/>
          <w:sz w:val="18"/>
          <w:szCs w:val="18"/>
        </w:rPr>
        <w:t xml:space="preserve">prawnej </w:t>
      </w:r>
      <w:r w:rsidRPr="00A77401">
        <w:rPr>
          <w:rFonts w:ascii="Intrum Sans" w:hAnsi="Intrum Sans"/>
          <w:sz w:val="18"/>
          <w:szCs w:val="18"/>
        </w:rPr>
        <w:t xml:space="preserve">Europejczyków </w:t>
      </w:r>
      <w:r>
        <w:rPr>
          <w:rFonts w:ascii="Intrum Sans" w:hAnsi="Intrum Sans"/>
          <w:sz w:val="18"/>
          <w:szCs w:val="18"/>
        </w:rPr>
        <w:t xml:space="preserve">w świetle </w:t>
      </w:r>
      <w:r w:rsidRPr="00A77401">
        <w:rPr>
          <w:rFonts w:ascii="Intrum Sans" w:hAnsi="Intrum Sans"/>
          <w:sz w:val="18"/>
          <w:szCs w:val="18"/>
        </w:rPr>
        <w:t xml:space="preserve">poruszanej tematyki. </w:t>
      </w:r>
      <w:r w:rsidRPr="00241409">
        <w:rPr>
          <w:rFonts w:ascii="Intrum Sans" w:hAnsi="Intrum Sans"/>
          <w:sz w:val="18"/>
          <w:szCs w:val="18"/>
        </w:rPr>
        <w:t xml:space="preserve">Okazuje się, że rządy pierwszych państw postawiły już w tym celu stanowcze kroki – między innymi we Francji oraz Wielkiej Brytanii. W lipcu zeszłego roku minister finansów Francji – Bruno Le </w:t>
      </w:r>
      <w:proofErr w:type="spellStart"/>
      <w:r w:rsidRPr="00241409">
        <w:rPr>
          <w:rFonts w:ascii="Intrum Sans" w:hAnsi="Intrum Sans"/>
          <w:sz w:val="18"/>
          <w:szCs w:val="18"/>
        </w:rPr>
        <w:t>Maire</w:t>
      </w:r>
      <w:proofErr w:type="spellEnd"/>
      <w:r w:rsidRPr="00241409">
        <w:rPr>
          <w:rFonts w:ascii="Intrum Sans" w:hAnsi="Intrum Sans"/>
          <w:sz w:val="18"/>
          <w:szCs w:val="18"/>
        </w:rPr>
        <w:t xml:space="preserve"> – nakazał producentom żywności obniżyć ceny wielu produktów, gdyż – mimo spadku cen surowców rolnych i energetycznych na rynku globalnym, żywność w sklepach dalej drożała.</w:t>
      </w:r>
      <w:r w:rsidRPr="00241409">
        <w:rPr>
          <w:rStyle w:val="Odwoanieprzypisudolnego"/>
          <w:rFonts w:ascii="Intrum Sans" w:hAnsi="Intrum Sans"/>
          <w:sz w:val="18"/>
          <w:szCs w:val="18"/>
        </w:rPr>
        <w:footnoteReference w:id="8"/>
      </w:r>
      <w:r w:rsidRPr="00A77401">
        <w:rPr>
          <w:rFonts w:ascii="Intrum Sans" w:hAnsi="Intrum Sans"/>
          <w:sz w:val="18"/>
          <w:szCs w:val="18"/>
        </w:rPr>
        <w:t xml:space="preserve"> T</w:t>
      </w:r>
      <w:r>
        <w:rPr>
          <w:rFonts w:ascii="Intrum Sans" w:hAnsi="Intrum Sans"/>
          <w:sz w:val="18"/>
          <w:szCs w:val="18"/>
        </w:rPr>
        <w:t>a</w:t>
      </w:r>
      <w:r w:rsidRPr="00A77401">
        <w:rPr>
          <w:rFonts w:ascii="Intrum Sans" w:hAnsi="Intrum Sans"/>
          <w:sz w:val="18"/>
          <w:szCs w:val="18"/>
        </w:rPr>
        <w:t xml:space="preserve"> pozytywna informacja </w:t>
      </w:r>
      <w:r>
        <w:rPr>
          <w:rFonts w:ascii="Intrum Sans" w:hAnsi="Intrum Sans"/>
          <w:sz w:val="18"/>
          <w:szCs w:val="18"/>
        </w:rPr>
        <w:t>jest sygnałem</w:t>
      </w:r>
      <w:r w:rsidRPr="00A77401">
        <w:rPr>
          <w:rFonts w:ascii="Intrum Sans" w:hAnsi="Intrum Sans"/>
          <w:sz w:val="18"/>
          <w:szCs w:val="18"/>
        </w:rPr>
        <w:t xml:space="preserve">, że tematem </w:t>
      </w:r>
      <w:proofErr w:type="spellStart"/>
      <w:r w:rsidRPr="00A77401">
        <w:rPr>
          <w:rFonts w:ascii="Intrum Sans" w:hAnsi="Intrum Sans"/>
          <w:sz w:val="18"/>
          <w:szCs w:val="18"/>
        </w:rPr>
        <w:t>greedflacji</w:t>
      </w:r>
      <w:proofErr w:type="spellEnd"/>
      <w:r w:rsidRPr="00A77401">
        <w:rPr>
          <w:rFonts w:ascii="Intrum Sans" w:hAnsi="Intrum Sans"/>
          <w:sz w:val="18"/>
          <w:szCs w:val="18"/>
        </w:rPr>
        <w:t xml:space="preserve"> zainteresowali się przedstawiciele </w:t>
      </w:r>
      <w:r>
        <w:rPr>
          <w:rFonts w:ascii="Intrum Sans" w:hAnsi="Intrum Sans"/>
          <w:sz w:val="18"/>
          <w:szCs w:val="18"/>
        </w:rPr>
        <w:t>największych gospodarek</w:t>
      </w:r>
      <w:r w:rsidRPr="00A77401">
        <w:rPr>
          <w:rFonts w:ascii="Intrum Sans" w:hAnsi="Intrum Sans"/>
          <w:sz w:val="18"/>
          <w:szCs w:val="18"/>
        </w:rPr>
        <w:t xml:space="preserve"> europejskich, </w:t>
      </w:r>
      <w:r>
        <w:rPr>
          <w:rFonts w:ascii="Intrum Sans" w:hAnsi="Intrum Sans"/>
          <w:sz w:val="18"/>
          <w:szCs w:val="18"/>
        </w:rPr>
        <w:t xml:space="preserve">więc możemy mieć nadzieję, że wypracowane </w:t>
      </w:r>
      <w:r w:rsidRPr="00342790">
        <w:rPr>
          <w:rFonts w:ascii="Intrum Sans" w:hAnsi="Intrum Sans"/>
          <w:sz w:val="18"/>
          <w:szCs w:val="18"/>
        </w:rPr>
        <w:t>rozwiązania znajdą także zastosowanie nad Wisłą.</w:t>
      </w:r>
    </w:p>
    <w:p w14:paraId="5E94F1A1" w14:textId="77777777" w:rsidR="00451161" w:rsidRPr="00A153F6" w:rsidRDefault="00451161" w:rsidP="00451161">
      <w:pPr>
        <w:jc w:val="both"/>
        <w:rPr>
          <w:rFonts w:ascii="Intrum Sans" w:hAnsi="Intrum Sans"/>
          <w:b/>
          <w:bCs/>
          <w:sz w:val="18"/>
          <w:szCs w:val="18"/>
        </w:rPr>
      </w:pPr>
    </w:p>
    <w:p w14:paraId="680D9352" w14:textId="77777777" w:rsidR="00451161" w:rsidRDefault="00451161" w:rsidP="00451161">
      <w:pPr>
        <w:jc w:val="both"/>
        <w:rPr>
          <w:rFonts w:ascii="Intrum Sans" w:hAnsi="Intrum Sans"/>
          <w:b/>
          <w:bCs/>
          <w:sz w:val="18"/>
          <w:szCs w:val="18"/>
        </w:rPr>
      </w:pPr>
      <w:r w:rsidRPr="00A77401">
        <w:rPr>
          <w:rFonts w:ascii="Intrum Sans" w:hAnsi="Intrum Sans"/>
          <w:b/>
          <w:bCs/>
          <w:sz w:val="18"/>
          <w:szCs w:val="18"/>
        </w:rPr>
        <w:t xml:space="preserve">Kto </w:t>
      </w:r>
      <w:r>
        <w:rPr>
          <w:rFonts w:ascii="Intrum Sans" w:hAnsi="Intrum Sans"/>
          <w:b/>
          <w:bCs/>
          <w:sz w:val="18"/>
          <w:szCs w:val="18"/>
        </w:rPr>
        <w:t xml:space="preserve">faktycznie </w:t>
      </w:r>
      <w:r w:rsidRPr="00A77401">
        <w:rPr>
          <w:rFonts w:ascii="Intrum Sans" w:hAnsi="Intrum Sans"/>
          <w:b/>
          <w:bCs/>
          <w:sz w:val="18"/>
          <w:szCs w:val="18"/>
        </w:rPr>
        <w:t>rozdaje karty?</w:t>
      </w:r>
    </w:p>
    <w:p w14:paraId="7C9C5205" w14:textId="77777777" w:rsidR="00451161" w:rsidRPr="00A77401" w:rsidRDefault="00451161" w:rsidP="00451161">
      <w:pPr>
        <w:jc w:val="both"/>
        <w:rPr>
          <w:rFonts w:ascii="Intrum Sans" w:hAnsi="Intrum Sans"/>
          <w:sz w:val="18"/>
          <w:szCs w:val="18"/>
        </w:rPr>
      </w:pPr>
    </w:p>
    <w:p w14:paraId="6BD9AC7E" w14:textId="77777777" w:rsidR="00451161" w:rsidRDefault="00451161" w:rsidP="00451161">
      <w:pPr>
        <w:jc w:val="both"/>
        <w:rPr>
          <w:rFonts w:ascii="Intrum Sans" w:hAnsi="Intrum Sans"/>
          <w:b/>
          <w:bCs/>
          <w:sz w:val="18"/>
          <w:szCs w:val="18"/>
        </w:rPr>
      </w:pPr>
      <w:r>
        <w:rPr>
          <w:rFonts w:ascii="Intrum Sans" w:hAnsi="Intrum Sans"/>
          <w:sz w:val="18"/>
          <w:szCs w:val="18"/>
        </w:rPr>
        <w:t>Na wolnym rynku</w:t>
      </w:r>
      <w:r w:rsidRPr="00342790">
        <w:rPr>
          <w:rFonts w:ascii="Intrum Sans" w:hAnsi="Intrum Sans"/>
          <w:sz w:val="18"/>
          <w:szCs w:val="18"/>
        </w:rPr>
        <w:t xml:space="preserve"> to właśnie </w:t>
      </w:r>
      <w:r w:rsidRPr="00A153F6">
        <w:rPr>
          <w:rFonts w:ascii="Intrum Sans" w:hAnsi="Intrum Sans"/>
          <w:sz w:val="18"/>
          <w:szCs w:val="18"/>
        </w:rPr>
        <w:t>nikt inny jak klien</w:t>
      </w:r>
      <w:r>
        <w:rPr>
          <w:rFonts w:ascii="Intrum Sans" w:hAnsi="Intrum Sans"/>
          <w:sz w:val="18"/>
          <w:szCs w:val="18"/>
        </w:rPr>
        <w:t>t</w:t>
      </w:r>
      <w:r w:rsidRPr="00A153F6">
        <w:rPr>
          <w:rFonts w:ascii="Intrum Sans" w:hAnsi="Intrum Sans"/>
          <w:sz w:val="18"/>
          <w:szCs w:val="18"/>
        </w:rPr>
        <w:t xml:space="preserve"> decyduje, </w:t>
      </w:r>
      <w:r w:rsidRPr="00342790">
        <w:rPr>
          <w:rFonts w:ascii="Intrum Sans" w:hAnsi="Intrum Sans"/>
          <w:sz w:val="18"/>
          <w:szCs w:val="18"/>
        </w:rPr>
        <w:t xml:space="preserve">gdzie i na co </w:t>
      </w:r>
      <w:r>
        <w:rPr>
          <w:rFonts w:ascii="Intrum Sans" w:hAnsi="Intrum Sans"/>
          <w:sz w:val="18"/>
          <w:szCs w:val="18"/>
        </w:rPr>
        <w:t>przeznaczy</w:t>
      </w:r>
      <w:r w:rsidRPr="00342790">
        <w:rPr>
          <w:rFonts w:ascii="Intrum Sans" w:hAnsi="Intrum Sans"/>
          <w:sz w:val="18"/>
          <w:szCs w:val="18"/>
        </w:rPr>
        <w:t xml:space="preserve"> zarobione pieniądze. Nierzadko</w:t>
      </w:r>
      <w:r>
        <w:rPr>
          <w:rFonts w:ascii="Intrum Sans" w:hAnsi="Intrum Sans"/>
          <w:sz w:val="18"/>
          <w:szCs w:val="18"/>
        </w:rPr>
        <w:t>,</w:t>
      </w:r>
      <w:r w:rsidRPr="00342790">
        <w:rPr>
          <w:rFonts w:ascii="Intrum Sans" w:hAnsi="Intrum Sans"/>
          <w:sz w:val="18"/>
          <w:szCs w:val="18"/>
        </w:rPr>
        <w:t xml:space="preserve"> przedsiębiorcom</w:t>
      </w:r>
      <w:r>
        <w:rPr>
          <w:rFonts w:ascii="Intrum Sans" w:hAnsi="Intrum Sans"/>
          <w:sz w:val="18"/>
          <w:szCs w:val="18"/>
        </w:rPr>
        <w:t xml:space="preserve"> – obserwującym zwiększone przychody ze sprzedaży - </w:t>
      </w:r>
      <w:r w:rsidRPr="00342790">
        <w:rPr>
          <w:rFonts w:ascii="Intrum Sans" w:hAnsi="Intrum Sans"/>
          <w:sz w:val="18"/>
          <w:szCs w:val="18"/>
        </w:rPr>
        <w:t xml:space="preserve">wydaje się, że stosowanie praktyk takich, jak </w:t>
      </w:r>
      <w:proofErr w:type="spellStart"/>
      <w:r w:rsidRPr="00342790">
        <w:rPr>
          <w:rFonts w:ascii="Intrum Sans" w:hAnsi="Intrum Sans"/>
          <w:sz w:val="18"/>
          <w:szCs w:val="18"/>
        </w:rPr>
        <w:t>greedflacja</w:t>
      </w:r>
      <w:proofErr w:type="spellEnd"/>
      <w:r w:rsidRPr="00342790">
        <w:rPr>
          <w:rFonts w:ascii="Intrum Sans" w:hAnsi="Intrum Sans"/>
          <w:sz w:val="18"/>
          <w:szCs w:val="18"/>
        </w:rPr>
        <w:t xml:space="preserve">, </w:t>
      </w:r>
      <w:r>
        <w:rPr>
          <w:rFonts w:ascii="Intrum Sans" w:hAnsi="Intrum Sans"/>
          <w:sz w:val="18"/>
          <w:szCs w:val="18"/>
        </w:rPr>
        <w:t>oznacza wyłącznie korzyści</w:t>
      </w:r>
      <w:r w:rsidRPr="00342790">
        <w:rPr>
          <w:rFonts w:ascii="Intrum Sans" w:hAnsi="Intrum Sans"/>
          <w:sz w:val="18"/>
          <w:szCs w:val="18"/>
        </w:rPr>
        <w:t xml:space="preserve">. Nic bardziej mylnego – klienci, którzy przyłapią firmę na takim działaniu, stają się wobec niej nieufni, </w:t>
      </w:r>
      <w:r w:rsidRPr="00A153F6">
        <w:rPr>
          <w:rFonts w:ascii="Intrum Sans" w:hAnsi="Intrum Sans"/>
          <w:sz w:val="18"/>
          <w:szCs w:val="18"/>
        </w:rPr>
        <w:t xml:space="preserve">cierpi na tym wizerunek marki, </w:t>
      </w:r>
      <w:r w:rsidRPr="00342790">
        <w:rPr>
          <w:rFonts w:ascii="Intrum Sans" w:hAnsi="Intrum Sans"/>
          <w:sz w:val="18"/>
          <w:szCs w:val="18"/>
        </w:rPr>
        <w:t>a w rezultacie są skłonni ją zbojkotować</w:t>
      </w:r>
      <w:r w:rsidRPr="00A153F6">
        <w:rPr>
          <w:rFonts w:ascii="Intrum Sans" w:hAnsi="Intrum Sans"/>
          <w:sz w:val="18"/>
          <w:szCs w:val="18"/>
        </w:rPr>
        <w:t xml:space="preserve"> i kupować u innych producentów -</w:t>
      </w:r>
      <w:r w:rsidRPr="00342790">
        <w:rPr>
          <w:rFonts w:ascii="Intrum Sans" w:hAnsi="Intrum Sans"/>
          <w:sz w:val="18"/>
          <w:szCs w:val="18"/>
        </w:rPr>
        <w:t xml:space="preserve"> </w:t>
      </w:r>
      <w:r w:rsidRPr="00A153F6">
        <w:rPr>
          <w:rFonts w:ascii="Intrum Sans" w:hAnsi="Intrum Sans"/>
          <w:i/>
          <w:iCs/>
          <w:sz w:val="18"/>
          <w:szCs w:val="18"/>
        </w:rPr>
        <w:t xml:space="preserve">Z badań, które przeprowadziliśmy na potrzeby raportu </w:t>
      </w:r>
      <w:proofErr w:type="spellStart"/>
      <w:r w:rsidRPr="00A153F6">
        <w:rPr>
          <w:rFonts w:ascii="Intrum Sans" w:hAnsi="Intrum Sans"/>
          <w:i/>
          <w:iCs/>
          <w:sz w:val="18"/>
          <w:szCs w:val="18"/>
        </w:rPr>
        <w:t>Intrum</w:t>
      </w:r>
      <w:proofErr w:type="spellEnd"/>
      <w:r w:rsidRPr="00A153F6">
        <w:rPr>
          <w:rFonts w:ascii="Intrum Sans" w:hAnsi="Intrum Sans"/>
          <w:i/>
          <w:iCs/>
          <w:sz w:val="18"/>
          <w:szCs w:val="18"/>
        </w:rPr>
        <w:t xml:space="preserve"> „</w:t>
      </w:r>
      <w:proofErr w:type="spellStart"/>
      <w:r w:rsidRPr="00A153F6">
        <w:rPr>
          <w:rFonts w:ascii="Intrum Sans" w:hAnsi="Intrum Sans"/>
          <w:i/>
          <w:iCs/>
          <w:sz w:val="18"/>
          <w:szCs w:val="18"/>
        </w:rPr>
        <w:t>European</w:t>
      </w:r>
      <w:proofErr w:type="spellEnd"/>
      <w:r w:rsidRPr="00A153F6">
        <w:rPr>
          <w:rFonts w:ascii="Intrum Sans" w:hAnsi="Intrum Sans"/>
          <w:i/>
          <w:iCs/>
          <w:sz w:val="18"/>
          <w:szCs w:val="18"/>
        </w:rPr>
        <w:t xml:space="preserve"> Consumer </w:t>
      </w:r>
      <w:proofErr w:type="spellStart"/>
      <w:r w:rsidRPr="00A153F6">
        <w:rPr>
          <w:rFonts w:ascii="Intrum Sans" w:hAnsi="Intrum Sans"/>
          <w:i/>
          <w:iCs/>
          <w:sz w:val="18"/>
          <w:szCs w:val="18"/>
        </w:rPr>
        <w:t>Payment</w:t>
      </w:r>
      <w:proofErr w:type="spellEnd"/>
      <w:r w:rsidRPr="00A153F6">
        <w:rPr>
          <w:rFonts w:ascii="Intrum Sans" w:hAnsi="Intrum Sans"/>
          <w:i/>
          <w:iCs/>
          <w:sz w:val="18"/>
          <w:szCs w:val="18"/>
        </w:rPr>
        <w:t xml:space="preserve"> Report 2023” wynika, że aż 67% przestałoby wydawać pieniądze w organizacjach, które według nich stosują praktyki podpadające pod </w:t>
      </w:r>
      <w:proofErr w:type="spellStart"/>
      <w:r w:rsidRPr="00A153F6">
        <w:rPr>
          <w:rFonts w:ascii="Intrum Sans" w:hAnsi="Intrum Sans"/>
          <w:i/>
          <w:iCs/>
          <w:sz w:val="18"/>
          <w:szCs w:val="18"/>
        </w:rPr>
        <w:t>greedflację</w:t>
      </w:r>
      <w:proofErr w:type="spellEnd"/>
      <w:r w:rsidRPr="00342790">
        <w:rPr>
          <w:rFonts w:ascii="Intrum Sans" w:hAnsi="Intrum Sans"/>
          <w:sz w:val="18"/>
          <w:szCs w:val="18"/>
        </w:rPr>
        <w:t xml:space="preserve"> – mówi</w:t>
      </w:r>
      <w:r>
        <w:rPr>
          <w:rFonts w:ascii="Intrum Sans" w:hAnsi="Intrum Sans"/>
          <w:sz w:val="18"/>
          <w:szCs w:val="18"/>
        </w:rPr>
        <w:t xml:space="preserve"> </w:t>
      </w:r>
      <w:r w:rsidRPr="00241409">
        <w:rPr>
          <w:rFonts w:ascii="Intrum Sans" w:hAnsi="Intrum Sans"/>
          <w:b/>
          <w:bCs/>
          <w:sz w:val="18"/>
          <w:szCs w:val="18"/>
        </w:rPr>
        <w:t xml:space="preserve">ekspert </w:t>
      </w:r>
      <w:proofErr w:type="spellStart"/>
      <w:r w:rsidRPr="00241409">
        <w:rPr>
          <w:rFonts w:ascii="Intrum Sans" w:hAnsi="Intrum Sans"/>
          <w:b/>
          <w:bCs/>
          <w:sz w:val="18"/>
          <w:szCs w:val="18"/>
        </w:rPr>
        <w:t>Intrum</w:t>
      </w:r>
      <w:proofErr w:type="spellEnd"/>
      <w:r w:rsidRPr="00241409">
        <w:rPr>
          <w:rFonts w:ascii="Intrum Sans" w:hAnsi="Intrum Sans"/>
          <w:b/>
          <w:bCs/>
          <w:sz w:val="18"/>
          <w:szCs w:val="18"/>
        </w:rPr>
        <w:t xml:space="preserve">, Piotr Szymański. </w:t>
      </w:r>
      <w:r w:rsidRPr="00342790">
        <w:rPr>
          <w:rFonts w:ascii="Intrum Sans" w:hAnsi="Intrum Sans"/>
          <w:sz w:val="18"/>
          <w:szCs w:val="18"/>
        </w:rPr>
        <w:t xml:space="preserve">Z jednej strony firmy zdają się być świadome </w:t>
      </w:r>
      <w:r>
        <w:rPr>
          <w:rFonts w:ascii="Intrum Sans" w:hAnsi="Intrum Sans"/>
          <w:sz w:val="18"/>
          <w:szCs w:val="18"/>
        </w:rPr>
        <w:t xml:space="preserve">„czujnego oka nabywców” i </w:t>
      </w:r>
      <w:r w:rsidRPr="00342790">
        <w:rPr>
          <w:rFonts w:ascii="Intrum Sans" w:hAnsi="Intrum Sans"/>
          <w:sz w:val="18"/>
          <w:szCs w:val="18"/>
        </w:rPr>
        <w:t xml:space="preserve">wpływu opinii konsumentów na swoje funkcjonowanie - aż 94% badanych dyrektorów komunikacji odpowiedziało, iż reputacja wpływa na wyniki finansowe firmy i </w:t>
      </w:r>
      <w:r>
        <w:rPr>
          <w:rFonts w:ascii="Intrum Sans" w:hAnsi="Intrum Sans"/>
          <w:sz w:val="18"/>
          <w:szCs w:val="18"/>
        </w:rPr>
        <w:t xml:space="preserve">pozwala </w:t>
      </w:r>
      <w:r w:rsidRPr="00342790">
        <w:rPr>
          <w:rFonts w:ascii="Intrum Sans" w:hAnsi="Intrum Sans"/>
          <w:sz w:val="18"/>
          <w:szCs w:val="18"/>
        </w:rPr>
        <w:t>budować silną pozycję w branży.</w:t>
      </w:r>
      <w:r w:rsidRPr="00342790">
        <w:rPr>
          <w:rStyle w:val="Odwoanieprzypisudolnego"/>
          <w:rFonts w:ascii="Intrum Sans" w:hAnsi="Intrum Sans"/>
          <w:sz w:val="18"/>
          <w:szCs w:val="18"/>
        </w:rPr>
        <w:footnoteReference w:id="9"/>
      </w:r>
      <w:r w:rsidRPr="00342790">
        <w:rPr>
          <w:rFonts w:ascii="Intrum Sans" w:hAnsi="Intrum Sans"/>
          <w:sz w:val="18"/>
          <w:szCs w:val="18"/>
        </w:rPr>
        <w:t xml:space="preserve"> Jednak niewątpliwie perspektywa szybkiego zwiększenia przychodów nierzadko bierze górę nad budowaniem relacji z odbiorcami i ich zaufania. – </w:t>
      </w:r>
      <w:r>
        <w:rPr>
          <w:rFonts w:ascii="Intrum Sans" w:hAnsi="Intrum Sans"/>
          <w:i/>
          <w:iCs/>
          <w:sz w:val="18"/>
          <w:szCs w:val="18"/>
        </w:rPr>
        <w:t>Połowa</w:t>
      </w:r>
      <w:r w:rsidRPr="00A153F6">
        <w:rPr>
          <w:rFonts w:ascii="Intrum Sans" w:hAnsi="Intrum Sans"/>
          <w:i/>
          <w:iCs/>
          <w:sz w:val="18"/>
          <w:szCs w:val="18"/>
        </w:rPr>
        <w:t xml:space="preserve"> respondentów uznał</w:t>
      </w:r>
      <w:r>
        <w:rPr>
          <w:rFonts w:ascii="Intrum Sans" w:hAnsi="Intrum Sans"/>
          <w:i/>
          <w:iCs/>
          <w:sz w:val="18"/>
          <w:szCs w:val="18"/>
        </w:rPr>
        <w:t>a</w:t>
      </w:r>
      <w:r w:rsidRPr="00A153F6">
        <w:rPr>
          <w:rStyle w:val="Odwoanieprzypisudolnego"/>
          <w:rFonts w:ascii="Intrum Sans" w:hAnsi="Intrum Sans"/>
          <w:i/>
          <w:iCs/>
          <w:sz w:val="18"/>
          <w:szCs w:val="18"/>
        </w:rPr>
        <w:footnoteReference w:id="10"/>
      </w:r>
      <w:r w:rsidRPr="00A153F6">
        <w:rPr>
          <w:rFonts w:ascii="Intrum Sans" w:hAnsi="Intrum Sans"/>
          <w:i/>
          <w:iCs/>
          <w:sz w:val="18"/>
          <w:szCs w:val="18"/>
        </w:rPr>
        <w:t>, że w obecnej sytuacji gospodarczej nie otrzymuj</w:t>
      </w:r>
      <w:r>
        <w:rPr>
          <w:rFonts w:ascii="Intrum Sans" w:hAnsi="Intrum Sans"/>
          <w:i/>
          <w:iCs/>
          <w:sz w:val="18"/>
          <w:szCs w:val="18"/>
        </w:rPr>
        <w:t>e</w:t>
      </w:r>
      <w:r w:rsidRPr="00A153F6">
        <w:rPr>
          <w:rFonts w:ascii="Intrum Sans" w:hAnsi="Intrum Sans"/>
          <w:i/>
          <w:iCs/>
          <w:sz w:val="18"/>
          <w:szCs w:val="18"/>
        </w:rPr>
        <w:t xml:space="preserve"> wystarczającego wsparcia od przedsiębiorstw, które zdają się nie rozumieć ich sytuacji</w:t>
      </w:r>
      <w:r w:rsidRPr="00342790">
        <w:rPr>
          <w:rFonts w:ascii="Intrum Sans" w:hAnsi="Intrum Sans"/>
          <w:i/>
          <w:iCs/>
          <w:sz w:val="18"/>
          <w:szCs w:val="18"/>
        </w:rPr>
        <w:t xml:space="preserve"> – </w:t>
      </w:r>
      <w:r w:rsidRPr="00A153F6">
        <w:rPr>
          <w:rFonts w:ascii="Intrum Sans" w:hAnsi="Intrum Sans"/>
          <w:sz w:val="18"/>
          <w:szCs w:val="18"/>
        </w:rPr>
        <w:t>podsumowuje</w:t>
      </w:r>
      <w:r>
        <w:rPr>
          <w:rFonts w:ascii="Intrum Sans" w:hAnsi="Intrum Sans"/>
          <w:sz w:val="18"/>
          <w:szCs w:val="18"/>
        </w:rPr>
        <w:t xml:space="preserve"> </w:t>
      </w:r>
      <w:r w:rsidRPr="00241409">
        <w:rPr>
          <w:rFonts w:ascii="Intrum Sans" w:hAnsi="Intrum Sans"/>
          <w:b/>
          <w:bCs/>
          <w:sz w:val="18"/>
          <w:szCs w:val="18"/>
        </w:rPr>
        <w:t>Piotr Szymański</w:t>
      </w:r>
      <w:r>
        <w:rPr>
          <w:rFonts w:ascii="Intrum Sans" w:hAnsi="Intrum Sans"/>
          <w:b/>
          <w:bCs/>
          <w:sz w:val="18"/>
          <w:szCs w:val="18"/>
        </w:rPr>
        <w:t>.</w:t>
      </w:r>
    </w:p>
    <w:p w14:paraId="66F25237" w14:textId="77777777" w:rsidR="00451161" w:rsidRPr="00241409" w:rsidRDefault="00451161" w:rsidP="00451161">
      <w:pPr>
        <w:jc w:val="both"/>
        <w:rPr>
          <w:rFonts w:ascii="Intrum Sans" w:hAnsi="Intrum Sans"/>
          <w:b/>
          <w:bCs/>
          <w:sz w:val="18"/>
          <w:szCs w:val="18"/>
        </w:rPr>
      </w:pPr>
    </w:p>
    <w:p w14:paraId="07AC5F9E" w14:textId="6A1B57EE" w:rsidR="00B33607" w:rsidRPr="00451161" w:rsidRDefault="00451161" w:rsidP="00451161">
      <w:pPr>
        <w:jc w:val="both"/>
        <w:rPr>
          <w:rFonts w:ascii="Intrum Sans" w:hAnsi="Intrum Sans"/>
          <w:sz w:val="18"/>
          <w:szCs w:val="18"/>
        </w:rPr>
      </w:pPr>
      <w:r>
        <w:rPr>
          <w:rFonts w:ascii="Intrum Sans" w:hAnsi="Intrum Sans"/>
          <w:sz w:val="18"/>
          <w:szCs w:val="18"/>
        </w:rPr>
        <w:t>M</w:t>
      </w:r>
      <w:r w:rsidRPr="00A77401">
        <w:rPr>
          <w:rFonts w:ascii="Intrum Sans" w:hAnsi="Intrum Sans"/>
          <w:sz w:val="18"/>
          <w:szCs w:val="18"/>
        </w:rPr>
        <w:t xml:space="preserve">imo, że </w:t>
      </w:r>
      <w:r>
        <w:rPr>
          <w:rFonts w:ascii="Intrum Sans" w:hAnsi="Intrum Sans"/>
          <w:sz w:val="18"/>
          <w:szCs w:val="18"/>
        </w:rPr>
        <w:t xml:space="preserve">w temacie nieuzasadnionych podwyżek cen, nabywcy nie doczekali się jeszcze ochrony prawnej, </w:t>
      </w:r>
      <w:r w:rsidRPr="00A77401">
        <w:rPr>
          <w:rFonts w:ascii="Intrum Sans" w:hAnsi="Intrum Sans"/>
          <w:sz w:val="18"/>
          <w:szCs w:val="18"/>
        </w:rPr>
        <w:t xml:space="preserve">mogą </w:t>
      </w:r>
      <w:r>
        <w:rPr>
          <w:rFonts w:ascii="Intrum Sans" w:hAnsi="Intrum Sans"/>
          <w:sz w:val="18"/>
          <w:szCs w:val="18"/>
        </w:rPr>
        <w:t xml:space="preserve">bronić swoich interesów </w:t>
      </w:r>
      <w:r w:rsidRPr="00A77401">
        <w:rPr>
          <w:rFonts w:ascii="Intrum Sans" w:hAnsi="Intrum Sans"/>
          <w:sz w:val="18"/>
          <w:szCs w:val="18"/>
        </w:rPr>
        <w:t>wywiera</w:t>
      </w:r>
      <w:r>
        <w:rPr>
          <w:rFonts w:ascii="Intrum Sans" w:hAnsi="Intrum Sans"/>
          <w:sz w:val="18"/>
          <w:szCs w:val="18"/>
        </w:rPr>
        <w:t>jąc</w:t>
      </w:r>
      <w:r w:rsidRPr="00A77401">
        <w:rPr>
          <w:rFonts w:ascii="Intrum Sans" w:hAnsi="Intrum Sans"/>
          <w:sz w:val="18"/>
          <w:szCs w:val="18"/>
        </w:rPr>
        <w:t xml:space="preserve"> </w:t>
      </w:r>
      <w:r>
        <w:rPr>
          <w:rFonts w:ascii="Intrum Sans" w:hAnsi="Intrum Sans"/>
          <w:sz w:val="18"/>
          <w:szCs w:val="18"/>
        </w:rPr>
        <w:t xml:space="preserve">wizerunkową i </w:t>
      </w:r>
      <w:r w:rsidRPr="00A77401">
        <w:rPr>
          <w:rFonts w:ascii="Intrum Sans" w:hAnsi="Intrum Sans"/>
          <w:sz w:val="18"/>
          <w:szCs w:val="18"/>
        </w:rPr>
        <w:t xml:space="preserve">społeczną presję, </w:t>
      </w:r>
      <w:r>
        <w:rPr>
          <w:rFonts w:ascii="Intrum Sans" w:hAnsi="Intrum Sans"/>
          <w:sz w:val="18"/>
          <w:szCs w:val="18"/>
        </w:rPr>
        <w:t>wskazując publicznie cenowe absurdy i nadużycia. W dobie Internetu i mediów</w:t>
      </w:r>
      <w:r w:rsidRPr="00A77401">
        <w:rPr>
          <w:rFonts w:ascii="Intrum Sans" w:hAnsi="Intrum Sans"/>
          <w:sz w:val="18"/>
          <w:szCs w:val="18"/>
        </w:rPr>
        <w:t xml:space="preserve"> </w:t>
      </w:r>
      <w:r>
        <w:rPr>
          <w:rFonts w:ascii="Intrum Sans" w:hAnsi="Intrum Sans"/>
          <w:sz w:val="18"/>
          <w:szCs w:val="18"/>
        </w:rPr>
        <w:t xml:space="preserve">społecznościowych negatywne opinie mogą bowiem być bardziej dotkliwe niż rozstrzygnięcia Temidy. </w:t>
      </w:r>
      <w:r>
        <w:rPr>
          <w:rFonts w:ascii="Intrum Sans" w:hAnsi="Intrum Sans"/>
          <w:sz w:val="18"/>
          <w:szCs w:val="18"/>
        </w:rPr>
        <w:br/>
        <w:t>Być może przedsiębiorstwa myślące strategicznie o swoich markach i obecności rynkowej powinny więc wziąć pod uwagę sentencję filozofa Seneki Młodszego: „Chciwość jest przyczyną ubóstwa”?</w:t>
      </w:r>
    </w:p>
    <w:sectPr w:rsidR="00B33607" w:rsidRPr="0045116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64162" w14:textId="77777777" w:rsidR="009205F0" w:rsidRDefault="009205F0">
      <w:r>
        <w:separator/>
      </w:r>
    </w:p>
  </w:endnote>
  <w:endnote w:type="continuationSeparator" w:id="0">
    <w:p w14:paraId="5A1BAEBD" w14:textId="77777777" w:rsidR="009205F0" w:rsidRDefault="0092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Intrum Sans">
    <w:altName w:val="Calibri"/>
    <w:panose1 w:val="00000500000000000000"/>
    <w:charset w:val="00"/>
    <w:family w:val="modern"/>
    <w:notTrueType/>
    <w:pitch w:val="variable"/>
    <w:sig w:usb0="00000087" w:usb1="00000000" w:usb2="00000000" w:usb3="00000000" w:csb0="0000009B"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5DA3" w14:textId="77777777" w:rsidR="00B674CE" w:rsidRDefault="00B674C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DCF5" w14:textId="77777777" w:rsidR="00B674CE" w:rsidRDefault="00B674C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F8D5" w14:textId="77777777" w:rsidR="00B674CE" w:rsidRDefault="00B674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4EE77" w14:textId="77777777" w:rsidR="009205F0" w:rsidRDefault="009205F0">
      <w:r>
        <w:separator/>
      </w:r>
    </w:p>
  </w:footnote>
  <w:footnote w:type="continuationSeparator" w:id="0">
    <w:p w14:paraId="65324869" w14:textId="77777777" w:rsidR="009205F0" w:rsidRDefault="009205F0">
      <w:r>
        <w:continuationSeparator/>
      </w:r>
    </w:p>
  </w:footnote>
  <w:footnote w:id="1">
    <w:p w14:paraId="6D244A2B" w14:textId="77777777" w:rsidR="00451161" w:rsidRPr="00241409" w:rsidRDefault="00451161" w:rsidP="00451161">
      <w:pPr>
        <w:pStyle w:val="Tekstprzypisudolnego"/>
        <w:rPr>
          <w:rFonts w:ascii="Intrum Sans" w:hAnsi="Intrum Sans"/>
          <w:sz w:val="16"/>
          <w:szCs w:val="16"/>
        </w:rPr>
      </w:pPr>
      <w:r w:rsidRPr="00241409">
        <w:rPr>
          <w:rStyle w:val="Odwoanieprzypisudolnego"/>
          <w:rFonts w:ascii="Intrum Sans" w:hAnsi="Intrum Sans"/>
          <w:sz w:val="16"/>
          <w:szCs w:val="16"/>
        </w:rPr>
        <w:footnoteRef/>
      </w:r>
      <w:r w:rsidRPr="00241409">
        <w:rPr>
          <w:rFonts w:ascii="Intrum Sans" w:hAnsi="Intrum Sans"/>
          <w:sz w:val="16"/>
          <w:szCs w:val="16"/>
        </w:rPr>
        <w:t xml:space="preserve"> Raport „Marże w polskich przedsiębiorstwach w 2022r.”, Polski Instytut Ekonomiczny, https://pie.net.pl/wp-content/uploads/2023/06/PIE-Raport_Marze_2023.pdf</w:t>
      </w:r>
    </w:p>
  </w:footnote>
  <w:footnote w:id="2">
    <w:p w14:paraId="243E5686" w14:textId="77777777" w:rsidR="00451161" w:rsidRPr="00241409" w:rsidRDefault="00451161" w:rsidP="00451161">
      <w:pPr>
        <w:pStyle w:val="Tekstprzypisudolnego"/>
        <w:rPr>
          <w:rFonts w:ascii="Intrum Sans" w:hAnsi="Intrum Sans"/>
          <w:sz w:val="16"/>
          <w:szCs w:val="16"/>
        </w:rPr>
      </w:pPr>
      <w:r w:rsidRPr="00241409">
        <w:rPr>
          <w:rStyle w:val="Odwoanieprzypisudolnego"/>
          <w:rFonts w:ascii="Intrum Sans" w:hAnsi="Intrum Sans"/>
          <w:sz w:val="16"/>
          <w:szCs w:val="16"/>
        </w:rPr>
        <w:footnoteRef/>
      </w:r>
      <w:r w:rsidRPr="00241409">
        <w:rPr>
          <w:rFonts w:ascii="Intrum Sans" w:hAnsi="Intrum Sans"/>
          <w:sz w:val="16"/>
          <w:szCs w:val="16"/>
        </w:rPr>
        <w:t xml:space="preserve"> Badanie Consumer </w:t>
      </w:r>
      <w:proofErr w:type="spellStart"/>
      <w:r w:rsidRPr="00241409">
        <w:rPr>
          <w:rFonts w:ascii="Intrum Sans" w:hAnsi="Intrum Sans"/>
          <w:sz w:val="16"/>
          <w:szCs w:val="16"/>
        </w:rPr>
        <w:t>Signals</w:t>
      </w:r>
      <w:proofErr w:type="spellEnd"/>
      <w:r w:rsidRPr="00241409">
        <w:rPr>
          <w:rFonts w:ascii="Intrum Sans" w:hAnsi="Intrum Sans"/>
          <w:sz w:val="16"/>
          <w:szCs w:val="16"/>
        </w:rPr>
        <w:t xml:space="preserve"> firmy doradczej Deloitte, https://www2.deloitte.com/pl/pl/pages/press-releases/articles/70-proc-polakow-spodziewa-sie-dalszego-wzrostu-cen-zywnosci.html</w:t>
      </w:r>
    </w:p>
  </w:footnote>
  <w:footnote w:id="3">
    <w:p w14:paraId="068A1E49" w14:textId="77777777" w:rsidR="00451161" w:rsidRPr="00241409" w:rsidRDefault="00451161" w:rsidP="00451161">
      <w:pPr>
        <w:pStyle w:val="Tekstprzypisudolnego"/>
        <w:rPr>
          <w:rFonts w:ascii="Intrum Sans" w:hAnsi="Intrum Sans"/>
          <w:sz w:val="16"/>
          <w:szCs w:val="16"/>
        </w:rPr>
      </w:pPr>
      <w:r w:rsidRPr="00241409">
        <w:rPr>
          <w:rStyle w:val="Odwoanieprzypisudolnego"/>
          <w:rFonts w:ascii="Intrum Sans" w:hAnsi="Intrum Sans"/>
          <w:sz w:val="16"/>
          <w:szCs w:val="16"/>
        </w:rPr>
        <w:footnoteRef/>
      </w:r>
      <w:r w:rsidRPr="00241409">
        <w:rPr>
          <w:rFonts w:ascii="Intrum Sans" w:hAnsi="Intrum Sans"/>
          <w:sz w:val="16"/>
          <w:szCs w:val="16"/>
        </w:rPr>
        <w:t xml:space="preserve"> Raport „Marże w polskich przedsiębiorstwach w 2022r.”, Polski Instytut Ekonomiczny, https://pie.net.pl/wp-content/uploads/2023/06/PIE-Raport_Marze_2023.pdf</w:t>
      </w:r>
    </w:p>
  </w:footnote>
  <w:footnote w:id="4">
    <w:p w14:paraId="7BB8948F" w14:textId="77777777" w:rsidR="00451161" w:rsidRPr="00241409" w:rsidRDefault="00451161" w:rsidP="00451161">
      <w:pPr>
        <w:pStyle w:val="Tekstprzypisudolnego"/>
        <w:rPr>
          <w:rFonts w:ascii="Intrum Sans" w:hAnsi="Intrum Sans"/>
          <w:sz w:val="16"/>
          <w:szCs w:val="16"/>
        </w:rPr>
      </w:pPr>
      <w:r w:rsidRPr="00241409">
        <w:rPr>
          <w:rStyle w:val="Odwoanieprzypisudolnego"/>
          <w:rFonts w:ascii="Intrum Sans" w:hAnsi="Intrum Sans"/>
          <w:sz w:val="16"/>
          <w:szCs w:val="16"/>
        </w:rPr>
        <w:footnoteRef/>
      </w:r>
      <w:r w:rsidRPr="00241409">
        <w:rPr>
          <w:rFonts w:ascii="Intrum Sans" w:hAnsi="Intrum Sans"/>
          <w:sz w:val="16"/>
          <w:szCs w:val="16"/>
        </w:rPr>
        <w:t xml:space="preserve"> Piotr Mazurkiewicz, „Polacy nie rozumieją związku inflacji z cenami w sklepach. Zwłaszcza wyborcy PiS”, Rzeczpospolita, https://www.rp.pl/gospodarka/art38473271-polacy-nie-rozumieja-zwiazku-inflacji-z-cenami-w-sklepach-zwlaszcza-wyborcy-pis</w:t>
      </w:r>
    </w:p>
  </w:footnote>
  <w:footnote w:id="5">
    <w:p w14:paraId="73281B12" w14:textId="77777777" w:rsidR="00451161" w:rsidRPr="0066366A" w:rsidRDefault="00451161" w:rsidP="00451161">
      <w:pPr>
        <w:rPr>
          <w:rFonts w:ascii="Intrum Sans" w:hAnsi="Intrum Sans"/>
          <w:sz w:val="16"/>
          <w:szCs w:val="16"/>
        </w:rPr>
      </w:pPr>
      <w:r w:rsidRPr="00241409">
        <w:rPr>
          <w:rStyle w:val="Odwoanieprzypisudolnego"/>
          <w:rFonts w:ascii="Intrum Sans" w:hAnsi="Intrum Sans"/>
          <w:sz w:val="16"/>
          <w:szCs w:val="16"/>
        </w:rPr>
        <w:footnoteRef/>
      </w:r>
      <w:r w:rsidRPr="00241409">
        <w:rPr>
          <w:rFonts w:ascii="Intrum Sans" w:hAnsi="Intrum Sans"/>
          <w:sz w:val="16"/>
          <w:szCs w:val="16"/>
        </w:rPr>
        <w:t xml:space="preserve"> </w:t>
      </w:r>
      <w:r>
        <w:rPr>
          <w:rFonts w:ascii="Intrum Sans" w:hAnsi="Intrum Sans"/>
          <w:sz w:val="16"/>
          <w:szCs w:val="16"/>
        </w:rPr>
        <w:t>Tamże.</w:t>
      </w:r>
    </w:p>
  </w:footnote>
  <w:footnote w:id="6">
    <w:p w14:paraId="64A37BBF" w14:textId="77777777" w:rsidR="00451161" w:rsidRPr="00241409" w:rsidRDefault="00451161" w:rsidP="00451161">
      <w:pPr>
        <w:pStyle w:val="Tekstprzypisudolnego"/>
        <w:rPr>
          <w:rFonts w:ascii="Intrum Sans" w:hAnsi="Intrum Sans"/>
          <w:sz w:val="16"/>
          <w:szCs w:val="16"/>
        </w:rPr>
      </w:pPr>
      <w:r w:rsidRPr="00241409">
        <w:rPr>
          <w:rStyle w:val="Odwoanieprzypisudolnego"/>
          <w:rFonts w:ascii="Intrum Sans" w:hAnsi="Intrum Sans"/>
          <w:sz w:val="16"/>
          <w:szCs w:val="16"/>
        </w:rPr>
        <w:footnoteRef/>
      </w:r>
      <w:r w:rsidRPr="00241409">
        <w:rPr>
          <w:rFonts w:ascii="Intrum Sans" w:hAnsi="Intrum Sans"/>
          <w:sz w:val="16"/>
          <w:szCs w:val="16"/>
        </w:rPr>
        <w:t xml:space="preserve"> Badanie Consumer </w:t>
      </w:r>
      <w:proofErr w:type="spellStart"/>
      <w:r w:rsidRPr="00241409">
        <w:rPr>
          <w:rFonts w:ascii="Intrum Sans" w:hAnsi="Intrum Sans"/>
          <w:sz w:val="16"/>
          <w:szCs w:val="16"/>
        </w:rPr>
        <w:t>Signals</w:t>
      </w:r>
      <w:proofErr w:type="spellEnd"/>
      <w:r w:rsidRPr="00241409">
        <w:rPr>
          <w:rFonts w:ascii="Intrum Sans" w:hAnsi="Intrum Sans"/>
          <w:sz w:val="16"/>
          <w:szCs w:val="16"/>
        </w:rPr>
        <w:t xml:space="preserve"> firmy doradczej Deloitte,  https://www2.deloitte.com/pl/pl/pages/press-releases/articles/70-proc-polakow-spodziewa-sie-dalszego-wzrostu-cen-zywnosci.html</w:t>
      </w:r>
    </w:p>
  </w:footnote>
  <w:footnote w:id="7">
    <w:p w14:paraId="6ECF321D" w14:textId="77777777" w:rsidR="00451161" w:rsidRPr="00241409" w:rsidRDefault="00451161" w:rsidP="00451161">
      <w:pPr>
        <w:pStyle w:val="Tekstprzypisudolnego"/>
        <w:rPr>
          <w:rFonts w:ascii="Intrum Sans" w:hAnsi="Intrum Sans"/>
          <w:sz w:val="18"/>
          <w:szCs w:val="18"/>
        </w:rPr>
      </w:pPr>
      <w:r w:rsidRPr="00241409">
        <w:rPr>
          <w:rStyle w:val="Odwoanieprzypisudolnego"/>
          <w:rFonts w:ascii="Intrum Sans" w:hAnsi="Intrum Sans"/>
          <w:sz w:val="16"/>
          <w:szCs w:val="16"/>
        </w:rPr>
        <w:footnoteRef/>
      </w:r>
      <w:r w:rsidRPr="00241409">
        <w:rPr>
          <w:rFonts w:ascii="Intrum Sans" w:hAnsi="Intrum Sans"/>
          <w:sz w:val="16"/>
          <w:szCs w:val="16"/>
        </w:rPr>
        <w:t xml:space="preserve"> Raport „Sprzedaż maseczek medycznych w latach 2002-2021”, Blog OSOZ, https://blog.osoz.pl/raport-osoz-sprzedaz-maseczek-medycznych-w-latach-2002-2021/</w:t>
      </w:r>
    </w:p>
  </w:footnote>
  <w:footnote w:id="8">
    <w:p w14:paraId="1DC279AC" w14:textId="77777777" w:rsidR="00451161" w:rsidRPr="00241409" w:rsidRDefault="00451161" w:rsidP="00451161">
      <w:pPr>
        <w:pStyle w:val="Tekstprzypisudolnego"/>
        <w:rPr>
          <w:rFonts w:ascii="Intrum Sans" w:hAnsi="Intrum Sans"/>
          <w:sz w:val="18"/>
          <w:szCs w:val="18"/>
        </w:rPr>
      </w:pPr>
      <w:r w:rsidRPr="00241409">
        <w:rPr>
          <w:rStyle w:val="Odwoanieprzypisudolnego"/>
          <w:rFonts w:ascii="Intrum Sans" w:hAnsi="Intrum Sans"/>
          <w:sz w:val="18"/>
          <w:szCs w:val="18"/>
        </w:rPr>
        <w:footnoteRef/>
      </w:r>
      <w:r w:rsidRPr="00241409">
        <w:rPr>
          <w:rFonts w:ascii="Intrum Sans" w:hAnsi="Intrum Sans"/>
          <w:sz w:val="18"/>
          <w:szCs w:val="18"/>
        </w:rPr>
        <w:t xml:space="preserve"> Parkiet.pl, „Biznes nie stał się bardziej chciwy niż zwykle”, https://www.parkiet.com/gospodarka-krajowa/art38716351-biznes-nie-stal-sie-bardziej-chciwy-niz-zwykle</w:t>
      </w:r>
    </w:p>
  </w:footnote>
  <w:footnote w:id="9">
    <w:p w14:paraId="48C28E21" w14:textId="77777777" w:rsidR="00451161" w:rsidRPr="00241409" w:rsidRDefault="00451161" w:rsidP="00451161">
      <w:pPr>
        <w:pStyle w:val="Tekstprzypisudolnego"/>
        <w:rPr>
          <w:rFonts w:ascii="Intrum Sans" w:hAnsi="Intrum Sans"/>
          <w:sz w:val="18"/>
          <w:szCs w:val="18"/>
        </w:rPr>
      </w:pPr>
      <w:r w:rsidRPr="00241409">
        <w:rPr>
          <w:rStyle w:val="Odwoanieprzypisudolnego"/>
          <w:rFonts w:ascii="Intrum Sans" w:hAnsi="Intrum Sans"/>
          <w:sz w:val="18"/>
          <w:szCs w:val="18"/>
        </w:rPr>
        <w:footnoteRef/>
      </w:r>
      <w:r w:rsidRPr="00241409">
        <w:rPr>
          <w:rFonts w:ascii="Intrum Sans" w:hAnsi="Intrum Sans"/>
          <w:sz w:val="18"/>
          <w:szCs w:val="18"/>
        </w:rPr>
        <w:t xml:space="preserve"> Badanie przeprowadzone przez agencję OBTK – ECCO Network,  „Reputacja wpływa na przychody, walczymy o nią w wielu kanałach, widzimy nowe wyzwania”, https://obtk.pl/reputacja-wplywa-przychody-walczymy-o-nia-wielu-kanalach-widzimy-nowe-wyzwania-badanie-dyr-komunikacji/#O_badaniu</w:t>
      </w:r>
    </w:p>
  </w:footnote>
  <w:footnote w:id="10">
    <w:p w14:paraId="6AD36F3D" w14:textId="77777777" w:rsidR="00451161" w:rsidRPr="009E76DA" w:rsidRDefault="00451161" w:rsidP="00451161">
      <w:pPr>
        <w:pStyle w:val="Tekstprzypisudolnego"/>
        <w:rPr>
          <w:lang w:val="en-US"/>
        </w:rPr>
      </w:pPr>
      <w:r w:rsidRPr="00241409">
        <w:rPr>
          <w:rStyle w:val="Odwoanieprzypisudolnego"/>
          <w:rFonts w:ascii="Intrum Sans" w:hAnsi="Intrum Sans"/>
          <w:sz w:val="18"/>
          <w:szCs w:val="18"/>
        </w:rPr>
        <w:footnoteRef/>
      </w:r>
      <w:r w:rsidRPr="00241409">
        <w:rPr>
          <w:rFonts w:ascii="Intrum Sans" w:hAnsi="Intrum Sans"/>
          <w:sz w:val="18"/>
          <w:szCs w:val="18"/>
          <w:lang w:val="en-US"/>
        </w:rPr>
        <w:t xml:space="preserve"> </w:t>
      </w:r>
      <w:proofErr w:type="spellStart"/>
      <w:r w:rsidRPr="00241409">
        <w:rPr>
          <w:rFonts w:ascii="Intrum Sans" w:hAnsi="Intrum Sans"/>
          <w:sz w:val="18"/>
          <w:szCs w:val="18"/>
          <w:lang w:val="en-US"/>
        </w:rPr>
        <w:t>Intrum</w:t>
      </w:r>
      <w:proofErr w:type="spellEnd"/>
      <w:r w:rsidRPr="00241409">
        <w:rPr>
          <w:rFonts w:ascii="Intrum Sans" w:hAnsi="Intrum Sans"/>
          <w:sz w:val="18"/>
          <w:szCs w:val="18"/>
          <w:lang w:val="en-US"/>
        </w:rPr>
        <w:t xml:space="preserve"> European Consumer Payment Report 2024 Pulse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B1E7" w14:textId="77777777" w:rsidR="00B674CE" w:rsidRDefault="00B674C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1CA0" w14:textId="673C2B15" w:rsidR="00326774" w:rsidRDefault="00326774">
    <w:pPr>
      <w:pStyle w:val="Nagwek"/>
    </w:pPr>
    <w:r>
      <w:rPr>
        <w:noProof/>
      </w:rPr>
      <w:drawing>
        <wp:inline distT="0" distB="0" distL="0" distR="0" wp14:anchorId="0A4DC1EA" wp14:editId="1AB24B8B">
          <wp:extent cx="949665" cy="214009"/>
          <wp:effectExtent l="0" t="0" r="3175" b="1905"/>
          <wp:docPr id="425963298"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963298" name="Obraz 1" descr="Obraz zawierający czarne, ciemność&#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959086" cy="2161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084B" w14:textId="77777777" w:rsidR="00B674CE" w:rsidRDefault="00B674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476"/>
    <w:multiLevelType w:val="hybridMultilevel"/>
    <w:tmpl w:val="00B2E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6600CF"/>
    <w:multiLevelType w:val="hybridMultilevel"/>
    <w:tmpl w:val="589A7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B45F68"/>
    <w:multiLevelType w:val="hybridMultilevel"/>
    <w:tmpl w:val="B9AEC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064C62"/>
    <w:multiLevelType w:val="hybridMultilevel"/>
    <w:tmpl w:val="0928B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0415D06"/>
    <w:multiLevelType w:val="hybridMultilevel"/>
    <w:tmpl w:val="D3028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F3A6F62"/>
    <w:multiLevelType w:val="hybridMultilevel"/>
    <w:tmpl w:val="BA98C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6A1C2B"/>
    <w:multiLevelType w:val="hybridMultilevel"/>
    <w:tmpl w:val="B67C3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42461A2"/>
    <w:multiLevelType w:val="hybridMultilevel"/>
    <w:tmpl w:val="ABFA0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50876A1"/>
    <w:multiLevelType w:val="hybridMultilevel"/>
    <w:tmpl w:val="8124D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77383901">
    <w:abstractNumId w:val="0"/>
  </w:num>
  <w:num w:numId="2" w16cid:durableId="31081461">
    <w:abstractNumId w:val="4"/>
  </w:num>
  <w:num w:numId="3" w16cid:durableId="1634287130">
    <w:abstractNumId w:val="8"/>
  </w:num>
  <w:num w:numId="4" w16cid:durableId="1104886817">
    <w:abstractNumId w:val="3"/>
  </w:num>
  <w:num w:numId="5" w16cid:durableId="861280139">
    <w:abstractNumId w:val="1"/>
  </w:num>
  <w:num w:numId="6" w16cid:durableId="1041056696">
    <w:abstractNumId w:val="2"/>
  </w:num>
  <w:num w:numId="7" w16cid:durableId="377165513">
    <w:abstractNumId w:val="5"/>
  </w:num>
  <w:num w:numId="8" w16cid:durableId="2000452905">
    <w:abstractNumId w:val="7"/>
  </w:num>
  <w:num w:numId="9" w16cid:durableId="14435732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13"/>
    <w:rsid w:val="000032EB"/>
    <w:rsid w:val="000117EA"/>
    <w:rsid w:val="00056107"/>
    <w:rsid w:val="00063CE2"/>
    <w:rsid w:val="000C2139"/>
    <w:rsid w:val="000E3CE1"/>
    <w:rsid w:val="000F27B4"/>
    <w:rsid w:val="001A4060"/>
    <w:rsid w:val="001B0354"/>
    <w:rsid w:val="001B1DE3"/>
    <w:rsid w:val="001E33E4"/>
    <w:rsid w:val="001E3A34"/>
    <w:rsid w:val="00230A6C"/>
    <w:rsid w:val="00255113"/>
    <w:rsid w:val="00276ACB"/>
    <w:rsid w:val="002E2532"/>
    <w:rsid w:val="002E6824"/>
    <w:rsid w:val="002F3D8A"/>
    <w:rsid w:val="0031105C"/>
    <w:rsid w:val="00326774"/>
    <w:rsid w:val="003708C2"/>
    <w:rsid w:val="003B7111"/>
    <w:rsid w:val="00411486"/>
    <w:rsid w:val="0042236C"/>
    <w:rsid w:val="00445695"/>
    <w:rsid w:val="00451161"/>
    <w:rsid w:val="00452F8D"/>
    <w:rsid w:val="004A5ECF"/>
    <w:rsid w:val="004D6D80"/>
    <w:rsid w:val="004E49CD"/>
    <w:rsid w:val="00521408"/>
    <w:rsid w:val="00533684"/>
    <w:rsid w:val="005734C2"/>
    <w:rsid w:val="005D10F1"/>
    <w:rsid w:val="005D535B"/>
    <w:rsid w:val="006755AB"/>
    <w:rsid w:val="006B012B"/>
    <w:rsid w:val="006C351A"/>
    <w:rsid w:val="0071355B"/>
    <w:rsid w:val="00744E5C"/>
    <w:rsid w:val="0076597B"/>
    <w:rsid w:val="007701C9"/>
    <w:rsid w:val="007C48D5"/>
    <w:rsid w:val="007F3408"/>
    <w:rsid w:val="0083277E"/>
    <w:rsid w:val="00844FFE"/>
    <w:rsid w:val="008516D7"/>
    <w:rsid w:val="008A38C6"/>
    <w:rsid w:val="008D7399"/>
    <w:rsid w:val="008E0142"/>
    <w:rsid w:val="00912639"/>
    <w:rsid w:val="009205F0"/>
    <w:rsid w:val="00972959"/>
    <w:rsid w:val="00976956"/>
    <w:rsid w:val="009E1676"/>
    <w:rsid w:val="00A02BEE"/>
    <w:rsid w:val="00A33DC8"/>
    <w:rsid w:val="00A62C90"/>
    <w:rsid w:val="00AC2743"/>
    <w:rsid w:val="00AD0B76"/>
    <w:rsid w:val="00AE6FAE"/>
    <w:rsid w:val="00AF7AF0"/>
    <w:rsid w:val="00B11CFD"/>
    <w:rsid w:val="00B27939"/>
    <w:rsid w:val="00B33607"/>
    <w:rsid w:val="00B674CE"/>
    <w:rsid w:val="00BA117F"/>
    <w:rsid w:val="00BC3A40"/>
    <w:rsid w:val="00BD5C57"/>
    <w:rsid w:val="00BE77AD"/>
    <w:rsid w:val="00BF4A67"/>
    <w:rsid w:val="00C02407"/>
    <w:rsid w:val="00C07463"/>
    <w:rsid w:val="00C109DD"/>
    <w:rsid w:val="00C72EF5"/>
    <w:rsid w:val="00CE049F"/>
    <w:rsid w:val="00D06B54"/>
    <w:rsid w:val="00D44A76"/>
    <w:rsid w:val="00D77C9A"/>
    <w:rsid w:val="00E05517"/>
    <w:rsid w:val="00E07771"/>
    <w:rsid w:val="00E2220E"/>
    <w:rsid w:val="00E25ED8"/>
    <w:rsid w:val="00E3309F"/>
    <w:rsid w:val="00E42AFB"/>
    <w:rsid w:val="00E60CE4"/>
    <w:rsid w:val="00E71B2F"/>
    <w:rsid w:val="00EA5B9E"/>
    <w:rsid w:val="00EE723A"/>
    <w:rsid w:val="00F219EA"/>
    <w:rsid w:val="00F81211"/>
    <w:rsid w:val="00F9487F"/>
    <w:rsid w:val="00FB358D"/>
    <w:rsid w:val="00FC3FFA"/>
    <w:rsid w:val="00FD17E4"/>
    <w:rsid w:val="035A367E"/>
    <w:rsid w:val="0B395C30"/>
    <w:rsid w:val="11CBEDB8"/>
    <w:rsid w:val="138C54FE"/>
    <w:rsid w:val="16429143"/>
    <w:rsid w:val="16BCA848"/>
    <w:rsid w:val="16E2E4F7"/>
    <w:rsid w:val="17200B55"/>
    <w:rsid w:val="17FC11F5"/>
    <w:rsid w:val="1997E256"/>
    <w:rsid w:val="1C93E4FD"/>
    <w:rsid w:val="1CDB33A8"/>
    <w:rsid w:val="1F916945"/>
    <w:rsid w:val="25441003"/>
    <w:rsid w:val="27BADE81"/>
    <w:rsid w:val="2A0D90CA"/>
    <w:rsid w:val="30DA31E9"/>
    <w:rsid w:val="3113D738"/>
    <w:rsid w:val="330A047B"/>
    <w:rsid w:val="34C35034"/>
    <w:rsid w:val="35AE07AB"/>
    <w:rsid w:val="382985DF"/>
    <w:rsid w:val="384E94DE"/>
    <w:rsid w:val="3A05F9AB"/>
    <w:rsid w:val="3A781CD3"/>
    <w:rsid w:val="3AD5431F"/>
    <w:rsid w:val="3BE0D746"/>
    <w:rsid w:val="3D88C10F"/>
    <w:rsid w:val="3D911324"/>
    <w:rsid w:val="3F718882"/>
    <w:rsid w:val="42527F27"/>
    <w:rsid w:val="42C3A94F"/>
    <w:rsid w:val="45D9EF43"/>
    <w:rsid w:val="476E973C"/>
    <w:rsid w:val="4857E21E"/>
    <w:rsid w:val="4A906D6F"/>
    <w:rsid w:val="4AA2835E"/>
    <w:rsid w:val="4FB41FF7"/>
    <w:rsid w:val="56E965A6"/>
    <w:rsid w:val="57A5EB44"/>
    <w:rsid w:val="58853607"/>
    <w:rsid w:val="5B671442"/>
    <w:rsid w:val="5BBCD6C9"/>
    <w:rsid w:val="5BD043A1"/>
    <w:rsid w:val="5BD37523"/>
    <w:rsid w:val="5D58A72A"/>
    <w:rsid w:val="608B0CB8"/>
    <w:rsid w:val="6552BBA1"/>
    <w:rsid w:val="67D7B7F7"/>
    <w:rsid w:val="6B6E4F82"/>
    <w:rsid w:val="6B8CDF4C"/>
    <w:rsid w:val="6F4BAB65"/>
    <w:rsid w:val="6FE3D8C4"/>
    <w:rsid w:val="70E77BC6"/>
    <w:rsid w:val="727B89FF"/>
    <w:rsid w:val="72834C27"/>
    <w:rsid w:val="75BAECE9"/>
    <w:rsid w:val="7FBFE6D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A747D"/>
  <w15:chartTrackingRefBased/>
  <w15:docId w15:val="{64DA11E8-5653-5444-9AE0-9D52B852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72959"/>
    <w:pPr>
      <w:keepNext/>
      <w:keepLines/>
      <w:spacing w:before="480" w:line="276" w:lineRule="auto"/>
      <w:outlineLvl w:val="0"/>
    </w:pPr>
    <w:rPr>
      <w:rFonts w:ascii="Cambria" w:eastAsia="Times New Roman" w:hAnsi="Cambria" w:cs="Times New Roman"/>
      <w:b/>
      <w:bCs/>
      <w:color w:val="365F91"/>
      <w:sz w:val="28"/>
      <w:szCs w:val="28"/>
      <w:lang w:val="x-none" w:eastAsia="x-none"/>
    </w:rPr>
  </w:style>
  <w:style w:type="paragraph" w:styleId="Nagwek2">
    <w:name w:val="heading 2"/>
    <w:basedOn w:val="Normalny"/>
    <w:next w:val="Normalny"/>
    <w:link w:val="Nagwek2Znak"/>
    <w:uiPriority w:val="9"/>
    <w:unhideWhenUsed/>
    <w:qFormat/>
    <w:rsid w:val="00972959"/>
    <w:pPr>
      <w:keepNext/>
      <w:spacing w:before="240" w:after="60" w:line="276" w:lineRule="auto"/>
      <w:outlineLvl w:val="1"/>
    </w:pPr>
    <w:rPr>
      <w:rFonts w:ascii="Cambria" w:eastAsia="Times New Roman" w:hAnsi="Cambria" w:cs="Times New Roman"/>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255113"/>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255113"/>
  </w:style>
  <w:style w:type="character" w:customStyle="1" w:styleId="eop">
    <w:name w:val="eop"/>
    <w:basedOn w:val="Domylnaczcionkaakapitu"/>
    <w:rsid w:val="00255113"/>
  </w:style>
  <w:style w:type="character" w:customStyle="1" w:styleId="superscript">
    <w:name w:val="superscript"/>
    <w:basedOn w:val="Domylnaczcionkaakapitu"/>
    <w:rsid w:val="00255113"/>
  </w:style>
  <w:style w:type="paragraph" w:styleId="Poprawka">
    <w:name w:val="Revision"/>
    <w:hidden/>
    <w:uiPriority w:val="99"/>
    <w:semiHidden/>
    <w:rsid w:val="00FD17E4"/>
  </w:style>
  <w:style w:type="character" w:styleId="Odwoaniedokomentarza">
    <w:name w:val="annotation reference"/>
    <w:basedOn w:val="Domylnaczcionkaakapitu"/>
    <w:uiPriority w:val="99"/>
    <w:semiHidden/>
    <w:unhideWhenUsed/>
    <w:rsid w:val="00C07463"/>
    <w:rPr>
      <w:sz w:val="16"/>
      <w:szCs w:val="16"/>
    </w:rPr>
  </w:style>
  <w:style w:type="paragraph" w:styleId="Tekstkomentarza">
    <w:name w:val="annotation text"/>
    <w:basedOn w:val="Normalny"/>
    <w:link w:val="TekstkomentarzaZnak"/>
    <w:uiPriority w:val="99"/>
    <w:unhideWhenUsed/>
    <w:rsid w:val="00C07463"/>
    <w:rPr>
      <w:sz w:val="20"/>
      <w:szCs w:val="20"/>
    </w:rPr>
  </w:style>
  <w:style w:type="character" w:customStyle="1" w:styleId="TekstkomentarzaZnak">
    <w:name w:val="Tekst komentarza Znak"/>
    <w:basedOn w:val="Domylnaczcionkaakapitu"/>
    <w:link w:val="Tekstkomentarza"/>
    <w:uiPriority w:val="99"/>
    <w:rsid w:val="00C07463"/>
    <w:rPr>
      <w:sz w:val="20"/>
      <w:szCs w:val="20"/>
    </w:rPr>
  </w:style>
  <w:style w:type="paragraph" w:styleId="Tematkomentarza">
    <w:name w:val="annotation subject"/>
    <w:basedOn w:val="Tekstkomentarza"/>
    <w:next w:val="Tekstkomentarza"/>
    <w:link w:val="TematkomentarzaZnak"/>
    <w:uiPriority w:val="99"/>
    <w:semiHidden/>
    <w:unhideWhenUsed/>
    <w:rsid w:val="00C07463"/>
    <w:rPr>
      <w:b/>
      <w:bCs/>
    </w:rPr>
  </w:style>
  <w:style w:type="character" w:customStyle="1" w:styleId="TematkomentarzaZnak">
    <w:name w:val="Temat komentarza Znak"/>
    <w:basedOn w:val="TekstkomentarzaZnak"/>
    <w:link w:val="Tematkomentarza"/>
    <w:uiPriority w:val="99"/>
    <w:semiHidden/>
    <w:rsid w:val="00C07463"/>
    <w:rPr>
      <w:b/>
      <w:bCs/>
      <w:sz w:val="20"/>
      <w:szCs w:val="20"/>
    </w:rPr>
  </w:style>
  <w:style w:type="character" w:styleId="Odwoanieprzypisudolnego">
    <w:name w:val="footnote reference"/>
    <w:basedOn w:val="Domylnaczcionkaakapitu"/>
    <w:uiPriority w:val="99"/>
    <w:semiHidden/>
    <w:unhideWhenUsed/>
    <w:rPr>
      <w:vertAlign w:val="superscript"/>
    </w:rPr>
  </w:style>
  <w:style w:type="character" w:styleId="Hipercze">
    <w:name w:val="Hyperlink"/>
    <w:basedOn w:val="Domylnaczcionkaakapitu"/>
    <w:uiPriority w:val="99"/>
    <w:unhideWhenUsed/>
    <w:rPr>
      <w:color w:val="0563C1" w:themeColor="hyperlink"/>
      <w:u w:val="single"/>
    </w:rPr>
  </w:style>
  <w:style w:type="character" w:customStyle="1" w:styleId="TekstprzypisudolnegoZnak">
    <w:name w:val="Tekst przypisu dolnego Znak"/>
    <w:basedOn w:val="Domylnaczcionkaakapitu"/>
    <w:link w:val="Tekstprzypisudolnego"/>
    <w:uiPriority w:val="99"/>
    <w:semiHidden/>
    <w:rPr>
      <w:sz w:val="20"/>
      <w:szCs w:val="20"/>
    </w:rPr>
  </w:style>
  <w:style w:type="paragraph" w:styleId="Tekstprzypisudolnego">
    <w:name w:val="footnote text"/>
    <w:basedOn w:val="Normalny"/>
    <w:link w:val="TekstprzypisudolnegoZnak"/>
    <w:uiPriority w:val="99"/>
    <w:semiHidden/>
    <w:unhideWhenUsed/>
    <w:rPr>
      <w:sz w:val="20"/>
      <w:szCs w:val="20"/>
    </w:rPr>
  </w:style>
  <w:style w:type="character" w:styleId="UyteHipercze">
    <w:name w:val="FollowedHyperlink"/>
    <w:basedOn w:val="Domylnaczcionkaakapitu"/>
    <w:uiPriority w:val="99"/>
    <w:semiHidden/>
    <w:unhideWhenUsed/>
    <w:rsid w:val="002F3D8A"/>
    <w:rPr>
      <w:color w:val="954F72" w:themeColor="followedHyperlink"/>
      <w:u w:val="single"/>
    </w:rPr>
  </w:style>
  <w:style w:type="paragraph" w:styleId="Nagwek">
    <w:name w:val="header"/>
    <w:basedOn w:val="Normalny"/>
    <w:link w:val="NagwekZnak"/>
    <w:uiPriority w:val="99"/>
    <w:unhideWhenUsed/>
    <w:rsid w:val="00326774"/>
    <w:pPr>
      <w:tabs>
        <w:tab w:val="center" w:pos="4536"/>
        <w:tab w:val="right" w:pos="9072"/>
      </w:tabs>
    </w:pPr>
  </w:style>
  <w:style w:type="character" w:customStyle="1" w:styleId="NagwekZnak">
    <w:name w:val="Nagłówek Znak"/>
    <w:basedOn w:val="Domylnaczcionkaakapitu"/>
    <w:link w:val="Nagwek"/>
    <w:uiPriority w:val="99"/>
    <w:rsid w:val="00326774"/>
  </w:style>
  <w:style w:type="paragraph" w:styleId="Stopka">
    <w:name w:val="footer"/>
    <w:basedOn w:val="Normalny"/>
    <w:link w:val="StopkaZnak"/>
    <w:uiPriority w:val="99"/>
    <w:unhideWhenUsed/>
    <w:rsid w:val="00326774"/>
    <w:pPr>
      <w:tabs>
        <w:tab w:val="center" w:pos="4536"/>
        <w:tab w:val="right" w:pos="9072"/>
      </w:tabs>
    </w:pPr>
  </w:style>
  <w:style w:type="character" w:customStyle="1" w:styleId="StopkaZnak">
    <w:name w:val="Stopka Znak"/>
    <w:basedOn w:val="Domylnaczcionkaakapitu"/>
    <w:link w:val="Stopka"/>
    <w:uiPriority w:val="99"/>
    <w:rsid w:val="00326774"/>
  </w:style>
  <w:style w:type="character" w:customStyle="1" w:styleId="Nagwek1Znak">
    <w:name w:val="Nagłówek 1 Znak"/>
    <w:basedOn w:val="Domylnaczcionkaakapitu"/>
    <w:link w:val="Nagwek1"/>
    <w:uiPriority w:val="9"/>
    <w:rsid w:val="00972959"/>
    <w:rPr>
      <w:rFonts w:ascii="Cambria" w:eastAsia="Times New Roman" w:hAnsi="Cambria" w:cs="Times New Roman"/>
      <w:b/>
      <w:bCs/>
      <w:color w:val="365F91"/>
      <w:sz w:val="28"/>
      <w:szCs w:val="28"/>
      <w:lang w:val="x-none" w:eastAsia="x-none"/>
    </w:rPr>
  </w:style>
  <w:style w:type="character" w:customStyle="1" w:styleId="Nagwek2Znak">
    <w:name w:val="Nagłówek 2 Znak"/>
    <w:basedOn w:val="Domylnaczcionkaakapitu"/>
    <w:link w:val="Nagwek2"/>
    <w:uiPriority w:val="9"/>
    <w:rsid w:val="00972959"/>
    <w:rPr>
      <w:rFonts w:ascii="Cambria" w:eastAsia="Times New Roman" w:hAnsi="Cambria" w:cs="Times New Roman"/>
      <w:b/>
      <w:bCs/>
      <w:i/>
      <w:iCs/>
      <w:sz w:val="28"/>
      <w:szCs w:val="28"/>
      <w:lang w:val="x-none"/>
    </w:rPr>
  </w:style>
  <w:style w:type="paragraph" w:styleId="Akapitzlist">
    <w:name w:val="List Paragraph"/>
    <w:basedOn w:val="Normalny"/>
    <w:uiPriority w:val="34"/>
    <w:qFormat/>
    <w:rsid w:val="008E0142"/>
    <w:pPr>
      <w:ind w:left="720"/>
      <w:contextualSpacing/>
    </w:pPr>
  </w:style>
  <w:style w:type="paragraph" w:styleId="Tekstprzypisukocowego">
    <w:name w:val="endnote text"/>
    <w:basedOn w:val="Normalny"/>
    <w:link w:val="TekstprzypisukocowegoZnak"/>
    <w:uiPriority w:val="99"/>
    <w:semiHidden/>
    <w:unhideWhenUsed/>
    <w:rsid w:val="007701C9"/>
    <w:rPr>
      <w:sz w:val="20"/>
      <w:szCs w:val="20"/>
    </w:rPr>
  </w:style>
  <w:style w:type="character" w:customStyle="1" w:styleId="TekstprzypisukocowegoZnak">
    <w:name w:val="Tekst przypisu końcowego Znak"/>
    <w:basedOn w:val="Domylnaczcionkaakapitu"/>
    <w:link w:val="Tekstprzypisukocowego"/>
    <w:uiPriority w:val="99"/>
    <w:semiHidden/>
    <w:rsid w:val="007701C9"/>
    <w:rPr>
      <w:sz w:val="20"/>
      <w:szCs w:val="20"/>
    </w:rPr>
  </w:style>
  <w:style w:type="character" w:styleId="Odwoanieprzypisukocowego">
    <w:name w:val="endnote reference"/>
    <w:basedOn w:val="Domylnaczcionkaakapitu"/>
    <w:uiPriority w:val="99"/>
    <w:semiHidden/>
    <w:unhideWhenUsed/>
    <w:rsid w:val="00770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63215">
      <w:bodyDiv w:val="1"/>
      <w:marLeft w:val="0"/>
      <w:marRight w:val="0"/>
      <w:marTop w:val="0"/>
      <w:marBottom w:val="0"/>
      <w:divBdr>
        <w:top w:val="none" w:sz="0" w:space="0" w:color="auto"/>
        <w:left w:val="none" w:sz="0" w:space="0" w:color="auto"/>
        <w:bottom w:val="none" w:sz="0" w:space="0" w:color="auto"/>
        <w:right w:val="none" w:sz="0" w:space="0" w:color="auto"/>
      </w:divBdr>
    </w:div>
    <w:div w:id="455562472">
      <w:bodyDiv w:val="1"/>
      <w:marLeft w:val="0"/>
      <w:marRight w:val="0"/>
      <w:marTop w:val="0"/>
      <w:marBottom w:val="0"/>
      <w:divBdr>
        <w:top w:val="none" w:sz="0" w:space="0" w:color="auto"/>
        <w:left w:val="none" w:sz="0" w:space="0" w:color="auto"/>
        <w:bottom w:val="none" w:sz="0" w:space="0" w:color="auto"/>
        <w:right w:val="none" w:sz="0" w:space="0" w:color="auto"/>
      </w:divBdr>
      <w:divsChild>
        <w:div w:id="1168327149">
          <w:marLeft w:val="0"/>
          <w:marRight w:val="0"/>
          <w:marTop w:val="0"/>
          <w:marBottom w:val="0"/>
          <w:divBdr>
            <w:top w:val="none" w:sz="0" w:space="0" w:color="auto"/>
            <w:left w:val="none" w:sz="0" w:space="0" w:color="auto"/>
            <w:bottom w:val="none" w:sz="0" w:space="0" w:color="auto"/>
            <w:right w:val="none" w:sz="0" w:space="0" w:color="auto"/>
          </w:divBdr>
        </w:div>
        <w:div w:id="990334057">
          <w:marLeft w:val="0"/>
          <w:marRight w:val="0"/>
          <w:marTop w:val="0"/>
          <w:marBottom w:val="0"/>
          <w:divBdr>
            <w:top w:val="none" w:sz="0" w:space="0" w:color="auto"/>
            <w:left w:val="none" w:sz="0" w:space="0" w:color="auto"/>
            <w:bottom w:val="none" w:sz="0" w:space="0" w:color="auto"/>
            <w:right w:val="none" w:sz="0" w:space="0" w:color="auto"/>
          </w:divBdr>
        </w:div>
        <w:div w:id="2127116002">
          <w:marLeft w:val="0"/>
          <w:marRight w:val="0"/>
          <w:marTop w:val="0"/>
          <w:marBottom w:val="0"/>
          <w:divBdr>
            <w:top w:val="none" w:sz="0" w:space="0" w:color="auto"/>
            <w:left w:val="none" w:sz="0" w:space="0" w:color="auto"/>
            <w:bottom w:val="none" w:sz="0" w:space="0" w:color="auto"/>
            <w:right w:val="none" w:sz="0" w:space="0" w:color="auto"/>
          </w:divBdr>
        </w:div>
        <w:div w:id="143083244">
          <w:marLeft w:val="0"/>
          <w:marRight w:val="0"/>
          <w:marTop w:val="0"/>
          <w:marBottom w:val="0"/>
          <w:divBdr>
            <w:top w:val="none" w:sz="0" w:space="0" w:color="auto"/>
            <w:left w:val="none" w:sz="0" w:space="0" w:color="auto"/>
            <w:bottom w:val="none" w:sz="0" w:space="0" w:color="auto"/>
            <w:right w:val="none" w:sz="0" w:space="0" w:color="auto"/>
          </w:divBdr>
        </w:div>
        <w:div w:id="1944537288">
          <w:marLeft w:val="0"/>
          <w:marRight w:val="0"/>
          <w:marTop w:val="0"/>
          <w:marBottom w:val="0"/>
          <w:divBdr>
            <w:top w:val="none" w:sz="0" w:space="0" w:color="auto"/>
            <w:left w:val="none" w:sz="0" w:space="0" w:color="auto"/>
            <w:bottom w:val="none" w:sz="0" w:space="0" w:color="auto"/>
            <w:right w:val="none" w:sz="0" w:space="0" w:color="auto"/>
          </w:divBdr>
        </w:div>
        <w:div w:id="1126970420">
          <w:marLeft w:val="0"/>
          <w:marRight w:val="0"/>
          <w:marTop w:val="0"/>
          <w:marBottom w:val="0"/>
          <w:divBdr>
            <w:top w:val="none" w:sz="0" w:space="0" w:color="auto"/>
            <w:left w:val="none" w:sz="0" w:space="0" w:color="auto"/>
            <w:bottom w:val="none" w:sz="0" w:space="0" w:color="auto"/>
            <w:right w:val="none" w:sz="0" w:space="0" w:color="auto"/>
          </w:divBdr>
        </w:div>
        <w:div w:id="1136679477">
          <w:marLeft w:val="0"/>
          <w:marRight w:val="0"/>
          <w:marTop w:val="0"/>
          <w:marBottom w:val="0"/>
          <w:divBdr>
            <w:top w:val="none" w:sz="0" w:space="0" w:color="auto"/>
            <w:left w:val="none" w:sz="0" w:space="0" w:color="auto"/>
            <w:bottom w:val="none" w:sz="0" w:space="0" w:color="auto"/>
            <w:right w:val="none" w:sz="0" w:space="0" w:color="auto"/>
          </w:divBdr>
        </w:div>
        <w:div w:id="1056510896">
          <w:marLeft w:val="0"/>
          <w:marRight w:val="0"/>
          <w:marTop w:val="0"/>
          <w:marBottom w:val="0"/>
          <w:divBdr>
            <w:top w:val="none" w:sz="0" w:space="0" w:color="auto"/>
            <w:left w:val="none" w:sz="0" w:space="0" w:color="auto"/>
            <w:bottom w:val="none" w:sz="0" w:space="0" w:color="auto"/>
            <w:right w:val="none" w:sz="0" w:space="0" w:color="auto"/>
          </w:divBdr>
        </w:div>
        <w:div w:id="1598825518">
          <w:marLeft w:val="0"/>
          <w:marRight w:val="0"/>
          <w:marTop w:val="0"/>
          <w:marBottom w:val="0"/>
          <w:divBdr>
            <w:top w:val="none" w:sz="0" w:space="0" w:color="auto"/>
            <w:left w:val="none" w:sz="0" w:space="0" w:color="auto"/>
            <w:bottom w:val="none" w:sz="0" w:space="0" w:color="auto"/>
            <w:right w:val="none" w:sz="0" w:space="0" w:color="auto"/>
          </w:divBdr>
        </w:div>
        <w:div w:id="344788224">
          <w:marLeft w:val="0"/>
          <w:marRight w:val="0"/>
          <w:marTop w:val="0"/>
          <w:marBottom w:val="0"/>
          <w:divBdr>
            <w:top w:val="none" w:sz="0" w:space="0" w:color="auto"/>
            <w:left w:val="none" w:sz="0" w:space="0" w:color="auto"/>
            <w:bottom w:val="none" w:sz="0" w:space="0" w:color="auto"/>
            <w:right w:val="none" w:sz="0" w:space="0" w:color="auto"/>
          </w:divBdr>
        </w:div>
        <w:div w:id="1338842863">
          <w:marLeft w:val="0"/>
          <w:marRight w:val="0"/>
          <w:marTop w:val="0"/>
          <w:marBottom w:val="0"/>
          <w:divBdr>
            <w:top w:val="none" w:sz="0" w:space="0" w:color="auto"/>
            <w:left w:val="none" w:sz="0" w:space="0" w:color="auto"/>
            <w:bottom w:val="none" w:sz="0" w:space="0" w:color="auto"/>
            <w:right w:val="none" w:sz="0" w:space="0" w:color="auto"/>
          </w:divBdr>
        </w:div>
        <w:div w:id="1146781590">
          <w:marLeft w:val="0"/>
          <w:marRight w:val="0"/>
          <w:marTop w:val="0"/>
          <w:marBottom w:val="0"/>
          <w:divBdr>
            <w:top w:val="none" w:sz="0" w:space="0" w:color="auto"/>
            <w:left w:val="none" w:sz="0" w:space="0" w:color="auto"/>
            <w:bottom w:val="none" w:sz="0" w:space="0" w:color="auto"/>
            <w:right w:val="none" w:sz="0" w:space="0" w:color="auto"/>
          </w:divBdr>
        </w:div>
        <w:div w:id="1383794929">
          <w:marLeft w:val="0"/>
          <w:marRight w:val="0"/>
          <w:marTop w:val="0"/>
          <w:marBottom w:val="0"/>
          <w:divBdr>
            <w:top w:val="none" w:sz="0" w:space="0" w:color="auto"/>
            <w:left w:val="none" w:sz="0" w:space="0" w:color="auto"/>
            <w:bottom w:val="none" w:sz="0" w:space="0" w:color="auto"/>
            <w:right w:val="none" w:sz="0" w:space="0" w:color="auto"/>
          </w:divBdr>
        </w:div>
        <w:div w:id="135412905">
          <w:marLeft w:val="0"/>
          <w:marRight w:val="0"/>
          <w:marTop w:val="0"/>
          <w:marBottom w:val="0"/>
          <w:divBdr>
            <w:top w:val="none" w:sz="0" w:space="0" w:color="auto"/>
            <w:left w:val="none" w:sz="0" w:space="0" w:color="auto"/>
            <w:bottom w:val="none" w:sz="0" w:space="0" w:color="auto"/>
            <w:right w:val="none" w:sz="0" w:space="0" w:color="auto"/>
          </w:divBdr>
        </w:div>
        <w:div w:id="1251039179">
          <w:marLeft w:val="0"/>
          <w:marRight w:val="0"/>
          <w:marTop w:val="0"/>
          <w:marBottom w:val="0"/>
          <w:divBdr>
            <w:top w:val="none" w:sz="0" w:space="0" w:color="auto"/>
            <w:left w:val="none" w:sz="0" w:space="0" w:color="auto"/>
            <w:bottom w:val="none" w:sz="0" w:space="0" w:color="auto"/>
            <w:right w:val="none" w:sz="0" w:space="0" w:color="auto"/>
          </w:divBdr>
        </w:div>
        <w:div w:id="961183320">
          <w:marLeft w:val="0"/>
          <w:marRight w:val="0"/>
          <w:marTop w:val="0"/>
          <w:marBottom w:val="0"/>
          <w:divBdr>
            <w:top w:val="none" w:sz="0" w:space="0" w:color="auto"/>
            <w:left w:val="none" w:sz="0" w:space="0" w:color="auto"/>
            <w:bottom w:val="none" w:sz="0" w:space="0" w:color="auto"/>
            <w:right w:val="none" w:sz="0" w:space="0" w:color="auto"/>
          </w:divBdr>
        </w:div>
        <w:div w:id="799570810">
          <w:marLeft w:val="0"/>
          <w:marRight w:val="0"/>
          <w:marTop w:val="0"/>
          <w:marBottom w:val="0"/>
          <w:divBdr>
            <w:top w:val="none" w:sz="0" w:space="0" w:color="auto"/>
            <w:left w:val="none" w:sz="0" w:space="0" w:color="auto"/>
            <w:bottom w:val="none" w:sz="0" w:space="0" w:color="auto"/>
            <w:right w:val="none" w:sz="0" w:space="0" w:color="auto"/>
          </w:divBdr>
        </w:div>
        <w:div w:id="501119148">
          <w:marLeft w:val="0"/>
          <w:marRight w:val="0"/>
          <w:marTop w:val="0"/>
          <w:marBottom w:val="0"/>
          <w:divBdr>
            <w:top w:val="none" w:sz="0" w:space="0" w:color="auto"/>
            <w:left w:val="none" w:sz="0" w:space="0" w:color="auto"/>
            <w:bottom w:val="none" w:sz="0" w:space="0" w:color="auto"/>
            <w:right w:val="none" w:sz="0" w:space="0" w:color="auto"/>
          </w:divBdr>
        </w:div>
        <w:div w:id="480735667">
          <w:marLeft w:val="0"/>
          <w:marRight w:val="0"/>
          <w:marTop w:val="0"/>
          <w:marBottom w:val="0"/>
          <w:divBdr>
            <w:top w:val="none" w:sz="0" w:space="0" w:color="auto"/>
            <w:left w:val="none" w:sz="0" w:space="0" w:color="auto"/>
            <w:bottom w:val="none" w:sz="0" w:space="0" w:color="auto"/>
            <w:right w:val="none" w:sz="0" w:space="0" w:color="auto"/>
          </w:divBdr>
        </w:div>
        <w:div w:id="188838946">
          <w:marLeft w:val="0"/>
          <w:marRight w:val="0"/>
          <w:marTop w:val="0"/>
          <w:marBottom w:val="0"/>
          <w:divBdr>
            <w:top w:val="none" w:sz="0" w:space="0" w:color="auto"/>
            <w:left w:val="none" w:sz="0" w:space="0" w:color="auto"/>
            <w:bottom w:val="none" w:sz="0" w:space="0" w:color="auto"/>
            <w:right w:val="none" w:sz="0" w:space="0" w:color="auto"/>
          </w:divBdr>
        </w:div>
        <w:div w:id="1859537237">
          <w:marLeft w:val="0"/>
          <w:marRight w:val="0"/>
          <w:marTop w:val="0"/>
          <w:marBottom w:val="0"/>
          <w:divBdr>
            <w:top w:val="none" w:sz="0" w:space="0" w:color="auto"/>
            <w:left w:val="none" w:sz="0" w:space="0" w:color="auto"/>
            <w:bottom w:val="none" w:sz="0" w:space="0" w:color="auto"/>
            <w:right w:val="none" w:sz="0" w:space="0" w:color="auto"/>
          </w:divBdr>
        </w:div>
        <w:div w:id="1403721303">
          <w:marLeft w:val="0"/>
          <w:marRight w:val="0"/>
          <w:marTop w:val="0"/>
          <w:marBottom w:val="0"/>
          <w:divBdr>
            <w:top w:val="none" w:sz="0" w:space="0" w:color="auto"/>
            <w:left w:val="none" w:sz="0" w:space="0" w:color="auto"/>
            <w:bottom w:val="none" w:sz="0" w:space="0" w:color="auto"/>
            <w:right w:val="none" w:sz="0" w:space="0" w:color="auto"/>
          </w:divBdr>
        </w:div>
        <w:div w:id="646206311">
          <w:marLeft w:val="0"/>
          <w:marRight w:val="0"/>
          <w:marTop w:val="0"/>
          <w:marBottom w:val="0"/>
          <w:divBdr>
            <w:top w:val="none" w:sz="0" w:space="0" w:color="auto"/>
            <w:left w:val="none" w:sz="0" w:space="0" w:color="auto"/>
            <w:bottom w:val="none" w:sz="0" w:space="0" w:color="auto"/>
            <w:right w:val="none" w:sz="0" w:space="0" w:color="auto"/>
          </w:divBdr>
        </w:div>
        <w:div w:id="850417550">
          <w:marLeft w:val="0"/>
          <w:marRight w:val="0"/>
          <w:marTop w:val="0"/>
          <w:marBottom w:val="0"/>
          <w:divBdr>
            <w:top w:val="none" w:sz="0" w:space="0" w:color="auto"/>
            <w:left w:val="none" w:sz="0" w:space="0" w:color="auto"/>
            <w:bottom w:val="none" w:sz="0" w:space="0" w:color="auto"/>
            <w:right w:val="none" w:sz="0" w:space="0" w:color="auto"/>
          </w:divBdr>
        </w:div>
        <w:div w:id="1996643671">
          <w:marLeft w:val="0"/>
          <w:marRight w:val="0"/>
          <w:marTop w:val="0"/>
          <w:marBottom w:val="0"/>
          <w:divBdr>
            <w:top w:val="none" w:sz="0" w:space="0" w:color="auto"/>
            <w:left w:val="none" w:sz="0" w:space="0" w:color="auto"/>
            <w:bottom w:val="none" w:sz="0" w:space="0" w:color="auto"/>
            <w:right w:val="none" w:sz="0" w:space="0" w:color="auto"/>
          </w:divBdr>
        </w:div>
        <w:div w:id="1673755951">
          <w:marLeft w:val="0"/>
          <w:marRight w:val="0"/>
          <w:marTop w:val="0"/>
          <w:marBottom w:val="0"/>
          <w:divBdr>
            <w:top w:val="none" w:sz="0" w:space="0" w:color="auto"/>
            <w:left w:val="none" w:sz="0" w:space="0" w:color="auto"/>
            <w:bottom w:val="none" w:sz="0" w:space="0" w:color="auto"/>
            <w:right w:val="none" w:sz="0" w:space="0" w:color="auto"/>
          </w:divBdr>
        </w:div>
        <w:div w:id="766122713">
          <w:marLeft w:val="0"/>
          <w:marRight w:val="0"/>
          <w:marTop w:val="0"/>
          <w:marBottom w:val="0"/>
          <w:divBdr>
            <w:top w:val="none" w:sz="0" w:space="0" w:color="auto"/>
            <w:left w:val="none" w:sz="0" w:space="0" w:color="auto"/>
            <w:bottom w:val="none" w:sz="0" w:space="0" w:color="auto"/>
            <w:right w:val="none" w:sz="0" w:space="0" w:color="auto"/>
          </w:divBdr>
        </w:div>
        <w:div w:id="303509371">
          <w:marLeft w:val="0"/>
          <w:marRight w:val="0"/>
          <w:marTop w:val="0"/>
          <w:marBottom w:val="0"/>
          <w:divBdr>
            <w:top w:val="none" w:sz="0" w:space="0" w:color="auto"/>
            <w:left w:val="none" w:sz="0" w:space="0" w:color="auto"/>
            <w:bottom w:val="none" w:sz="0" w:space="0" w:color="auto"/>
            <w:right w:val="none" w:sz="0" w:space="0" w:color="auto"/>
          </w:divBdr>
        </w:div>
        <w:div w:id="113333137">
          <w:marLeft w:val="0"/>
          <w:marRight w:val="0"/>
          <w:marTop w:val="0"/>
          <w:marBottom w:val="0"/>
          <w:divBdr>
            <w:top w:val="none" w:sz="0" w:space="0" w:color="auto"/>
            <w:left w:val="none" w:sz="0" w:space="0" w:color="auto"/>
            <w:bottom w:val="none" w:sz="0" w:space="0" w:color="auto"/>
            <w:right w:val="none" w:sz="0" w:space="0" w:color="auto"/>
          </w:divBdr>
        </w:div>
        <w:div w:id="296224832">
          <w:marLeft w:val="0"/>
          <w:marRight w:val="0"/>
          <w:marTop w:val="0"/>
          <w:marBottom w:val="0"/>
          <w:divBdr>
            <w:top w:val="none" w:sz="0" w:space="0" w:color="auto"/>
            <w:left w:val="none" w:sz="0" w:space="0" w:color="auto"/>
            <w:bottom w:val="none" w:sz="0" w:space="0" w:color="auto"/>
            <w:right w:val="none" w:sz="0" w:space="0" w:color="auto"/>
          </w:divBdr>
        </w:div>
        <w:div w:id="275601303">
          <w:marLeft w:val="0"/>
          <w:marRight w:val="0"/>
          <w:marTop w:val="0"/>
          <w:marBottom w:val="0"/>
          <w:divBdr>
            <w:top w:val="none" w:sz="0" w:space="0" w:color="auto"/>
            <w:left w:val="none" w:sz="0" w:space="0" w:color="auto"/>
            <w:bottom w:val="none" w:sz="0" w:space="0" w:color="auto"/>
            <w:right w:val="none" w:sz="0" w:space="0" w:color="auto"/>
          </w:divBdr>
        </w:div>
        <w:div w:id="1793791315">
          <w:marLeft w:val="0"/>
          <w:marRight w:val="0"/>
          <w:marTop w:val="0"/>
          <w:marBottom w:val="0"/>
          <w:divBdr>
            <w:top w:val="none" w:sz="0" w:space="0" w:color="auto"/>
            <w:left w:val="none" w:sz="0" w:space="0" w:color="auto"/>
            <w:bottom w:val="none" w:sz="0" w:space="0" w:color="auto"/>
            <w:right w:val="none" w:sz="0" w:space="0" w:color="auto"/>
          </w:divBdr>
        </w:div>
        <w:div w:id="608900310">
          <w:marLeft w:val="0"/>
          <w:marRight w:val="0"/>
          <w:marTop w:val="0"/>
          <w:marBottom w:val="0"/>
          <w:divBdr>
            <w:top w:val="none" w:sz="0" w:space="0" w:color="auto"/>
            <w:left w:val="none" w:sz="0" w:space="0" w:color="auto"/>
            <w:bottom w:val="none" w:sz="0" w:space="0" w:color="auto"/>
            <w:right w:val="none" w:sz="0" w:space="0" w:color="auto"/>
          </w:divBdr>
        </w:div>
        <w:div w:id="1846936229">
          <w:marLeft w:val="0"/>
          <w:marRight w:val="0"/>
          <w:marTop w:val="0"/>
          <w:marBottom w:val="0"/>
          <w:divBdr>
            <w:top w:val="none" w:sz="0" w:space="0" w:color="auto"/>
            <w:left w:val="none" w:sz="0" w:space="0" w:color="auto"/>
            <w:bottom w:val="none" w:sz="0" w:space="0" w:color="auto"/>
            <w:right w:val="none" w:sz="0" w:space="0" w:color="auto"/>
          </w:divBdr>
        </w:div>
        <w:div w:id="113721058">
          <w:marLeft w:val="0"/>
          <w:marRight w:val="0"/>
          <w:marTop w:val="0"/>
          <w:marBottom w:val="0"/>
          <w:divBdr>
            <w:top w:val="none" w:sz="0" w:space="0" w:color="auto"/>
            <w:left w:val="none" w:sz="0" w:space="0" w:color="auto"/>
            <w:bottom w:val="none" w:sz="0" w:space="0" w:color="auto"/>
            <w:right w:val="none" w:sz="0" w:space="0" w:color="auto"/>
          </w:divBdr>
        </w:div>
        <w:div w:id="167328139">
          <w:marLeft w:val="0"/>
          <w:marRight w:val="0"/>
          <w:marTop w:val="0"/>
          <w:marBottom w:val="0"/>
          <w:divBdr>
            <w:top w:val="none" w:sz="0" w:space="0" w:color="auto"/>
            <w:left w:val="none" w:sz="0" w:space="0" w:color="auto"/>
            <w:bottom w:val="none" w:sz="0" w:space="0" w:color="auto"/>
            <w:right w:val="none" w:sz="0" w:space="0" w:color="auto"/>
          </w:divBdr>
        </w:div>
        <w:div w:id="429662007">
          <w:marLeft w:val="0"/>
          <w:marRight w:val="0"/>
          <w:marTop w:val="0"/>
          <w:marBottom w:val="0"/>
          <w:divBdr>
            <w:top w:val="none" w:sz="0" w:space="0" w:color="auto"/>
            <w:left w:val="none" w:sz="0" w:space="0" w:color="auto"/>
            <w:bottom w:val="none" w:sz="0" w:space="0" w:color="auto"/>
            <w:right w:val="none" w:sz="0" w:space="0" w:color="auto"/>
          </w:divBdr>
        </w:div>
        <w:div w:id="388382823">
          <w:marLeft w:val="0"/>
          <w:marRight w:val="0"/>
          <w:marTop w:val="0"/>
          <w:marBottom w:val="0"/>
          <w:divBdr>
            <w:top w:val="none" w:sz="0" w:space="0" w:color="auto"/>
            <w:left w:val="none" w:sz="0" w:space="0" w:color="auto"/>
            <w:bottom w:val="none" w:sz="0" w:space="0" w:color="auto"/>
            <w:right w:val="none" w:sz="0" w:space="0" w:color="auto"/>
          </w:divBdr>
        </w:div>
        <w:div w:id="1170633129">
          <w:marLeft w:val="0"/>
          <w:marRight w:val="0"/>
          <w:marTop w:val="0"/>
          <w:marBottom w:val="0"/>
          <w:divBdr>
            <w:top w:val="none" w:sz="0" w:space="0" w:color="auto"/>
            <w:left w:val="none" w:sz="0" w:space="0" w:color="auto"/>
            <w:bottom w:val="none" w:sz="0" w:space="0" w:color="auto"/>
            <w:right w:val="none" w:sz="0" w:space="0" w:color="auto"/>
          </w:divBdr>
        </w:div>
        <w:div w:id="392656196">
          <w:marLeft w:val="0"/>
          <w:marRight w:val="0"/>
          <w:marTop w:val="0"/>
          <w:marBottom w:val="0"/>
          <w:divBdr>
            <w:top w:val="none" w:sz="0" w:space="0" w:color="auto"/>
            <w:left w:val="none" w:sz="0" w:space="0" w:color="auto"/>
            <w:bottom w:val="none" w:sz="0" w:space="0" w:color="auto"/>
            <w:right w:val="none" w:sz="0" w:space="0" w:color="auto"/>
          </w:divBdr>
        </w:div>
        <w:div w:id="1499156808">
          <w:marLeft w:val="0"/>
          <w:marRight w:val="0"/>
          <w:marTop w:val="0"/>
          <w:marBottom w:val="0"/>
          <w:divBdr>
            <w:top w:val="none" w:sz="0" w:space="0" w:color="auto"/>
            <w:left w:val="none" w:sz="0" w:space="0" w:color="auto"/>
            <w:bottom w:val="none" w:sz="0" w:space="0" w:color="auto"/>
            <w:right w:val="none" w:sz="0" w:space="0" w:color="auto"/>
          </w:divBdr>
        </w:div>
        <w:div w:id="1302225695">
          <w:marLeft w:val="0"/>
          <w:marRight w:val="0"/>
          <w:marTop w:val="0"/>
          <w:marBottom w:val="0"/>
          <w:divBdr>
            <w:top w:val="none" w:sz="0" w:space="0" w:color="auto"/>
            <w:left w:val="none" w:sz="0" w:space="0" w:color="auto"/>
            <w:bottom w:val="none" w:sz="0" w:space="0" w:color="auto"/>
            <w:right w:val="none" w:sz="0" w:space="0" w:color="auto"/>
          </w:divBdr>
        </w:div>
        <w:div w:id="1421828921">
          <w:marLeft w:val="0"/>
          <w:marRight w:val="0"/>
          <w:marTop w:val="0"/>
          <w:marBottom w:val="0"/>
          <w:divBdr>
            <w:top w:val="none" w:sz="0" w:space="0" w:color="auto"/>
            <w:left w:val="none" w:sz="0" w:space="0" w:color="auto"/>
            <w:bottom w:val="none" w:sz="0" w:space="0" w:color="auto"/>
            <w:right w:val="none" w:sz="0" w:space="0" w:color="auto"/>
          </w:divBdr>
        </w:div>
      </w:divsChild>
    </w:div>
    <w:div w:id="141454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DE439-5A8F-4D74-A386-96384FB5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5826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 Berlińska</dc:creator>
  <cp:keywords/>
  <dc:description/>
  <cp:lastModifiedBy>Seweryn Pertkiewicz</cp:lastModifiedBy>
  <cp:revision>3</cp:revision>
  <cp:lastPrinted>2023-09-25T10:25:00Z</cp:lastPrinted>
  <dcterms:created xsi:type="dcterms:W3CDTF">2024-03-15T08:49:00Z</dcterms:created>
  <dcterms:modified xsi:type="dcterms:W3CDTF">2024-03-15T08:52:00Z</dcterms:modified>
</cp:coreProperties>
</file>