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75734A37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8E365F">
        <w:rPr>
          <w:rFonts w:ascii="Tahoma" w:eastAsia="Tahoma" w:hAnsi="Tahoma" w:cs="Tahoma"/>
          <w:color w:val="808080"/>
          <w:sz w:val="20"/>
          <w:szCs w:val="20"/>
        </w:rPr>
        <w:t>2</w:t>
      </w:r>
      <w:r w:rsidR="00501365">
        <w:rPr>
          <w:rFonts w:ascii="Tahoma" w:eastAsia="Tahoma" w:hAnsi="Tahoma" w:cs="Tahoma"/>
          <w:color w:val="808080"/>
          <w:sz w:val="20"/>
          <w:szCs w:val="20"/>
        </w:rPr>
        <w:t>1</w:t>
      </w:r>
      <w:r w:rsidR="00946E7A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736EFF">
        <w:rPr>
          <w:rFonts w:ascii="Tahoma" w:eastAsia="Tahoma" w:hAnsi="Tahoma" w:cs="Tahoma"/>
          <w:color w:val="808080"/>
          <w:sz w:val="20"/>
          <w:szCs w:val="20"/>
        </w:rPr>
        <w:t>marca</w:t>
      </w:r>
      <w:r w:rsidR="0079040A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2024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1B44F898" w14:textId="235D1AD8" w:rsidR="003B1DAE" w:rsidRDefault="009967C2" w:rsidP="0051656F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736EF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inwestycjedrogowe</w:t>
            </w:r>
            <w:r w:rsidR="00591F9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736EF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WęzełLębork</w:t>
            </w:r>
            <w:r w:rsidR="00A15DE9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#Lębork #</w:t>
            </w:r>
            <w:r w:rsidR="003A0A54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p</w:t>
            </w:r>
            <w:r w:rsidR="00A15DE9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omorskie</w:t>
            </w:r>
          </w:p>
          <w:p w14:paraId="3FAF1474" w14:textId="5E46C3C9" w:rsidR="00591F90" w:rsidRDefault="00736EFF" w:rsidP="00591F90">
            <w:pPr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wyb</w:t>
            </w:r>
            <w:r w:rsidR="00824762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uduje nowe połączenie drogowe w </w:t>
            </w: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Lęborku</w:t>
            </w:r>
          </w:p>
          <w:p w14:paraId="440B355C" w14:textId="77777777" w:rsidR="0079040A" w:rsidRPr="00963A47" w:rsidRDefault="0079040A" w:rsidP="00591F90">
            <w:pPr>
              <w:jc w:val="both"/>
              <w:rPr>
                <w:rFonts w:ascii="Tahoma" w:eastAsia="Tahoma" w:hAnsi="Tahoma" w:cs="Tahoma"/>
                <w:b/>
                <w:bCs/>
                <w:iCs/>
                <w:color w:val="747678"/>
                <w:sz w:val="18"/>
                <w:szCs w:val="18"/>
              </w:rPr>
            </w:pPr>
          </w:p>
          <w:p w14:paraId="2D808063" w14:textId="5708A5AE" w:rsidR="00CC5ACC" w:rsidRDefault="00824762" w:rsidP="0050070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Oferta Budimex SA została wybrana przez Gminę Miasta Lębork jako najkorzystniejsza.</w:t>
            </w:r>
          </w:p>
          <w:p w14:paraId="7AAF727B" w14:textId="4BFA8718" w:rsidR="00824762" w:rsidRDefault="00824762" w:rsidP="000B15E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Wartość inwestycji wynosi</w:t>
            </w:r>
            <w:r w:rsidRPr="0082476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8E365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42,9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mln zł.</w:t>
            </w:r>
          </w:p>
          <w:p w14:paraId="45DB5BF4" w14:textId="555933E6" w:rsidR="00591F90" w:rsidRDefault="00824762" w:rsidP="000B15E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Inwestycja ta ma k</w:t>
            </w:r>
            <w:r w:rsidRPr="0082476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luczowe znaczenie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dla usprawnienia ruchu w </w:t>
            </w:r>
            <w:r w:rsidRPr="0082476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regionie. </w:t>
            </w:r>
          </w:p>
          <w:p w14:paraId="08A7707D" w14:textId="77777777" w:rsidR="00824762" w:rsidRPr="00824762" w:rsidRDefault="00824762" w:rsidP="00824762">
            <w:pPr>
              <w:spacing w:line="360" w:lineRule="auto"/>
              <w:ind w:left="720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6C1914D3" w14:textId="4856B86D" w:rsidR="0063381A" w:rsidRDefault="00736EFF" w:rsidP="00736EFF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Oferta Budimeksu na </w:t>
            </w:r>
            <w:r w:rsidR="004B394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zaprojektowanie i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budowę </w:t>
            </w:r>
            <w:r w:rsidRPr="00736EF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bezpośredniego połączenia</w:t>
            </w:r>
            <w:r w:rsidR="004C64A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drogowego </w:t>
            </w:r>
            <w:r w:rsidRPr="00736EF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między węzłem drogowym S-6 Lębork-Wschód a ul. Gdańską w Lęborku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Pr="00736EF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została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wybrana</w:t>
            </w:r>
            <w:r w:rsidR="00DD677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j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ako najkorzystniejsza</w:t>
            </w:r>
            <w:r w:rsidR="00DD677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przez Gminę Miasta Lębork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Zadanie zostanie zrealizowane w formule zaprojektuj i wybuduj. </w:t>
            </w:r>
            <w:r w:rsidR="00E45CB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Wartość inwestycji to </w:t>
            </w:r>
            <w:r w:rsidR="008E365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42,9</w:t>
            </w:r>
            <w:r w:rsidR="00DD677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mln zł.</w:t>
            </w:r>
          </w:p>
          <w:p w14:paraId="24768E06" w14:textId="77777777" w:rsidR="00214B4A" w:rsidRDefault="00214B4A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2737EDC0" w14:textId="6BF9CF3E" w:rsidR="00501365" w:rsidRDefault="00214B4A" w:rsidP="0050136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Nowe</w:t>
            </w:r>
            <w:r w:rsidR="00736EFF" w:rsidRPr="00736EF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736EF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połączenie drogowe o </w:t>
            </w:r>
            <w:r w:rsidR="00736EFF" w:rsidRPr="00736EF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długości </w:t>
            </w:r>
            <w:r w:rsidR="006338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ok.</w:t>
            </w:r>
            <w:r w:rsidR="004C64A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690 metrów </w:t>
            </w:r>
            <w:r w:rsidR="006338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rozpocznie bieg od </w:t>
            </w:r>
            <w:r w:rsidR="0063381A" w:rsidRPr="006338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projektow</w:t>
            </w:r>
            <w:r w:rsidR="004C64A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anego przez GDDKiA </w:t>
            </w:r>
            <w:r w:rsidR="003F099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węzła Lębork Wschód</w:t>
            </w:r>
            <w:r w:rsidR="0063381A" w:rsidRPr="006338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  <w:r w:rsidR="008247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6338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Jednojezdniowa d</w:t>
            </w:r>
            <w:r w:rsidR="004C64A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roga z dwoma pasami ruchu poprowadzi</w:t>
            </w:r>
            <w:r w:rsidR="008247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do </w:t>
            </w:r>
            <w:r w:rsidR="006338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skrzyżowania</w:t>
            </w:r>
            <w:r w:rsidR="0063381A" w:rsidRPr="006338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ul. Gdańskiej (drogi powiatowej</w:t>
            </w:r>
            <w:r w:rsidR="006338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DP 1329 G) </w:t>
            </w:r>
            <w:r w:rsidR="003F099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z </w:t>
            </w:r>
            <w:r w:rsidR="006338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ul. Wiejsk</w:t>
            </w:r>
            <w:r w:rsidR="003F099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ą</w:t>
            </w:r>
            <w:r w:rsidR="008247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 Lęborku, </w:t>
            </w:r>
            <w:r w:rsidR="004C64A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które </w:t>
            </w:r>
            <w:r w:rsidR="003F099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zostanie zastąpione przez nowe</w:t>
            </w:r>
            <w:r w:rsidR="006338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rond</w:t>
            </w:r>
            <w:r w:rsidR="00512A7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o. Inwestycja </w:t>
            </w:r>
            <w:r w:rsidR="00DD677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 wartości </w:t>
            </w:r>
            <w:r w:rsidR="008E365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42</w:t>
            </w:r>
            <w:r w:rsidR="00DD677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,9 mln zł </w:t>
            </w:r>
            <w:r w:rsidR="00512A7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ma powstać </w:t>
            </w:r>
            <w:r w:rsidR="003F099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 terminie 38 miesięcy od </w:t>
            </w:r>
            <w:r w:rsidR="0050136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momentu </w:t>
            </w:r>
            <w:r w:rsidR="003F099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podpisania umowy</w:t>
            </w:r>
            <w:r w:rsidR="00512A7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</w:p>
          <w:p w14:paraId="32367A44" w14:textId="77777777" w:rsidR="00501365" w:rsidDel="00463448" w:rsidRDefault="00501365" w:rsidP="0050136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646D5D1B" w14:textId="7CC394B5" w:rsidR="0063381A" w:rsidRDefault="008247CF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Ponadto na przecięci</w:t>
            </w:r>
            <w:r w:rsidR="008247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u nowopowstałej </w:t>
            </w:r>
            <w:r w:rsidR="00D21DB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</w:t>
            </w:r>
            <w:r w:rsidR="008247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rasy </w:t>
            </w:r>
            <w:r w:rsidR="00D21DB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g</w:t>
            </w:r>
            <w:r w:rsidR="008247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łównej z </w:t>
            </w:r>
            <w:r w:rsidR="003F099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czynną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linią kolejową nr 202 i rzeką </w:t>
            </w:r>
            <w:r w:rsidR="004F7CD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Ł</w:t>
            </w:r>
            <w:r w:rsidR="005A72F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e</w:t>
            </w:r>
            <w:r w:rsidR="004F7CD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</w:t>
            </w:r>
            <w:r w:rsidR="005A72F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ą</w:t>
            </w:r>
            <w:r w:rsidR="004F7CD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powstaną dwa o</w:t>
            </w:r>
            <w:r w:rsidR="008247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biekty inżynieryjne. </w:t>
            </w:r>
            <w:r w:rsidR="003F099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Obiekt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nad torami </w:t>
            </w:r>
            <w:r w:rsidR="0089697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będzie uwzględniał planowaną </w:t>
            </w:r>
            <w:r w:rsidR="00A944D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modernizację</w:t>
            </w:r>
            <w:r w:rsidR="0089697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linii </w:t>
            </w:r>
            <w:r w:rsidR="00A944D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kolejowej </w:t>
            </w:r>
            <w:r w:rsidR="0089697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nr 202</w:t>
            </w:r>
            <w:r w:rsidR="00A944D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która docelowo stanie się linią dwutorową.</w:t>
            </w:r>
            <w:r w:rsidR="0089697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Konieczna będzie również przebudowa</w:t>
            </w:r>
            <w:r w:rsidR="00A944D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czynnej</w:t>
            </w:r>
            <w:r w:rsidR="0089697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linii WN kolidującej z planowaną trasą.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 ramach inwestycji powstanie również </w:t>
            </w:r>
            <w:r w:rsidR="004571C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infrastruktura dla </w:t>
            </w:r>
            <w:r w:rsidR="008247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pieszych i </w:t>
            </w:r>
            <w:r w:rsidR="0063381A" w:rsidRPr="0063381A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rowerzystów oraz oświetlenie uliczne.</w:t>
            </w:r>
          </w:p>
          <w:p w14:paraId="6CEB07B2" w14:textId="77777777" w:rsidR="008247CF" w:rsidRDefault="008247CF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33433A90" w14:textId="45C97308" w:rsidR="00736EFF" w:rsidRDefault="00C56B86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Trasa </w:t>
            </w:r>
            <w:r w:rsidR="004A406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łówna </w:t>
            </w:r>
            <w:r w:rsidR="00736EFF" w:rsidRPr="00736EF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będzie miała kluczowe znaczenie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dl</w:t>
            </w:r>
            <w:r w:rsidR="0094205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 usprawnienia ruchu w regionie, ponieważ odciąży ona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Pr="00C56B8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komunikac</w:t>
            </w:r>
            <w:r w:rsidR="00512A7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yjnie </w:t>
            </w:r>
            <w:r w:rsidR="004B394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centrum miasta</w:t>
            </w:r>
            <w:r w:rsidR="00512A7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Lębork</w:t>
            </w:r>
            <w:r w:rsidR="004B394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</w:t>
            </w:r>
            <w:r w:rsidR="00512A7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 Ruch</w:t>
            </w:r>
            <w:r w:rsidR="009269A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2A13B0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 kierunku Trójmiasta do Łeby zostanie skierowany</w:t>
            </w:r>
            <w:r w:rsidR="004B394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z</w:t>
            </w:r>
            <w:r w:rsidR="0006079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obecnie budowanej</w:t>
            </w:r>
            <w:r w:rsidR="004B394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46446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</w:t>
            </w:r>
            <w:r w:rsidR="004B394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rogi </w:t>
            </w:r>
            <w:r w:rsidR="0046446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E</w:t>
            </w:r>
            <w:r w:rsidR="004B394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kspresowej S6</w:t>
            </w:r>
            <w:r w:rsidR="00512A77" w:rsidRPr="00512A7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na </w:t>
            </w:r>
            <w:r w:rsidR="004B394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nową drogę</w:t>
            </w:r>
            <w:r w:rsidR="00AF4EC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</w:t>
            </w:r>
            <w:r w:rsidR="004B28E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06079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dzię</w:t>
            </w:r>
            <w:r w:rsidR="004B28E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ki</w:t>
            </w:r>
            <w:r w:rsidR="0006079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czemu turyści nie </w:t>
            </w:r>
            <w:r w:rsidR="004B28E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bę</w:t>
            </w:r>
            <w:r w:rsidR="0006079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dą musieli </w:t>
            </w:r>
            <w:r w:rsidR="004B28E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przejeżdżać przez </w:t>
            </w:r>
            <w:r w:rsidRPr="00C56B86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centrum miasta.</w:t>
            </w:r>
            <w:r w:rsidR="00512A7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Nowe połączenie drogowe może stać się też częścią </w:t>
            </w:r>
            <w:r w:rsidR="00736EFF" w:rsidRPr="00736EF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przyszłej obwodnicy wschodniej</w:t>
            </w:r>
            <w:r w:rsidR="0051243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miasta Lęborka</w:t>
            </w:r>
            <w:r w:rsidR="00736EFF" w:rsidRPr="00736EF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66497993" w14:textId="77777777" w:rsidR="00736EFF" w:rsidRDefault="00736EFF" w:rsidP="004500D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BCAD163" w14:textId="781D7AE9" w:rsidR="00736EFF" w:rsidRPr="00EB0AEE" w:rsidRDefault="00512A77" w:rsidP="00736EF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lastRenderedPageBreak/>
              <w:t>To kolejny wygrany przez Budimex przetarg drogow</w:t>
            </w:r>
            <w:r w:rsidR="00A902A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y w tym roku. Największy polski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generalny wykonawca zrealizuje również 5</w:t>
            </w:r>
            <w:r w:rsidRPr="00512A7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odcinków drogi ekspresowej S10 Szczecin – Piła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o łącznej długości 74 km. </w:t>
            </w:r>
            <w:r w:rsidR="00A902A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 marcu </w:t>
            </w:r>
            <w:r w:rsidR="00EB0AE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br. największy polski generalny wykonawca</w:t>
            </w:r>
            <w:r w:rsidR="00A902A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rozpoczął też budowę</w:t>
            </w:r>
            <w:r w:rsidR="00A902A3" w:rsidRPr="00A902A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obwodnicy </w:t>
            </w:r>
            <w:r w:rsidR="0095729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Drezdenka</w:t>
            </w:r>
            <w:r w:rsidR="00A902A3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- Etap IV. </w:t>
            </w:r>
          </w:p>
          <w:p w14:paraId="3FE1D38A" w14:textId="77777777" w:rsidR="00D841D8" w:rsidRDefault="00D841D8" w:rsidP="0076084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8C77788" w14:textId="2741707A" w:rsidR="00D70843" w:rsidRPr="00D70843" w:rsidRDefault="00617FB9" w:rsidP="00EB5D4D">
            <w:pPr>
              <w:ind w:right="1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EB5D4D">
            <w:pPr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EB5D4D">
            <w:pPr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2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3A0A54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3A0A54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18A1F0E6" w:rsidR="003B1DAE" w:rsidRDefault="003B1DAE" w:rsidP="00D7084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EF17" w14:textId="77777777" w:rsidR="00AF26B3" w:rsidRDefault="00AF26B3">
      <w:pPr>
        <w:spacing w:after="0" w:line="240" w:lineRule="auto"/>
      </w:pPr>
      <w:r>
        <w:separator/>
      </w:r>
    </w:p>
  </w:endnote>
  <w:endnote w:type="continuationSeparator" w:id="0">
    <w:p w14:paraId="47F84D4B" w14:textId="77777777" w:rsidR="00AF26B3" w:rsidRDefault="00AF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1C4C" w14:textId="77777777" w:rsidR="00AF26B3" w:rsidRDefault="00AF26B3">
      <w:pPr>
        <w:spacing w:after="0" w:line="240" w:lineRule="auto"/>
      </w:pPr>
      <w:r>
        <w:separator/>
      </w:r>
    </w:p>
  </w:footnote>
  <w:footnote w:type="continuationSeparator" w:id="0">
    <w:p w14:paraId="492101D3" w14:textId="77777777" w:rsidR="00AF26B3" w:rsidRDefault="00AF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A70C83" w:rsidRDefault="00A70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98B"/>
    <w:multiLevelType w:val="multilevel"/>
    <w:tmpl w:val="381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EA55BA"/>
    <w:multiLevelType w:val="multilevel"/>
    <w:tmpl w:val="2AE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FB4A1B"/>
    <w:multiLevelType w:val="multilevel"/>
    <w:tmpl w:val="8AC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1D77DE"/>
    <w:multiLevelType w:val="hybridMultilevel"/>
    <w:tmpl w:val="94283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67797A"/>
    <w:multiLevelType w:val="hybridMultilevel"/>
    <w:tmpl w:val="241EE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79924">
    <w:abstractNumId w:val="4"/>
  </w:num>
  <w:num w:numId="2" w16cid:durableId="27804973">
    <w:abstractNumId w:val="6"/>
  </w:num>
  <w:num w:numId="3" w16cid:durableId="1040714736">
    <w:abstractNumId w:val="3"/>
  </w:num>
  <w:num w:numId="4" w16cid:durableId="1322268710">
    <w:abstractNumId w:val="2"/>
  </w:num>
  <w:num w:numId="5" w16cid:durableId="221718891">
    <w:abstractNumId w:val="1"/>
  </w:num>
  <w:num w:numId="6" w16cid:durableId="41054818">
    <w:abstractNumId w:val="0"/>
  </w:num>
  <w:num w:numId="7" w16cid:durableId="1276594216">
    <w:abstractNumId w:val="5"/>
  </w:num>
  <w:num w:numId="8" w16cid:durableId="8874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AE"/>
    <w:rsid w:val="00005967"/>
    <w:rsid w:val="000102DB"/>
    <w:rsid w:val="000141A7"/>
    <w:rsid w:val="00035098"/>
    <w:rsid w:val="00045270"/>
    <w:rsid w:val="00060793"/>
    <w:rsid w:val="00070D4B"/>
    <w:rsid w:val="0007579D"/>
    <w:rsid w:val="00096511"/>
    <w:rsid w:val="000A468B"/>
    <w:rsid w:val="000B15E6"/>
    <w:rsid w:val="000D01FA"/>
    <w:rsid w:val="000F0451"/>
    <w:rsid w:val="000F18AF"/>
    <w:rsid w:val="001171CF"/>
    <w:rsid w:val="0011787C"/>
    <w:rsid w:val="00121A51"/>
    <w:rsid w:val="00125D50"/>
    <w:rsid w:val="0015128F"/>
    <w:rsid w:val="00167764"/>
    <w:rsid w:val="00170C68"/>
    <w:rsid w:val="00172D1D"/>
    <w:rsid w:val="00175234"/>
    <w:rsid w:val="00180775"/>
    <w:rsid w:val="00192890"/>
    <w:rsid w:val="001A5AD7"/>
    <w:rsid w:val="001A6F0D"/>
    <w:rsid w:val="001C6FB2"/>
    <w:rsid w:val="001E2D44"/>
    <w:rsid w:val="001F0F39"/>
    <w:rsid w:val="00203086"/>
    <w:rsid w:val="00203511"/>
    <w:rsid w:val="00214B4A"/>
    <w:rsid w:val="00226002"/>
    <w:rsid w:val="002342F3"/>
    <w:rsid w:val="00237B08"/>
    <w:rsid w:val="002653BF"/>
    <w:rsid w:val="00271280"/>
    <w:rsid w:val="0027391F"/>
    <w:rsid w:val="00276844"/>
    <w:rsid w:val="00285560"/>
    <w:rsid w:val="002A13B0"/>
    <w:rsid w:val="002A223E"/>
    <w:rsid w:val="002A5520"/>
    <w:rsid w:val="002B0328"/>
    <w:rsid w:val="002C2F0C"/>
    <w:rsid w:val="002D0B3A"/>
    <w:rsid w:val="002E37BE"/>
    <w:rsid w:val="002F1C54"/>
    <w:rsid w:val="003044D9"/>
    <w:rsid w:val="00307758"/>
    <w:rsid w:val="00312B4E"/>
    <w:rsid w:val="00331C3A"/>
    <w:rsid w:val="00383CC2"/>
    <w:rsid w:val="003851A5"/>
    <w:rsid w:val="003A0A54"/>
    <w:rsid w:val="003A1735"/>
    <w:rsid w:val="003B0035"/>
    <w:rsid w:val="003B1DAE"/>
    <w:rsid w:val="003E3E21"/>
    <w:rsid w:val="003E7FB8"/>
    <w:rsid w:val="003F0564"/>
    <w:rsid w:val="003F0999"/>
    <w:rsid w:val="004014E1"/>
    <w:rsid w:val="00411595"/>
    <w:rsid w:val="00425428"/>
    <w:rsid w:val="004500D7"/>
    <w:rsid w:val="00455A44"/>
    <w:rsid w:val="004571C4"/>
    <w:rsid w:val="00463448"/>
    <w:rsid w:val="00463DB1"/>
    <w:rsid w:val="00464464"/>
    <w:rsid w:val="00473F87"/>
    <w:rsid w:val="00482FFC"/>
    <w:rsid w:val="00483DAC"/>
    <w:rsid w:val="0048734C"/>
    <w:rsid w:val="0049557E"/>
    <w:rsid w:val="004A0A4A"/>
    <w:rsid w:val="004A13DC"/>
    <w:rsid w:val="004A4060"/>
    <w:rsid w:val="004B28EF"/>
    <w:rsid w:val="004B3484"/>
    <w:rsid w:val="004B36C2"/>
    <w:rsid w:val="004B3945"/>
    <w:rsid w:val="004C1912"/>
    <w:rsid w:val="004C64A4"/>
    <w:rsid w:val="004C6F43"/>
    <w:rsid w:val="004C72DC"/>
    <w:rsid w:val="004D23DB"/>
    <w:rsid w:val="004D2CB9"/>
    <w:rsid w:val="004E20D0"/>
    <w:rsid w:val="004F1549"/>
    <w:rsid w:val="004F28EB"/>
    <w:rsid w:val="004F7CDD"/>
    <w:rsid w:val="00500705"/>
    <w:rsid w:val="00501365"/>
    <w:rsid w:val="00507152"/>
    <w:rsid w:val="0051243C"/>
    <w:rsid w:val="00512A77"/>
    <w:rsid w:val="0051656F"/>
    <w:rsid w:val="00580DBC"/>
    <w:rsid w:val="00591F2A"/>
    <w:rsid w:val="00591F90"/>
    <w:rsid w:val="005A72F6"/>
    <w:rsid w:val="005B2870"/>
    <w:rsid w:val="005C7B13"/>
    <w:rsid w:val="005E5391"/>
    <w:rsid w:val="0060483B"/>
    <w:rsid w:val="00617FB9"/>
    <w:rsid w:val="00621025"/>
    <w:rsid w:val="0063381A"/>
    <w:rsid w:val="0065689F"/>
    <w:rsid w:val="00664B42"/>
    <w:rsid w:val="006774E1"/>
    <w:rsid w:val="006806A0"/>
    <w:rsid w:val="00690D70"/>
    <w:rsid w:val="006926B1"/>
    <w:rsid w:val="006B23E5"/>
    <w:rsid w:val="006B73ED"/>
    <w:rsid w:val="00711646"/>
    <w:rsid w:val="0071471C"/>
    <w:rsid w:val="00722F5E"/>
    <w:rsid w:val="007324BB"/>
    <w:rsid w:val="00733A2E"/>
    <w:rsid w:val="00734D0A"/>
    <w:rsid w:val="00736EFF"/>
    <w:rsid w:val="00753410"/>
    <w:rsid w:val="00760848"/>
    <w:rsid w:val="007619F3"/>
    <w:rsid w:val="00764B40"/>
    <w:rsid w:val="00777E53"/>
    <w:rsid w:val="0078689B"/>
    <w:rsid w:val="0079040A"/>
    <w:rsid w:val="007B1336"/>
    <w:rsid w:val="007B6BE1"/>
    <w:rsid w:val="007C1D04"/>
    <w:rsid w:val="007F21E8"/>
    <w:rsid w:val="007F3184"/>
    <w:rsid w:val="007F3CC7"/>
    <w:rsid w:val="007F61D5"/>
    <w:rsid w:val="00800D2C"/>
    <w:rsid w:val="00815A09"/>
    <w:rsid w:val="00821D89"/>
    <w:rsid w:val="00822DB7"/>
    <w:rsid w:val="00824762"/>
    <w:rsid w:val="008247CF"/>
    <w:rsid w:val="00844CE3"/>
    <w:rsid w:val="00845EC4"/>
    <w:rsid w:val="008571AB"/>
    <w:rsid w:val="00862B10"/>
    <w:rsid w:val="008717D3"/>
    <w:rsid w:val="008745A4"/>
    <w:rsid w:val="00876DE2"/>
    <w:rsid w:val="00885B0E"/>
    <w:rsid w:val="00896976"/>
    <w:rsid w:val="008A241B"/>
    <w:rsid w:val="008D41CD"/>
    <w:rsid w:val="008E2387"/>
    <w:rsid w:val="008E365F"/>
    <w:rsid w:val="00910344"/>
    <w:rsid w:val="00915CC9"/>
    <w:rsid w:val="009269A0"/>
    <w:rsid w:val="00936A76"/>
    <w:rsid w:val="00942053"/>
    <w:rsid w:val="00946E7A"/>
    <w:rsid w:val="0095729C"/>
    <w:rsid w:val="00963A47"/>
    <w:rsid w:val="00967E1B"/>
    <w:rsid w:val="009709D2"/>
    <w:rsid w:val="00994841"/>
    <w:rsid w:val="009967C2"/>
    <w:rsid w:val="009A2909"/>
    <w:rsid w:val="009B1D63"/>
    <w:rsid w:val="009B5B56"/>
    <w:rsid w:val="009D1047"/>
    <w:rsid w:val="009D5979"/>
    <w:rsid w:val="009F343C"/>
    <w:rsid w:val="00A0022B"/>
    <w:rsid w:val="00A0236D"/>
    <w:rsid w:val="00A15383"/>
    <w:rsid w:val="00A15DE9"/>
    <w:rsid w:val="00A25C0E"/>
    <w:rsid w:val="00A51B54"/>
    <w:rsid w:val="00A60D9C"/>
    <w:rsid w:val="00A70C83"/>
    <w:rsid w:val="00A751EB"/>
    <w:rsid w:val="00A902A3"/>
    <w:rsid w:val="00A944DD"/>
    <w:rsid w:val="00A95F3C"/>
    <w:rsid w:val="00AB13B2"/>
    <w:rsid w:val="00AB41A5"/>
    <w:rsid w:val="00AB73D9"/>
    <w:rsid w:val="00AD373B"/>
    <w:rsid w:val="00AD6A2F"/>
    <w:rsid w:val="00AE517C"/>
    <w:rsid w:val="00AF26B3"/>
    <w:rsid w:val="00AF42A7"/>
    <w:rsid w:val="00AF4EC3"/>
    <w:rsid w:val="00AF7CB0"/>
    <w:rsid w:val="00B06548"/>
    <w:rsid w:val="00B12F71"/>
    <w:rsid w:val="00B31A3B"/>
    <w:rsid w:val="00B738C4"/>
    <w:rsid w:val="00B81864"/>
    <w:rsid w:val="00B81AB7"/>
    <w:rsid w:val="00B96E92"/>
    <w:rsid w:val="00BA7C09"/>
    <w:rsid w:val="00BC003B"/>
    <w:rsid w:val="00BC16A8"/>
    <w:rsid w:val="00BC2DA4"/>
    <w:rsid w:val="00C07FF5"/>
    <w:rsid w:val="00C2275C"/>
    <w:rsid w:val="00C32A10"/>
    <w:rsid w:val="00C353E3"/>
    <w:rsid w:val="00C372BB"/>
    <w:rsid w:val="00C448E6"/>
    <w:rsid w:val="00C55F94"/>
    <w:rsid w:val="00C56B86"/>
    <w:rsid w:val="00C712F5"/>
    <w:rsid w:val="00C74D83"/>
    <w:rsid w:val="00C96D98"/>
    <w:rsid w:val="00CA3C4C"/>
    <w:rsid w:val="00CC5ACC"/>
    <w:rsid w:val="00CD7674"/>
    <w:rsid w:val="00CE5E73"/>
    <w:rsid w:val="00CE7884"/>
    <w:rsid w:val="00CF46A3"/>
    <w:rsid w:val="00D1444E"/>
    <w:rsid w:val="00D21DBB"/>
    <w:rsid w:val="00D25679"/>
    <w:rsid w:val="00D269A5"/>
    <w:rsid w:val="00D40B49"/>
    <w:rsid w:val="00D62673"/>
    <w:rsid w:val="00D65E13"/>
    <w:rsid w:val="00D67D0B"/>
    <w:rsid w:val="00D70843"/>
    <w:rsid w:val="00D841D8"/>
    <w:rsid w:val="00D87525"/>
    <w:rsid w:val="00DB27C9"/>
    <w:rsid w:val="00DB7F71"/>
    <w:rsid w:val="00DC033A"/>
    <w:rsid w:val="00DD1B52"/>
    <w:rsid w:val="00DD6773"/>
    <w:rsid w:val="00DD67EE"/>
    <w:rsid w:val="00DE3C90"/>
    <w:rsid w:val="00DE7587"/>
    <w:rsid w:val="00DF25E5"/>
    <w:rsid w:val="00DF5B30"/>
    <w:rsid w:val="00E14E3C"/>
    <w:rsid w:val="00E24F1A"/>
    <w:rsid w:val="00E30657"/>
    <w:rsid w:val="00E31E81"/>
    <w:rsid w:val="00E43C68"/>
    <w:rsid w:val="00E45CB8"/>
    <w:rsid w:val="00E700BC"/>
    <w:rsid w:val="00E73A6C"/>
    <w:rsid w:val="00E73AA4"/>
    <w:rsid w:val="00E93DDF"/>
    <w:rsid w:val="00E94C50"/>
    <w:rsid w:val="00EA368D"/>
    <w:rsid w:val="00EA3F97"/>
    <w:rsid w:val="00EB0AEE"/>
    <w:rsid w:val="00EB5D4D"/>
    <w:rsid w:val="00ED4BD3"/>
    <w:rsid w:val="00ED5AE6"/>
    <w:rsid w:val="00F1073B"/>
    <w:rsid w:val="00F11E58"/>
    <w:rsid w:val="00F13C68"/>
    <w:rsid w:val="00F479B6"/>
    <w:rsid w:val="00F70BEA"/>
    <w:rsid w:val="00F85584"/>
    <w:rsid w:val="00F86FEE"/>
    <w:rsid w:val="00FA66AC"/>
    <w:rsid w:val="00FB093C"/>
    <w:rsid w:val="00FB12A7"/>
    <w:rsid w:val="00FB568A"/>
    <w:rsid w:val="00FC507C"/>
    <w:rsid w:val="00FD0180"/>
    <w:rsid w:val="00FD2F0C"/>
    <w:rsid w:val="00FE3639"/>
    <w:rsid w:val="00FE4819"/>
    <w:rsid w:val="00FF1E47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0B7E98"/>
  <w15:docId w15:val="{12052948-1EFD-4F5C-8FE9-9ED8F60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  <w:style w:type="paragraph" w:customStyle="1" w:styleId="m-6213592135072827860msolistparagraph">
    <w:name w:val="m_-6213592135072827860msolistparagraph"/>
    <w:basedOn w:val="Normalny"/>
    <w:rsid w:val="0041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5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54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4265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189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9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3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140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25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udimex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2CC549-8EBD-4118-8F8F-C14EF8C6702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Noremberg, Robert</cp:lastModifiedBy>
  <cp:revision>7</cp:revision>
  <dcterms:created xsi:type="dcterms:W3CDTF">2024-03-21T14:47:00Z</dcterms:created>
  <dcterms:modified xsi:type="dcterms:W3CDTF">2024-03-21T14:58:00Z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