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8E5D" w14:textId="0593AB6D" w:rsidR="003418FC" w:rsidRPr="0032083C" w:rsidRDefault="003418FC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  <w14:ligatures w14:val="none"/>
        </w:rPr>
      </w:pPr>
      <w:r w:rsidRPr="0032083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  <w14:ligatures w14:val="none"/>
        </w:rPr>
        <w:t xml:space="preserve">MSP narzekają na płynność finansową. </w:t>
      </w:r>
      <w:r w:rsidR="00B700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  <w14:ligatures w14:val="none"/>
        </w:rPr>
        <w:t>Czy</w:t>
      </w:r>
      <w:r w:rsidRPr="0032083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  <w14:ligatures w14:val="none"/>
        </w:rPr>
        <w:t xml:space="preserve"> przyda im się ubezpieczenie?</w:t>
      </w:r>
    </w:p>
    <w:p w14:paraId="0B52E545" w14:textId="77777777" w:rsidR="0032083C" w:rsidRPr="0032083C" w:rsidRDefault="0032083C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9AD5941" w14:textId="6A138E9C" w:rsidR="003418FC" w:rsidRPr="0032083C" w:rsidRDefault="003418FC" w:rsidP="00E975D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08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2023 roku aż 51% firm obawiało się utraty płynności finansowej, co stanowi najgorszy wynik od 2013 roku - podaje Polska Agencja Rozwoju Przedsiębiorczości (PARP).</w:t>
      </w:r>
    </w:p>
    <w:p w14:paraId="6A45F9CA" w14:textId="77777777" w:rsidR="003418FC" w:rsidRPr="0032083C" w:rsidRDefault="003418FC" w:rsidP="00E975D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08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Na utratę płynności najbardziej narażone są </w:t>
      </w:r>
      <w:proofErr w:type="spellStart"/>
      <w:r w:rsidRPr="003208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mikrofirmy</w:t>
      </w:r>
      <w:proofErr w:type="spellEnd"/>
      <w:r w:rsidRPr="003208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(51,1%), a następnie małe (41,2%) i średnie podmioty (40,7%).</w:t>
      </w:r>
    </w:p>
    <w:p w14:paraId="198C98CC" w14:textId="59D316AD" w:rsidR="003418FC" w:rsidRPr="0032083C" w:rsidRDefault="00B70008" w:rsidP="00E975D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Dodatkowym z</w:t>
      </w:r>
      <w:r w:rsidR="003418FC" w:rsidRPr="003208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abezpieczeniem firmowych finansów w kryzysowej sytuacji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jest</w:t>
      </w:r>
      <w:r w:rsidR="003418FC" w:rsidRPr="003208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ubezpieczenie majątkowe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– przedsiębiorstwo otrzymuje odszkodowanie po niespodziewanej szkodzie.</w:t>
      </w:r>
    </w:p>
    <w:p w14:paraId="41CE787D" w14:textId="15A88175" w:rsidR="003418FC" w:rsidRPr="0032083C" w:rsidRDefault="003418FC" w:rsidP="00E975D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08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 ochrony mogą korzystać zarówno małe firmy o obrotach poniżej 5 mln zł rocznie, jak i</w:t>
      </w:r>
      <w:r w:rsidR="00E975D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Pr="003208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średnie podmioty z poziomem obrotów sięgającym 25 mln zł.</w:t>
      </w:r>
    </w:p>
    <w:p w14:paraId="30DB59DF" w14:textId="77777777" w:rsidR="0032083C" w:rsidRDefault="0032083C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DD220C" w14:textId="0F7F3076" w:rsidR="00B432ED" w:rsidRDefault="00A17252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Przedsiębiorcy z sektora MSP w ciemnych barwach widzą swoją 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płynnoś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ć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finansow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ą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wynika z danych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PARP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zawartych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"Rapor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cie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 stanie sektora małych i średnich przedsiębiorstw w Polsce (2023)". W</w:t>
      </w:r>
      <w:r w:rsidR="00B70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zeszłym roku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aż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51% przedsiębiorstw </w:t>
      </w:r>
      <w:r w:rsidR="00B70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wyrażało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obawy o utratę płynności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To 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wzrost o prawie 20</w:t>
      </w:r>
      <w:r w:rsidR="00B70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proofErr w:type="spellStart"/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p.p</w:t>
      </w:r>
      <w:proofErr w:type="spellEnd"/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w porównaniu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2022 r. i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najgorszy wynik od 10 lat.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Statystyki PARP ujawniają również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związek między </w:t>
      </w:r>
      <w:r w:rsidR="00B70008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obawą o utratę płynności finansowej 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B70008" w:rsidRPr="00B70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70008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wielkością przedsiębiorstwa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proofErr w:type="spellStart"/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Mikrofirmy</w:t>
      </w:r>
      <w:proofErr w:type="spellEnd"/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które miały </w:t>
      </w:r>
      <w:r w:rsidR="002B6FC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już 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problemy z płynnością, zwracają na to ryzyk</w:t>
      </w:r>
      <w:r w:rsidR="003104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największą uwagę (51,1%). Za nimi są małe (41,2%) oraz średnie przedsiębiorstwa (40,7%).</w:t>
      </w:r>
    </w:p>
    <w:p w14:paraId="2A2E021F" w14:textId="77777777" w:rsidR="00B432ED" w:rsidRDefault="00B432ED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B199B3" w14:textId="1600D732" w:rsidR="00B432ED" w:rsidRDefault="00B432ED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nastroje firm mogą mieć wpływ wydłużające się terminy przelewów</w:t>
      </w:r>
      <w:r w:rsidR="00B70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które nie pozostają bez wpływu na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płynność. Według danych faktura.pl za III kw. ub.r. przedsiębiorcy czekają na zapłatę średnio 13,5 dnia. Najgorzej jest pod tym względem w firmach transportowych i magazynowych (21,1 dnia) oraz rolnictwie, łowiectwie i rybactwie (16,9).</w:t>
      </w:r>
    </w:p>
    <w:p w14:paraId="773ECE25" w14:textId="77777777" w:rsidR="0032083C" w:rsidRPr="0032083C" w:rsidRDefault="0032083C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9E2C515" w14:textId="378B3F7D" w:rsidR="003418FC" w:rsidRDefault="00F65F56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- W obliczu niepewnego krajobrazu finansowego 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ubezpieczenia majątkowe stają się </w:t>
      </w:r>
      <w:r w:rsidR="0082115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ważnym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  <w:r w:rsidR="0082115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ogniwem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strategii zarządzania ryzykiem finansowym i płynności</w:t>
      </w:r>
      <w:r w:rsidR="003C7673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ą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. </w:t>
      </w:r>
      <w:r w:rsidR="0082115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Zabezpieczenie się na wypadek nieprzewidzianych zdarzeń, 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taki</w:t>
      </w:r>
      <w:r w:rsidR="0082115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ch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jak katastrofy naturalne</w:t>
      </w:r>
      <w:r w:rsidR="000679B0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czy 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pożary, to nieoceniona korzyść dla przedsiębiorstw. </w:t>
      </w:r>
      <w:r w:rsidR="003C7673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Wszystkich</w:t>
      </w:r>
      <w:r w:rsidR="00D26FD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, </w:t>
      </w:r>
      <w:r w:rsidR="003C7673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niezależnie od ich oceny własnej kondycji finansowej i zdolności przejścia przez trudne momenty suchą stopą. Duża szkoda może zniszczyć mienie i wstrzymać prowadzenie działalności, co bez wsparcia w postaci odszkodowania z polisy będzie ponad siły wielu firm </w:t>
      </w:r>
      <w:r w:rsidR="003C767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–</w:t>
      </w:r>
      <w:r w:rsidR="003418FC" w:rsidRPr="003C767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mówi</w:t>
      </w:r>
      <w:r w:rsidR="003C767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336D20">
        <w:rPr>
          <w:rFonts w:ascii="Times New Roman" w:hAnsi="Times New Roman" w:cs="Times New Roman"/>
        </w:rPr>
        <w:t>Jacek Kasperski, odpowiedzialny za ubezpieczenia dla MSP w Compensa TU SA Vienna Insurance</w:t>
      </w:r>
      <w:r w:rsidR="006E4B9E">
        <w:rPr>
          <w:rFonts w:ascii="Times New Roman" w:hAnsi="Times New Roman" w:cs="Times New Roman"/>
        </w:rPr>
        <w:t> </w:t>
      </w:r>
      <w:r w:rsidR="00336D20">
        <w:rPr>
          <w:rFonts w:ascii="Times New Roman" w:hAnsi="Times New Roman" w:cs="Times New Roman"/>
        </w:rPr>
        <w:t>Group.</w:t>
      </w:r>
    </w:p>
    <w:p w14:paraId="616B4E60" w14:textId="77777777" w:rsidR="0032083C" w:rsidRPr="0032083C" w:rsidRDefault="0032083C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AF91BF" w14:textId="77777777" w:rsidR="003418FC" w:rsidRPr="00803E0F" w:rsidRDefault="003418FC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03E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Jak działa ubezpieczenie dla sektora MSP?</w:t>
      </w:r>
    </w:p>
    <w:p w14:paraId="3976FB11" w14:textId="7847A732" w:rsidR="003418FC" w:rsidRDefault="003418FC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Ubezpieczenie</w:t>
      </w:r>
      <w:r w:rsidR="00F378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polega na objęciu ochroną firmowego majątku małych i średnich przedsiębiorstw.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1609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To</w:t>
      </w:r>
      <w:r w:rsidR="00F378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kluczowy element zarządzania ryzykie</w:t>
      </w:r>
      <w:r w:rsidR="007552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m, </w:t>
      </w:r>
      <w:r w:rsidR="00120B0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powiązany</w:t>
      </w:r>
      <w:r w:rsidR="007552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 z prowadzeni</w:t>
      </w:r>
      <w:r w:rsidR="00120B0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em</w:t>
      </w:r>
      <w:r w:rsidR="007552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działalności gospodarczej.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36E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Stanowi finansowe zabezpieczenie przed skutkami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różny</w:t>
      </w:r>
      <w:r w:rsidR="00F36E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ch, nieplanowanych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sytuacji kryzysowy</w:t>
      </w:r>
      <w:r w:rsidR="00F36E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473A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EB6D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m.in.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EB6D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szkód katastroficznych (spowodowanych złą pogodą)</w:t>
      </w:r>
      <w:r w:rsidR="00FE3F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kradzieży</w:t>
      </w:r>
      <w:r w:rsidR="00FE3F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pożarów, </w:t>
      </w:r>
      <w:r w:rsidR="00FE3F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 także awarii sprzętu czy 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roszcze</w:t>
      </w:r>
      <w:r w:rsidR="00120B0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ń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E3F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wysuniętych przez osoby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trzeci</w:t>
      </w:r>
      <w:r w:rsidR="00FE3F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(np. </w:t>
      </w:r>
      <w:r w:rsidR="00FE3F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poszkodowanych klientów 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ramach ubezpieczenia OC z tytułu prowadzenia biznesu lub </w:t>
      </w:r>
      <w:r w:rsidR="00781B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pracowników </w:t>
      </w:r>
      <w:r w:rsidR="007B5A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OC pracodawcy).</w:t>
      </w:r>
    </w:p>
    <w:p w14:paraId="6BF2ACCA" w14:textId="77777777" w:rsidR="0032083C" w:rsidRPr="0032083C" w:rsidRDefault="0032083C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48A9B3C" w14:textId="0851ABF4" w:rsidR="003418FC" w:rsidRDefault="006B28A8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- Zakres ochrony </w:t>
      </w:r>
      <w:r w:rsidR="00CE563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oraz kategorie</w:t>
      </w:r>
      <w:r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firm, do których kierowana jest oferta, zależą od ubezpieczyciela. 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Na przykład w Compensie małe i średnie </w:t>
      </w:r>
      <w:r w:rsidR="00E53E8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podmioty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mogą korzystać z dwóch produktów, które dopasowane są do wartości ich mienia oraz rocznych obrotów. Jeden przeznaczony jest dla firm o majątku nieprzekraczającym 1 mln zł, których obroty sięgają do 5 mln zł. W drugim te progi to odpowiednio 15</w:t>
      </w:r>
      <w:r w:rsidR="00EC2FFD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 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mln zł wartości mienia i 25 mln zł obrotu </w:t>
      </w:r>
      <w:r w:rsidR="00B27B6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–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dodaj</w:t>
      </w:r>
      <w:r w:rsidR="00B27B6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27B6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Jacek Kasperski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Compensy.</w:t>
      </w:r>
    </w:p>
    <w:p w14:paraId="22CCBE31" w14:textId="77777777" w:rsidR="0032083C" w:rsidRPr="0032083C" w:rsidRDefault="0032083C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4722163" w14:textId="5488B547" w:rsidR="003418FC" w:rsidRPr="0032083C" w:rsidRDefault="003418FC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Podczas wyboru ubezpieczenia, firmy z sektora MSP powinny zwrócić szczególną uwagę na kilka spraw. Przede wszystkim muszą dokładnie określić, jakie ryzyka są najistotniejsze dla ich działalności i upewnić się, że polisa ubezpieczeniowa je obejmuje. Należy także wziąć pod uwagę sumy ubezpieczenia, czyli podane w polisie wartości firmowego mienia. Od nich zależy wysokość odszkodowania. Suma ma wpływ </w:t>
      </w:r>
      <w:r w:rsidR="007435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również</w:t>
      </w:r>
      <w:r w:rsidR="009B6E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wysokość składki. Warto też przedyskutować wybór z</w:t>
      </w:r>
      <w:r w:rsidR="006E08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doradcą ubezpieczeniowym, który może pomóc dokonać najbardziej korzystnego dla firmy wyboru.</w:t>
      </w:r>
    </w:p>
    <w:p w14:paraId="75D6D565" w14:textId="77777777" w:rsidR="0032083C" w:rsidRDefault="0032083C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5977D5F0" w14:textId="039AA4F4" w:rsidR="003418FC" w:rsidRPr="0032083C" w:rsidRDefault="0032083C" w:rsidP="003208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- 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Nie można zapomnieć, jak istotne jest spersonalizowane podejście do ubezpieczeń i dopasowanie ochrony do specyfiki </w:t>
      </w:r>
      <w:r w:rsidR="00952D1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sektora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, w któr</w:t>
      </w:r>
      <w:r w:rsidR="009D4773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ym 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działa przedsiębiorstwo. Każda branża </w:t>
      </w:r>
      <w:r w:rsidR="008E391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ma charakterystyczne dla siebie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ryzyka i możliwe kryzysy </w:t>
      </w:r>
      <w:r w:rsidR="008E391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–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właściwe</w:t>
      </w:r>
      <w:r w:rsidR="00FE5768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ich zdefiniowanie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zdecydowanie zwiększa bezpieczeństwo finansowe firmy </w:t>
      </w:r>
      <w:r w:rsidR="00C141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–</w:t>
      </w:r>
      <w:r w:rsidR="003418FC" w:rsidRPr="003208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  <w:r w:rsidR="00C14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podsumowuje Jacek Kasperski </w:t>
      </w:r>
      <w:r w:rsidR="003418FC" w:rsidRPr="00320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Compensy.</w:t>
      </w:r>
    </w:p>
    <w:p w14:paraId="6D561D83" w14:textId="77777777" w:rsidR="00A92DD5" w:rsidRPr="0032083C" w:rsidRDefault="00A92DD5" w:rsidP="003208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656124" w14:textId="37A62E60" w:rsidR="0032083C" w:rsidRPr="00163907" w:rsidRDefault="0032083C" w:rsidP="0032083C">
      <w:pPr>
        <w:spacing w:after="0" w:line="276" w:lineRule="auto"/>
        <w:jc w:val="right"/>
        <w:rPr>
          <w:rFonts w:ascii="Times New Roman" w:hAnsi="Times New Roman" w:cs="Times New Roman"/>
          <w:lang w:val="en-US"/>
        </w:rPr>
      </w:pPr>
      <w:r w:rsidRPr="00163907">
        <w:rPr>
          <w:rFonts w:ascii="Times New Roman" w:hAnsi="Times New Roman" w:cs="Times New Roman"/>
          <w:lang w:val="en-US"/>
        </w:rPr>
        <w:t>Źródło: Compensa TU SA Vienna Insurance Group</w:t>
      </w:r>
    </w:p>
    <w:sectPr w:rsidR="0032083C" w:rsidRPr="0016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5215"/>
    <w:multiLevelType w:val="hybridMultilevel"/>
    <w:tmpl w:val="8842B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4977"/>
    <w:multiLevelType w:val="multilevel"/>
    <w:tmpl w:val="55E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136183">
    <w:abstractNumId w:val="1"/>
    <w:lvlOverride w:ilvl="0">
      <w:startOverride w:val="1"/>
    </w:lvlOverride>
  </w:num>
  <w:num w:numId="2" w16cid:durableId="1903178932">
    <w:abstractNumId w:val="1"/>
    <w:lvlOverride w:ilvl="0">
      <w:startOverride w:val="2"/>
    </w:lvlOverride>
  </w:num>
  <w:num w:numId="3" w16cid:durableId="1159420754">
    <w:abstractNumId w:val="1"/>
    <w:lvlOverride w:ilvl="0">
      <w:startOverride w:val="3"/>
    </w:lvlOverride>
  </w:num>
  <w:num w:numId="4" w16cid:durableId="731003516">
    <w:abstractNumId w:val="1"/>
    <w:lvlOverride w:ilvl="0">
      <w:startOverride w:val="4"/>
    </w:lvlOverride>
  </w:num>
  <w:num w:numId="5" w16cid:durableId="186582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FC"/>
    <w:rsid w:val="00004311"/>
    <w:rsid w:val="000679B0"/>
    <w:rsid w:val="00120B03"/>
    <w:rsid w:val="00163907"/>
    <w:rsid w:val="001D0BAA"/>
    <w:rsid w:val="00291907"/>
    <w:rsid w:val="002B6FC5"/>
    <w:rsid w:val="002C0994"/>
    <w:rsid w:val="0031044D"/>
    <w:rsid w:val="0032083C"/>
    <w:rsid w:val="00336D20"/>
    <w:rsid w:val="003418FC"/>
    <w:rsid w:val="003C7673"/>
    <w:rsid w:val="00473A35"/>
    <w:rsid w:val="004B1796"/>
    <w:rsid w:val="00516094"/>
    <w:rsid w:val="005C04D5"/>
    <w:rsid w:val="006647A6"/>
    <w:rsid w:val="006B28A8"/>
    <w:rsid w:val="006E08BE"/>
    <w:rsid w:val="006E4B9E"/>
    <w:rsid w:val="00733BEB"/>
    <w:rsid w:val="0074359C"/>
    <w:rsid w:val="00755279"/>
    <w:rsid w:val="00781BCC"/>
    <w:rsid w:val="007B5A35"/>
    <w:rsid w:val="00803E0F"/>
    <w:rsid w:val="00805E6C"/>
    <w:rsid w:val="00821155"/>
    <w:rsid w:val="008E3916"/>
    <w:rsid w:val="0095079E"/>
    <w:rsid w:val="00952D17"/>
    <w:rsid w:val="009B6E88"/>
    <w:rsid w:val="009D4773"/>
    <w:rsid w:val="00A17252"/>
    <w:rsid w:val="00A92DD5"/>
    <w:rsid w:val="00B27B6E"/>
    <w:rsid w:val="00B432ED"/>
    <w:rsid w:val="00B70008"/>
    <w:rsid w:val="00C1413C"/>
    <w:rsid w:val="00CE5636"/>
    <w:rsid w:val="00D215E3"/>
    <w:rsid w:val="00D26FDF"/>
    <w:rsid w:val="00E53E89"/>
    <w:rsid w:val="00E975D9"/>
    <w:rsid w:val="00EB6D90"/>
    <w:rsid w:val="00EC2FFD"/>
    <w:rsid w:val="00F36E14"/>
    <w:rsid w:val="00F373AC"/>
    <w:rsid w:val="00F373C3"/>
    <w:rsid w:val="00F37839"/>
    <w:rsid w:val="00F65F56"/>
    <w:rsid w:val="00FE3F3A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1175"/>
  <w15:chartTrackingRefBased/>
  <w15:docId w15:val="{1CF29500-828D-4767-8D0C-4545D0FD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1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341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8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418FC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text-body">
    <w:name w:val="text-body"/>
    <w:basedOn w:val="Normalny"/>
    <w:rsid w:val="0034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418FC"/>
    <w:rPr>
      <w:b/>
      <w:bCs/>
    </w:rPr>
  </w:style>
  <w:style w:type="character" w:styleId="Uwydatnienie">
    <w:name w:val="Emphasis"/>
    <w:basedOn w:val="Domylnaczcionkaakapitu"/>
    <w:uiPriority w:val="20"/>
    <w:qFormat/>
    <w:rsid w:val="003418FC"/>
    <w:rPr>
      <w:i/>
      <w:iCs/>
    </w:rPr>
  </w:style>
  <w:style w:type="paragraph" w:styleId="Akapitzlist">
    <w:name w:val="List Paragraph"/>
    <w:basedOn w:val="Normalny"/>
    <w:uiPriority w:val="34"/>
    <w:qFormat/>
    <w:rsid w:val="003208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6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6D20"/>
    <w:pPr>
      <w:suppressAutoHyphens/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6D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0D9B-0C89-4D33-A5FE-8DDFD909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Wadowska, Aleksandra</cp:lastModifiedBy>
  <cp:revision>3</cp:revision>
  <dcterms:created xsi:type="dcterms:W3CDTF">2024-01-17T12:37:00Z</dcterms:created>
  <dcterms:modified xsi:type="dcterms:W3CDTF">2024-01-17T12:40:00Z</dcterms:modified>
</cp:coreProperties>
</file>