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5E89" w14:textId="314783BD" w:rsidR="007A7B8D" w:rsidRPr="007A7B8D" w:rsidRDefault="007A7B8D" w:rsidP="008C725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A7B8D">
        <w:rPr>
          <w:rFonts w:ascii="Times New Roman" w:hAnsi="Times New Roman" w:cs="Times New Roman"/>
          <w:b/>
          <w:bCs/>
        </w:rPr>
        <w:t xml:space="preserve">Compensa: </w:t>
      </w:r>
      <w:r w:rsidR="00506E8C">
        <w:rPr>
          <w:rFonts w:ascii="Times New Roman" w:hAnsi="Times New Roman" w:cs="Times New Roman"/>
          <w:b/>
          <w:bCs/>
        </w:rPr>
        <w:t>holowanie to 9 na 10</w:t>
      </w:r>
      <w:r w:rsidRPr="007A7B8D">
        <w:rPr>
          <w:rFonts w:ascii="Times New Roman" w:hAnsi="Times New Roman" w:cs="Times New Roman"/>
          <w:b/>
          <w:bCs/>
        </w:rPr>
        <w:t xml:space="preserve"> interwencji</w:t>
      </w:r>
      <w:r w:rsidR="00506E8C">
        <w:rPr>
          <w:rFonts w:ascii="Times New Roman" w:hAnsi="Times New Roman" w:cs="Times New Roman"/>
          <w:b/>
          <w:bCs/>
        </w:rPr>
        <w:t xml:space="preserve"> </w:t>
      </w:r>
      <w:r w:rsidRPr="007A7B8D">
        <w:rPr>
          <w:rFonts w:ascii="Times New Roman" w:hAnsi="Times New Roman" w:cs="Times New Roman"/>
          <w:b/>
          <w:bCs/>
        </w:rPr>
        <w:t xml:space="preserve">assistance </w:t>
      </w:r>
      <w:r w:rsidR="004C2B04">
        <w:rPr>
          <w:rFonts w:ascii="Times New Roman" w:hAnsi="Times New Roman" w:cs="Times New Roman"/>
          <w:b/>
          <w:bCs/>
        </w:rPr>
        <w:t xml:space="preserve">dla </w:t>
      </w:r>
      <w:r w:rsidR="00506E8C">
        <w:rPr>
          <w:rFonts w:ascii="Times New Roman" w:hAnsi="Times New Roman" w:cs="Times New Roman"/>
          <w:b/>
          <w:bCs/>
        </w:rPr>
        <w:t>motocykli</w:t>
      </w:r>
    </w:p>
    <w:p w14:paraId="675CC706" w14:textId="77777777" w:rsidR="007A7B8D" w:rsidRPr="00264B38" w:rsidRDefault="007A7B8D" w:rsidP="008C72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538E4C" w14:textId="4FFE1139" w:rsidR="00264B38" w:rsidRDefault="00264B38" w:rsidP="008C725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W 2023 r. aż 92% interwencji w ramach motocyklowego assistance polegało na holowaniu pojazdu – podaje towarzystwo ubezpieczeniowe</w:t>
      </w:r>
      <w:r w:rsidRPr="00264B3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Compensa.</w:t>
      </w:r>
    </w:p>
    <w:p w14:paraId="1A39B3FD" w14:textId="41702674" w:rsidR="00264B38" w:rsidRPr="00264B38" w:rsidRDefault="00264B38" w:rsidP="008C725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Kierowane do warsztatu jednoślady pokonywały na lawecie średnio ponad 6</w:t>
      </w:r>
      <w:r w:rsidR="00A92EA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km, a</w:t>
      </w:r>
      <w:r w:rsidR="006B33E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motocykliści najczęściej wzywali pomoc po awariach i kolizjach.</w:t>
      </w:r>
    </w:p>
    <w:p w14:paraId="3CC4CC2C" w14:textId="4AF96223" w:rsidR="00264B38" w:rsidRDefault="00264B38" w:rsidP="008C725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Oprócz holowania do podstawowych usług assistance należy przede wszystkim </w:t>
      </w:r>
      <w:r w:rsidR="003D49F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usprawnienie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pojazdu na miejscu zdarzenia.</w:t>
      </w:r>
    </w:p>
    <w:p w14:paraId="3DCB356E" w14:textId="130B9DE9" w:rsidR="00264B38" w:rsidRPr="00264B38" w:rsidRDefault="00264B38" w:rsidP="008C725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Ze wsparcia można korzystać </w:t>
      </w:r>
      <w:r w:rsidRPr="00264B3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w Polsce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oraz większości </w:t>
      </w:r>
      <w:r w:rsidRPr="00264B3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europejskich krajów.</w:t>
      </w:r>
    </w:p>
    <w:p w14:paraId="00971CBF" w14:textId="63B77AC6" w:rsidR="007A7B8D" w:rsidRPr="00264B38" w:rsidRDefault="007A7B8D" w:rsidP="008C72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891309E" w14:textId="21B627CD" w:rsidR="007A7B8D" w:rsidRDefault="008C725E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A7B8D" w:rsidRPr="00264B38">
        <w:rPr>
          <w:sz w:val="22"/>
          <w:szCs w:val="22"/>
        </w:rPr>
        <w:t xml:space="preserve"> </w:t>
      </w:r>
      <w:r>
        <w:rPr>
          <w:sz w:val="22"/>
          <w:szCs w:val="22"/>
        </w:rPr>
        <w:t>zeszłym roku motocykliści</w:t>
      </w:r>
      <w:r w:rsidR="007A7B8D" w:rsidRPr="00264B38">
        <w:rPr>
          <w:sz w:val="22"/>
          <w:szCs w:val="22"/>
        </w:rPr>
        <w:t xml:space="preserve"> najczęściej potrzebowali pomocy </w:t>
      </w:r>
      <w:r>
        <w:rPr>
          <w:sz w:val="22"/>
          <w:szCs w:val="22"/>
        </w:rPr>
        <w:t>assistance w związku</w:t>
      </w:r>
      <w:r w:rsidR="007A7B8D" w:rsidRPr="00264B38">
        <w:rPr>
          <w:sz w:val="22"/>
          <w:szCs w:val="22"/>
        </w:rPr>
        <w:t xml:space="preserve"> z awarią motocykla</w:t>
      </w:r>
      <w:r w:rsidR="003C795D">
        <w:rPr>
          <w:sz w:val="22"/>
          <w:szCs w:val="22"/>
        </w:rPr>
        <w:t xml:space="preserve"> w czasie jazdy</w:t>
      </w:r>
      <w:r>
        <w:rPr>
          <w:sz w:val="22"/>
          <w:szCs w:val="22"/>
        </w:rPr>
        <w:t>. To przyczyna 64</w:t>
      </w:r>
      <w:r w:rsidR="007A7B8D" w:rsidRPr="00264B38">
        <w:rPr>
          <w:sz w:val="22"/>
          <w:szCs w:val="22"/>
        </w:rPr>
        <w:t>% wszystkich z</w:t>
      </w:r>
      <w:r>
        <w:rPr>
          <w:sz w:val="22"/>
          <w:szCs w:val="22"/>
        </w:rPr>
        <w:t xml:space="preserve">głoszonych </w:t>
      </w:r>
      <w:r w:rsidR="004C2B04">
        <w:rPr>
          <w:sz w:val="22"/>
          <w:szCs w:val="22"/>
        </w:rPr>
        <w:t xml:space="preserve">spraw </w:t>
      </w:r>
      <w:r>
        <w:rPr>
          <w:sz w:val="22"/>
          <w:szCs w:val="22"/>
        </w:rPr>
        <w:t>– podaje Global Assistance Polska w analizie przeprowadzonej na zlecenie zakładu ubezpieczeń Compensa. Kolejnych 23% zgłoszeń dotyczyło problemów po kolizji, a pozostałe sprawy związane były ze zdarzeniami losowymi</w:t>
      </w:r>
      <w:r w:rsidR="003D49F3">
        <w:rPr>
          <w:sz w:val="22"/>
          <w:szCs w:val="22"/>
        </w:rPr>
        <w:t>, czyli m.in. brakiem lub tankowaniem niewłaściwego paliwa lub uszkodzoną oponą, a także</w:t>
      </w:r>
      <w:r>
        <w:rPr>
          <w:sz w:val="22"/>
          <w:szCs w:val="22"/>
        </w:rPr>
        <w:t xml:space="preserve"> kradzieżami</w:t>
      </w:r>
      <w:r w:rsidR="003D49F3">
        <w:rPr>
          <w:sz w:val="22"/>
          <w:szCs w:val="22"/>
        </w:rPr>
        <w:t xml:space="preserve"> czy</w:t>
      </w:r>
      <w:r>
        <w:rPr>
          <w:sz w:val="22"/>
          <w:szCs w:val="22"/>
        </w:rPr>
        <w:t xml:space="preserve"> wandalizmem.</w:t>
      </w:r>
    </w:p>
    <w:p w14:paraId="332B071E" w14:textId="77777777" w:rsidR="008C725E" w:rsidRDefault="008C725E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9188DC5" w14:textId="21AF8517" w:rsidR="008C725E" w:rsidRDefault="008C725E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Interwencje w 92% przypadków kończą się </w:t>
      </w:r>
      <w:r w:rsidR="00B405A7">
        <w:rPr>
          <w:i/>
          <w:iCs/>
          <w:sz w:val="22"/>
          <w:szCs w:val="22"/>
        </w:rPr>
        <w:t>podróżą</w:t>
      </w:r>
      <w:r>
        <w:rPr>
          <w:i/>
          <w:iCs/>
          <w:sz w:val="22"/>
          <w:szCs w:val="22"/>
        </w:rPr>
        <w:t xml:space="preserve"> motocykla na lawecie </w:t>
      </w:r>
      <w:r w:rsidR="00B405A7">
        <w:rPr>
          <w:i/>
          <w:iCs/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>do</w:t>
      </w:r>
      <w:r w:rsidR="00B405A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najbliższego warsztatu</w:t>
      </w:r>
      <w:r w:rsidR="00B405A7">
        <w:rPr>
          <w:i/>
          <w:iCs/>
          <w:sz w:val="22"/>
          <w:szCs w:val="22"/>
        </w:rPr>
        <w:t xml:space="preserve"> lub wskazanego przez poszkodowanego miejsca</w:t>
      </w:r>
      <w:r>
        <w:rPr>
          <w:i/>
          <w:iCs/>
          <w:sz w:val="22"/>
          <w:szCs w:val="22"/>
        </w:rPr>
        <w:t xml:space="preserve">. Średni dystans holowania to </w:t>
      </w:r>
      <w:r w:rsidR="003D49F3">
        <w:rPr>
          <w:i/>
          <w:iCs/>
          <w:sz w:val="22"/>
          <w:szCs w:val="22"/>
        </w:rPr>
        <w:t>62,26</w:t>
      </w:r>
      <w:r>
        <w:rPr>
          <w:i/>
          <w:iCs/>
          <w:sz w:val="22"/>
          <w:szCs w:val="22"/>
        </w:rPr>
        <w:t xml:space="preserve"> km. </w:t>
      </w:r>
      <w:r w:rsidR="003C795D">
        <w:rPr>
          <w:i/>
          <w:iCs/>
          <w:sz w:val="22"/>
          <w:szCs w:val="22"/>
        </w:rPr>
        <w:t xml:space="preserve">Tylko 8% problemów na drodze kończy się usprawnieniem motocykla na drodze. Co ciekawe, w przypadku samochodów te statystyki są nieco inne. Holowanie wciąż przeważa, ale nie tak wyraźnie – szacujemy, że na miejscu udaje się uruchomić ok. 30% aut. Oczywiście w przypadku motocykli bardzo wyraźna jest też sezonowość interwencji, których kumulacja przypada na okres od maja do września </w:t>
      </w:r>
      <w:r w:rsidR="003C795D">
        <w:rPr>
          <w:sz w:val="22"/>
          <w:szCs w:val="22"/>
        </w:rPr>
        <w:t xml:space="preserve">– podsumowuje </w:t>
      </w:r>
      <w:r w:rsidR="00D278B2">
        <w:rPr>
          <w:sz w:val="22"/>
          <w:szCs w:val="22"/>
        </w:rPr>
        <w:t>Damian Andruszkiewicz</w:t>
      </w:r>
      <w:r w:rsidR="003C795D">
        <w:rPr>
          <w:sz w:val="22"/>
          <w:szCs w:val="22"/>
        </w:rPr>
        <w:t>, odpowiedzialny za ubezpieczenia komunikacyjne w Compensa TU SA Vienna Insurance Group.</w:t>
      </w:r>
    </w:p>
    <w:p w14:paraId="18B715AE" w14:textId="77777777" w:rsidR="002F4EB8" w:rsidRDefault="002F4EB8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7D46ABD" w14:textId="1BF11981" w:rsidR="00FA2872" w:rsidRDefault="00FA2872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F4EB8" w:rsidRPr="00FA2872">
        <w:rPr>
          <w:sz w:val="22"/>
          <w:szCs w:val="22"/>
        </w:rPr>
        <w:t>e wspomnianym okresie</w:t>
      </w:r>
      <w:r w:rsidRPr="00FA2872">
        <w:rPr>
          <w:sz w:val="22"/>
          <w:szCs w:val="22"/>
        </w:rPr>
        <w:t xml:space="preserve"> zeszłego roku </w:t>
      </w:r>
      <w:r>
        <w:rPr>
          <w:sz w:val="22"/>
          <w:szCs w:val="22"/>
        </w:rPr>
        <w:t>miało miejsce</w:t>
      </w:r>
      <w:r w:rsidRPr="00FA2872">
        <w:rPr>
          <w:sz w:val="22"/>
          <w:szCs w:val="22"/>
        </w:rPr>
        <w:t xml:space="preserve"> aż 76% </w:t>
      </w:r>
      <w:r w:rsidR="002E3D2B">
        <w:rPr>
          <w:sz w:val="22"/>
          <w:szCs w:val="22"/>
        </w:rPr>
        <w:t xml:space="preserve">spośród wszystkich </w:t>
      </w:r>
      <w:r>
        <w:rPr>
          <w:sz w:val="22"/>
          <w:szCs w:val="22"/>
        </w:rPr>
        <w:t>interwencji</w:t>
      </w:r>
      <w:r w:rsidRPr="00FA2872">
        <w:rPr>
          <w:sz w:val="22"/>
          <w:szCs w:val="22"/>
        </w:rPr>
        <w:t xml:space="preserve"> dla motocykli.</w:t>
      </w:r>
    </w:p>
    <w:p w14:paraId="07202057" w14:textId="77777777" w:rsidR="00FA2872" w:rsidRDefault="00FA2872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9DE3A35" w14:textId="4AFF6101" w:rsidR="002F4EB8" w:rsidRPr="003C795D" w:rsidRDefault="00FA2872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92EA1"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F4EB8" w:rsidRPr="00A92EA1">
        <w:rPr>
          <w:i/>
          <w:iCs/>
          <w:sz w:val="22"/>
          <w:szCs w:val="22"/>
        </w:rPr>
        <w:t xml:space="preserve">Pozostałe </w:t>
      </w:r>
      <w:r w:rsidRPr="00A92EA1">
        <w:rPr>
          <w:i/>
          <w:iCs/>
          <w:sz w:val="22"/>
          <w:szCs w:val="22"/>
        </w:rPr>
        <w:t>zgłoszenia odbieraliśmy</w:t>
      </w:r>
      <w:r w:rsidR="002F4EB8" w:rsidRPr="00A92EA1">
        <w:rPr>
          <w:i/>
          <w:iCs/>
          <w:sz w:val="22"/>
          <w:szCs w:val="22"/>
        </w:rPr>
        <w:t xml:space="preserve"> przede wszystkim w październiku i kwietniu </w:t>
      </w:r>
      <w:r w:rsidRPr="00A92EA1">
        <w:rPr>
          <w:i/>
          <w:iCs/>
          <w:sz w:val="22"/>
          <w:szCs w:val="22"/>
        </w:rPr>
        <w:t xml:space="preserve">– </w:t>
      </w:r>
      <w:r w:rsidR="002F4EB8" w:rsidRPr="00A92EA1">
        <w:rPr>
          <w:i/>
          <w:iCs/>
          <w:sz w:val="22"/>
          <w:szCs w:val="22"/>
        </w:rPr>
        <w:t>łącznie 14%</w:t>
      </w:r>
      <w:r w:rsidRPr="00A92EA1">
        <w:rPr>
          <w:i/>
          <w:iCs/>
          <w:sz w:val="22"/>
          <w:szCs w:val="22"/>
        </w:rPr>
        <w:t>. S</w:t>
      </w:r>
      <w:r w:rsidR="002F4EB8" w:rsidRPr="00A92EA1">
        <w:rPr>
          <w:i/>
          <w:iCs/>
          <w:sz w:val="22"/>
          <w:szCs w:val="22"/>
        </w:rPr>
        <w:t xml:space="preserve">tatystyki za styczeń, luty, marzec, listopad i grudzień potwierdzają małą liczbę motocyklistów na drogach jesienią i zimą </w:t>
      </w:r>
      <w:r w:rsidRPr="00A92EA1">
        <w:rPr>
          <w:i/>
          <w:iCs/>
          <w:sz w:val="22"/>
          <w:szCs w:val="22"/>
        </w:rPr>
        <w:t xml:space="preserve">– to razem zaledwie </w:t>
      </w:r>
      <w:r w:rsidR="002F4EB8" w:rsidRPr="00A92EA1">
        <w:rPr>
          <w:i/>
          <w:iCs/>
          <w:sz w:val="22"/>
          <w:szCs w:val="22"/>
        </w:rPr>
        <w:t>10%</w:t>
      </w:r>
      <w:r w:rsidR="00BE7CF2" w:rsidRPr="00A92EA1">
        <w:rPr>
          <w:i/>
          <w:iCs/>
          <w:sz w:val="22"/>
          <w:szCs w:val="22"/>
        </w:rPr>
        <w:t xml:space="preserve"> spraw</w:t>
      </w:r>
      <w:r w:rsidR="002F4EB8" w:rsidRPr="00A92EA1">
        <w:rPr>
          <w:i/>
          <w:iCs/>
          <w:sz w:val="22"/>
          <w:szCs w:val="22"/>
        </w:rPr>
        <w:t xml:space="preserve">. </w:t>
      </w:r>
      <w:r w:rsidRPr="00A92EA1">
        <w:rPr>
          <w:i/>
          <w:iCs/>
          <w:sz w:val="22"/>
          <w:szCs w:val="22"/>
        </w:rPr>
        <w:t>Co ciekawe, w</w:t>
      </w:r>
      <w:r w:rsidR="002F4EB8" w:rsidRPr="00A92EA1">
        <w:rPr>
          <w:i/>
          <w:iCs/>
          <w:sz w:val="22"/>
          <w:szCs w:val="22"/>
        </w:rPr>
        <w:t xml:space="preserve"> minionym roku użytkownicy jednośladów najczęściej potrzebowali wsparcia w poniedziałki i wtorki</w:t>
      </w:r>
      <w:r w:rsidR="00137974" w:rsidRPr="00A92EA1">
        <w:rPr>
          <w:i/>
          <w:iCs/>
          <w:sz w:val="22"/>
          <w:szCs w:val="22"/>
        </w:rPr>
        <w:t xml:space="preserve"> </w:t>
      </w:r>
      <w:r w:rsidRPr="00A92EA1">
        <w:rPr>
          <w:i/>
          <w:iCs/>
          <w:sz w:val="22"/>
          <w:szCs w:val="22"/>
        </w:rPr>
        <w:t xml:space="preserve">– odpowiednio 18 i </w:t>
      </w:r>
      <w:r w:rsidR="00137974" w:rsidRPr="00A92EA1">
        <w:rPr>
          <w:i/>
          <w:iCs/>
          <w:sz w:val="22"/>
          <w:szCs w:val="22"/>
        </w:rPr>
        <w:t>17%</w:t>
      </w:r>
      <w:r w:rsidRPr="00A92EA1">
        <w:rPr>
          <w:i/>
          <w:iCs/>
          <w:sz w:val="22"/>
          <w:szCs w:val="22"/>
        </w:rPr>
        <w:t xml:space="preserve"> zgłoszeń – a najspokojniejsze były </w:t>
      </w:r>
      <w:r w:rsidR="00137974" w:rsidRPr="00A92EA1">
        <w:rPr>
          <w:i/>
          <w:iCs/>
          <w:sz w:val="22"/>
          <w:szCs w:val="22"/>
        </w:rPr>
        <w:t>piątki</w:t>
      </w:r>
      <w:r w:rsidRPr="00A92EA1">
        <w:rPr>
          <w:i/>
          <w:iCs/>
          <w:sz w:val="22"/>
          <w:szCs w:val="22"/>
        </w:rPr>
        <w:t xml:space="preserve"> i soboty z </w:t>
      </w:r>
      <w:r>
        <w:rPr>
          <w:i/>
          <w:iCs/>
          <w:sz w:val="22"/>
          <w:szCs w:val="22"/>
        </w:rPr>
        <w:t xml:space="preserve">ok. </w:t>
      </w:r>
      <w:r w:rsidRPr="00A92EA1">
        <w:rPr>
          <w:i/>
          <w:iCs/>
          <w:sz w:val="22"/>
          <w:szCs w:val="22"/>
        </w:rPr>
        <w:t>11-12% interwencji</w:t>
      </w:r>
      <w:r>
        <w:rPr>
          <w:sz w:val="22"/>
          <w:szCs w:val="22"/>
        </w:rPr>
        <w:t xml:space="preserve"> – mówi Remigiusz Szeniawski</w:t>
      </w:r>
      <w:r w:rsidR="00C1713E">
        <w:rPr>
          <w:sz w:val="22"/>
          <w:szCs w:val="22"/>
        </w:rPr>
        <w:t>,</w:t>
      </w:r>
      <w:r w:rsidR="000739AC">
        <w:rPr>
          <w:sz w:val="22"/>
          <w:szCs w:val="22"/>
        </w:rPr>
        <w:t xml:space="preserve"> </w:t>
      </w:r>
      <w:r w:rsidR="000D71E9">
        <w:rPr>
          <w:sz w:val="22"/>
          <w:szCs w:val="22"/>
        </w:rPr>
        <w:t xml:space="preserve">Dyrektor Departamentu Operacyjnego </w:t>
      </w:r>
      <w:r w:rsidR="001C183E">
        <w:rPr>
          <w:sz w:val="22"/>
          <w:szCs w:val="22"/>
        </w:rPr>
        <w:t xml:space="preserve">w </w:t>
      </w:r>
      <w:r w:rsidR="000739AC">
        <w:rPr>
          <w:sz w:val="22"/>
          <w:szCs w:val="22"/>
        </w:rPr>
        <w:t>Global Assistance Polska.</w:t>
      </w:r>
    </w:p>
    <w:p w14:paraId="5A4E2736" w14:textId="77777777" w:rsidR="008C725E" w:rsidRDefault="008C725E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325A977" w14:textId="359F9474" w:rsidR="008C725E" w:rsidRDefault="00EE1F30" w:rsidP="008C725E">
      <w:pPr>
        <w:pStyle w:val="text-body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Pomoc również za granicą</w:t>
      </w:r>
    </w:p>
    <w:p w14:paraId="45C49148" w14:textId="3B82A354" w:rsidR="00EE1F30" w:rsidRPr="00A92EA1" w:rsidRDefault="00EE1F30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wyborze pakietu assistance, który działa jako rozszerzenie obowiązkowego ubezpieczenia OC lub </w:t>
      </w:r>
      <w:r w:rsidRPr="00A92EA1">
        <w:rPr>
          <w:sz w:val="22"/>
          <w:szCs w:val="22"/>
        </w:rPr>
        <w:t>dobrowolnego autocasco (AC), należy</w:t>
      </w:r>
      <w:r w:rsidR="007E0B2D" w:rsidRPr="00A92EA1">
        <w:rPr>
          <w:sz w:val="22"/>
          <w:szCs w:val="22"/>
        </w:rPr>
        <w:t xml:space="preserve"> w pierwszej kolejności</w:t>
      </w:r>
      <w:r w:rsidRPr="00A92EA1">
        <w:rPr>
          <w:sz w:val="22"/>
          <w:szCs w:val="22"/>
        </w:rPr>
        <w:t xml:space="preserve"> kierować się zakresem ochrony. O ile </w:t>
      </w:r>
      <w:r w:rsidR="003D49F3" w:rsidRPr="00A92EA1">
        <w:rPr>
          <w:sz w:val="22"/>
          <w:szCs w:val="22"/>
        </w:rPr>
        <w:t xml:space="preserve">usprawnienie </w:t>
      </w:r>
      <w:r w:rsidRPr="00A92EA1">
        <w:rPr>
          <w:sz w:val="22"/>
          <w:szCs w:val="22"/>
        </w:rPr>
        <w:t xml:space="preserve">motocykla </w:t>
      </w:r>
      <w:r w:rsidR="007B5274" w:rsidRPr="00A92EA1">
        <w:rPr>
          <w:sz w:val="22"/>
          <w:szCs w:val="22"/>
        </w:rPr>
        <w:t xml:space="preserve">na miejscu zdarzenia po wypadku </w:t>
      </w:r>
      <w:r w:rsidR="00A92EA1" w:rsidRPr="00A92EA1">
        <w:rPr>
          <w:sz w:val="22"/>
          <w:szCs w:val="22"/>
        </w:rPr>
        <w:t xml:space="preserve">mieści się </w:t>
      </w:r>
      <w:r w:rsidR="00F46B53">
        <w:rPr>
          <w:sz w:val="22"/>
          <w:szCs w:val="22"/>
        </w:rPr>
        <w:t>zazwyczaj</w:t>
      </w:r>
      <w:r w:rsidRPr="00A92EA1">
        <w:rPr>
          <w:sz w:val="22"/>
          <w:szCs w:val="22"/>
        </w:rPr>
        <w:t xml:space="preserve"> </w:t>
      </w:r>
      <w:r w:rsidR="00A92EA1" w:rsidRPr="00A92EA1">
        <w:rPr>
          <w:sz w:val="22"/>
          <w:szCs w:val="22"/>
        </w:rPr>
        <w:t>w</w:t>
      </w:r>
      <w:r w:rsidRPr="00A92EA1">
        <w:rPr>
          <w:sz w:val="22"/>
          <w:szCs w:val="22"/>
        </w:rPr>
        <w:t xml:space="preserve"> bazowym wariancie ochrony, to </w:t>
      </w:r>
      <w:r w:rsidR="007B5274" w:rsidRPr="00A92EA1">
        <w:rPr>
          <w:sz w:val="22"/>
          <w:szCs w:val="22"/>
        </w:rPr>
        <w:t xml:space="preserve">inne zdarzenia oraz </w:t>
      </w:r>
      <w:r w:rsidRPr="00A92EA1">
        <w:rPr>
          <w:sz w:val="22"/>
          <w:szCs w:val="22"/>
        </w:rPr>
        <w:t>optymalny zasięg holowania</w:t>
      </w:r>
      <w:r w:rsidR="007B5274" w:rsidRPr="00A92EA1">
        <w:rPr>
          <w:sz w:val="22"/>
          <w:szCs w:val="22"/>
        </w:rPr>
        <w:t xml:space="preserve"> wymaga</w:t>
      </w:r>
      <w:r w:rsidR="00A92EA1" w:rsidRPr="00A92EA1">
        <w:rPr>
          <w:sz w:val="22"/>
          <w:szCs w:val="22"/>
        </w:rPr>
        <w:t>ją</w:t>
      </w:r>
      <w:r w:rsidRPr="00A92EA1">
        <w:rPr>
          <w:sz w:val="22"/>
          <w:szCs w:val="22"/>
        </w:rPr>
        <w:t xml:space="preserve"> rozszerzone</w:t>
      </w:r>
      <w:r w:rsidR="00DC68B6" w:rsidRPr="00A92EA1">
        <w:rPr>
          <w:sz w:val="22"/>
          <w:szCs w:val="22"/>
        </w:rPr>
        <w:t>j usługi</w:t>
      </w:r>
      <w:r w:rsidRPr="00A92EA1">
        <w:rPr>
          <w:sz w:val="22"/>
          <w:szCs w:val="22"/>
        </w:rPr>
        <w:t>.</w:t>
      </w:r>
    </w:p>
    <w:p w14:paraId="43B90EF3" w14:textId="77777777" w:rsidR="00EE1F30" w:rsidRPr="00A92EA1" w:rsidRDefault="00EE1F30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E32BF8D" w14:textId="6D4464F5" w:rsidR="00EE1F30" w:rsidRDefault="00EE1F30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92EA1">
        <w:rPr>
          <w:b/>
          <w:bCs/>
          <w:sz w:val="22"/>
          <w:szCs w:val="22"/>
        </w:rPr>
        <w:t>-</w:t>
      </w:r>
      <w:r w:rsidRPr="00A92EA1">
        <w:rPr>
          <w:sz w:val="22"/>
          <w:szCs w:val="22"/>
        </w:rPr>
        <w:t xml:space="preserve"> </w:t>
      </w:r>
      <w:r w:rsidRPr="00A92EA1">
        <w:rPr>
          <w:i/>
          <w:iCs/>
          <w:sz w:val="22"/>
          <w:szCs w:val="22"/>
        </w:rPr>
        <w:t>Podstawowy zakres wsparcia obejmuje np. holowanie tylko do najbliższego warsztat</w:t>
      </w:r>
      <w:r w:rsidR="00A92EA1" w:rsidRPr="00A92EA1">
        <w:rPr>
          <w:i/>
          <w:iCs/>
          <w:sz w:val="22"/>
          <w:szCs w:val="22"/>
        </w:rPr>
        <w:t>u</w:t>
      </w:r>
      <w:r w:rsidR="00C1437B" w:rsidRPr="00A92EA1">
        <w:rPr>
          <w:i/>
          <w:iCs/>
          <w:sz w:val="22"/>
          <w:szCs w:val="22"/>
        </w:rPr>
        <w:t xml:space="preserve"> po wypadku</w:t>
      </w:r>
      <w:r w:rsidRPr="00A92EA1">
        <w:rPr>
          <w:i/>
          <w:iCs/>
          <w:sz w:val="22"/>
          <w:szCs w:val="22"/>
        </w:rPr>
        <w:t>, a</w:t>
      </w:r>
      <w:r w:rsidR="00A92EA1">
        <w:rPr>
          <w:i/>
          <w:iCs/>
          <w:sz w:val="22"/>
          <w:szCs w:val="22"/>
        </w:rPr>
        <w:t> </w:t>
      </w:r>
      <w:r w:rsidR="00347748" w:rsidRPr="00A92EA1">
        <w:rPr>
          <w:i/>
          <w:iCs/>
          <w:sz w:val="22"/>
          <w:szCs w:val="22"/>
        </w:rPr>
        <w:t xml:space="preserve">dopiero </w:t>
      </w:r>
      <w:r w:rsidRPr="00A92EA1">
        <w:rPr>
          <w:i/>
          <w:iCs/>
          <w:sz w:val="22"/>
          <w:szCs w:val="22"/>
        </w:rPr>
        <w:t>rozszerzony do dowolnego miejsca oddalonego nawet o 1,5</w:t>
      </w:r>
      <w:r w:rsidR="00347748" w:rsidRPr="00A92EA1">
        <w:rPr>
          <w:i/>
          <w:iCs/>
          <w:sz w:val="22"/>
          <w:szCs w:val="22"/>
        </w:rPr>
        <w:t xml:space="preserve"> tys.</w:t>
      </w:r>
      <w:r w:rsidRPr="00A92EA1">
        <w:rPr>
          <w:i/>
          <w:iCs/>
          <w:sz w:val="22"/>
          <w:szCs w:val="22"/>
        </w:rPr>
        <w:t xml:space="preserve"> km. Warto także przyjrzeć się takim elementom assistance jak specjalistyczne wsparcie na autostradzie</w:t>
      </w:r>
      <w:r>
        <w:rPr>
          <w:i/>
          <w:iCs/>
          <w:sz w:val="22"/>
          <w:szCs w:val="22"/>
        </w:rPr>
        <w:t>, dowóz paliwa, wymiana koła lub ogumienia, a także pojazd zastępczy</w:t>
      </w:r>
      <w:r w:rsidR="00A92EA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 dodaje</w:t>
      </w:r>
      <w:r w:rsidR="00D278B2">
        <w:rPr>
          <w:sz w:val="22"/>
          <w:szCs w:val="22"/>
        </w:rPr>
        <w:t xml:space="preserve"> Damian Andruszkiewicz</w:t>
      </w:r>
      <w:r>
        <w:rPr>
          <w:sz w:val="22"/>
          <w:szCs w:val="22"/>
        </w:rPr>
        <w:t xml:space="preserve"> z Compensy.</w:t>
      </w:r>
    </w:p>
    <w:p w14:paraId="177A61CC" w14:textId="77777777" w:rsidR="00EE1F30" w:rsidRDefault="00EE1F30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704E15B" w14:textId="15205BE2" w:rsidR="00EE1F30" w:rsidRDefault="002C4E8C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 ważne w kontekście zbliżającego się sezonu zagranicznych podróży motocyklowych, </w:t>
      </w:r>
      <w:r w:rsidRPr="002C4E8C">
        <w:rPr>
          <w:sz w:val="22"/>
          <w:szCs w:val="22"/>
        </w:rPr>
        <w:t xml:space="preserve">assistance nie ogranicza się tylko do Polski. Ochrona obejmuje </w:t>
      </w:r>
      <w:r>
        <w:rPr>
          <w:sz w:val="22"/>
          <w:szCs w:val="22"/>
        </w:rPr>
        <w:t xml:space="preserve">pomoc także na terytorium większości </w:t>
      </w:r>
      <w:r w:rsidRPr="002C4E8C">
        <w:rPr>
          <w:sz w:val="22"/>
          <w:szCs w:val="22"/>
        </w:rPr>
        <w:t xml:space="preserve">europejskich </w:t>
      </w:r>
      <w:r>
        <w:rPr>
          <w:sz w:val="22"/>
          <w:szCs w:val="22"/>
        </w:rPr>
        <w:t>krajów. To wszystkie państwa członkowskie Un</w:t>
      </w:r>
      <w:r w:rsidRPr="002C4E8C">
        <w:rPr>
          <w:sz w:val="22"/>
          <w:szCs w:val="22"/>
        </w:rPr>
        <w:t xml:space="preserve">ii Europejskiej, ale również </w:t>
      </w:r>
      <w:r>
        <w:rPr>
          <w:sz w:val="22"/>
          <w:szCs w:val="22"/>
        </w:rPr>
        <w:t xml:space="preserve">np. Wielka Brytania, </w:t>
      </w:r>
      <w:r w:rsidRPr="002C4E8C">
        <w:rPr>
          <w:sz w:val="22"/>
          <w:szCs w:val="22"/>
        </w:rPr>
        <w:t>Norwegia</w:t>
      </w:r>
      <w:r>
        <w:rPr>
          <w:sz w:val="22"/>
          <w:szCs w:val="22"/>
        </w:rPr>
        <w:t>, Szwajcaria czy bałkańskie Albania, Czarnogóra, Bośnia i Hercegowina i Macedonia Północna</w:t>
      </w:r>
      <w:r w:rsidRPr="002C4E8C">
        <w:rPr>
          <w:sz w:val="22"/>
          <w:szCs w:val="22"/>
        </w:rPr>
        <w:t>.</w:t>
      </w:r>
    </w:p>
    <w:p w14:paraId="46043E97" w14:textId="77777777" w:rsidR="002C4E8C" w:rsidRDefault="002C4E8C" w:rsidP="008C725E">
      <w:pPr>
        <w:pStyle w:val="text-body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68C91FF" w14:textId="53406571" w:rsidR="002C4E8C" w:rsidRPr="00D278B2" w:rsidRDefault="002C4E8C" w:rsidP="002C4E8C">
      <w:pPr>
        <w:pStyle w:val="text-body"/>
        <w:spacing w:before="0" w:beforeAutospacing="0" w:after="0" w:afterAutospacing="0" w:line="276" w:lineRule="auto"/>
        <w:jc w:val="right"/>
        <w:rPr>
          <w:sz w:val="22"/>
          <w:szCs w:val="22"/>
          <w:lang w:val="en-US"/>
        </w:rPr>
      </w:pPr>
      <w:r w:rsidRPr="00D278B2">
        <w:rPr>
          <w:sz w:val="22"/>
          <w:szCs w:val="22"/>
          <w:lang w:val="en-US"/>
        </w:rPr>
        <w:t>Źródło: Compensa TU SA Vienna Insurance Group</w:t>
      </w:r>
    </w:p>
    <w:p w14:paraId="02BE76BE" w14:textId="77777777" w:rsidR="007A7B8D" w:rsidRPr="00D278B2" w:rsidRDefault="007A7B8D" w:rsidP="008C72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sectPr w:rsidR="007A7B8D" w:rsidRPr="00D2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D1A"/>
    <w:multiLevelType w:val="hybridMultilevel"/>
    <w:tmpl w:val="D8BC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163C"/>
    <w:multiLevelType w:val="hybridMultilevel"/>
    <w:tmpl w:val="434A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4144">
    <w:abstractNumId w:val="0"/>
  </w:num>
  <w:num w:numId="2" w16cid:durableId="184983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8D"/>
    <w:rsid w:val="000739AC"/>
    <w:rsid w:val="000D71E9"/>
    <w:rsid w:val="00137974"/>
    <w:rsid w:val="001C183E"/>
    <w:rsid w:val="002255A1"/>
    <w:rsid w:val="00264B38"/>
    <w:rsid w:val="002C4E8C"/>
    <w:rsid w:val="002E3D2B"/>
    <w:rsid w:val="002F4EB8"/>
    <w:rsid w:val="00347748"/>
    <w:rsid w:val="003818AD"/>
    <w:rsid w:val="003C795D"/>
    <w:rsid w:val="003D49F3"/>
    <w:rsid w:val="004C2B04"/>
    <w:rsid w:val="00506E8C"/>
    <w:rsid w:val="00551FA7"/>
    <w:rsid w:val="006B33E3"/>
    <w:rsid w:val="007A7B8D"/>
    <w:rsid w:val="007B5274"/>
    <w:rsid w:val="007E0B2D"/>
    <w:rsid w:val="0083146F"/>
    <w:rsid w:val="0086484B"/>
    <w:rsid w:val="008C725E"/>
    <w:rsid w:val="00946356"/>
    <w:rsid w:val="00A36F50"/>
    <w:rsid w:val="00A92EA1"/>
    <w:rsid w:val="00B405A7"/>
    <w:rsid w:val="00B7351E"/>
    <w:rsid w:val="00BE7CF2"/>
    <w:rsid w:val="00C1437B"/>
    <w:rsid w:val="00C1713E"/>
    <w:rsid w:val="00D278B2"/>
    <w:rsid w:val="00DC68B6"/>
    <w:rsid w:val="00DD0A37"/>
    <w:rsid w:val="00ED4A3A"/>
    <w:rsid w:val="00EE1F30"/>
    <w:rsid w:val="00F46B53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AB77"/>
  <w15:chartTrackingRefBased/>
  <w15:docId w15:val="{10365DC0-3E48-4032-A444-221F3CA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7B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7B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B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7B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7B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7B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7B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7B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7B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B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7B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B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7B8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7B8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7B8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7B8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7B8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7B8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7B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7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B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7B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7B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7B8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7B8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7B8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B8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7B8D"/>
    <w:rPr>
      <w:b/>
      <w:bCs/>
      <w:smallCaps/>
      <w:color w:val="0F4761" w:themeColor="accent1" w:themeShade="BF"/>
      <w:spacing w:val="5"/>
    </w:rPr>
  </w:style>
  <w:style w:type="paragraph" w:customStyle="1" w:styleId="text-body">
    <w:name w:val="text-body"/>
    <w:basedOn w:val="Normalny"/>
    <w:rsid w:val="007A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8314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8</cp:revision>
  <dcterms:created xsi:type="dcterms:W3CDTF">2024-03-25T11:57:00Z</dcterms:created>
  <dcterms:modified xsi:type="dcterms:W3CDTF">2024-03-25T14:02:00Z</dcterms:modified>
</cp:coreProperties>
</file>