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"/>
        <w:rPr>
          <w:b/>
          <w:bCs/>
        </w:rPr>
      </w:pPr>
      <w:r>
        <w:rPr>
          <w:b/>
          <w:bCs/>
        </w:rPr>
        <w:t>Kt</w:t>
      </w:r>
      <w:r>
        <w:rPr>
          <w:b/>
          <w:bCs/>
          <w:lang w:val="es-ES_tradnl"/>
        </w:rPr>
        <w:t>ó</w:t>
      </w:r>
      <w:r>
        <w:rPr>
          <w:b/>
          <w:bCs/>
        </w:rPr>
        <w:t>re zawody potrzebują dodatkowej ochrony medycznej?</w:t>
      </w:r>
    </w:p>
    <w:p>
      <w:pPr>
        <w:pStyle w:val="Tre"/>
        <w:rPr/>
      </w:pPr>
      <w:r>
        <w:rPr/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left"/>
        <w:rPr>
          <w:b/>
          <w:bCs/>
        </w:rPr>
      </w:pPr>
      <w:r>
        <w:rPr>
          <w:b/>
          <w:bCs/>
        </w:rPr>
        <w:t>Co miesiąc ponad 140 tys. Polak</w:t>
      </w:r>
      <w:r>
        <w:rPr>
          <w:b/>
          <w:bCs/>
          <w:lang w:val="es-ES_tradnl"/>
        </w:rPr>
        <w:t>ó</w:t>
      </w:r>
      <w:r>
        <w:rPr>
          <w:b/>
          <w:bCs/>
        </w:rPr>
        <w:t>w pobiera rentę z tytułu niezdolności do pracy w wyniku wypadku przy pracy czy choroby zawodowej.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left"/>
        <w:rPr>
          <w:b/>
          <w:bCs/>
        </w:rPr>
      </w:pPr>
      <w:r>
        <w:rPr>
          <w:b/>
          <w:bCs/>
        </w:rPr>
        <w:t>Najbardziej narażeni są pracownicy przemysłu, budownictwa i edukacji.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left"/>
        <w:rPr>
          <w:b/>
          <w:bCs/>
        </w:rPr>
      </w:pPr>
      <w:r>
        <w:rPr>
          <w:b/>
          <w:bCs/>
        </w:rPr>
        <w:t xml:space="preserve">Obowiązek zapobiegania chorobom zawodowym jest wpisany w szeroki zakres medycyny pracy. 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720" w:right="0" w:hanging="360"/>
        <w:jc w:val="left"/>
        <w:rPr>
          <w:b/>
          <w:bCs/>
        </w:rPr>
      </w:pPr>
      <w:r>
        <w:rPr>
          <w:b/>
          <w:bCs/>
        </w:rPr>
        <w:t>Bardzo istotna jest r</w:t>
      </w:r>
      <w:r>
        <w:rPr>
          <w:b/>
          <w:bCs/>
          <w:lang w:val="es-ES_tradnl"/>
        </w:rPr>
        <w:t>ó</w:t>
      </w:r>
      <w:r>
        <w:rPr>
          <w:b/>
          <w:bCs/>
        </w:rPr>
        <w:t>wnież opieka w momencie, gdy problem zostanie wykryty – szybkie podjęcie leczenia pozwala zminimalizować skutki choroby, dlatego pracodawcy chętnie sięgają po grupowe ubezpieczenia zdrowotne – korzysta z nich już 4,7 mln os</w:t>
      </w:r>
      <w:r>
        <w:rPr>
          <w:b/>
          <w:bCs/>
          <w:lang w:val="es-ES_tradnl"/>
        </w:rPr>
        <w:t>ó</w:t>
      </w:r>
      <w:r>
        <w:rPr>
          <w:b/>
          <w:bCs/>
        </w:rPr>
        <w:t>b.</w:t>
      </w:r>
    </w:p>
    <w:p>
      <w:pPr>
        <w:pStyle w:val="Tre"/>
        <w:rPr/>
      </w:pPr>
      <w:r>
        <w:rPr/>
      </w:r>
    </w:p>
    <w:p>
      <w:pPr>
        <w:pStyle w:val="Tre"/>
        <w:rPr/>
      </w:pPr>
      <w:r>
        <w:rPr/>
        <w:t>Choć liczba os</w:t>
      </w:r>
      <w:r>
        <w:rPr>
          <w:lang w:val="es-ES_tradnl"/>
        </w:rPr>
        <w:t>ó</w:t>
      </w:r>
      <w:r>
        <w:rPr/>
        <w:t>b pobierających rentę z tytułu niezdolności do pracy z powodu wypadk</w:t>
      </w:r>
      <w:r>
        <w:rPr>
          <w:lang w:val="es-ES_tradnl"/>
        </w:rPr>
        <w:t>ó</w:t>
      </w:r>
      <w:r>
        <w:rPr/>
        <w:t>w przy pracy lub chor</w:t>
      </w:r>
      <w:r>
        <w:rPr>
          <w:lang w:val="es-ES_tradnl"/>
        </w:rPr>
        <w:t>ó</w:t>
      </w:r>
      <w:r>
        <w:rPr/>
        <w:t>b zawodowych (tzw. renty wypadkowe) od kilku lat sukcesywnie maleje (o ok. 5% rocznie), to nadal z problemem boryka się ponad 140 tys. Polak</w:t>
      </w:r>
      <w:r>
        <w:rPr>
          <w:lang w:val="es-ES_tradnl"/>
        </w:rPr>
        <w:t>ó</w:t>
      </w:r>
      <w:r>
        <w:rPr/>
        <w:t xml:space="preserve">w – wskazują analizy Zakładu Ubezpieczeń </w:t>
      </w:r>
      <w:r>
        <w:rPr>
          <w:lang w:val="nl-NL"/>
        </w:rPr>
        <w:t>Spo</w:t>
      </w:r>
      <w:r>
        <w:rPr/>
        <w:t>łecznych (średnia miesięczna liczba rencist</w:t>
      </w:r>
      <w:r>
        <w:rPr>
          <w:lang w:val="es-ES_tradnl"/>
        </w:rPr>
        <w:t>ó</w:t>
      </w:r>
      <w:r>
        <w:rPr/>
        <w:t xml:space="preserve">w wypadkowych w 2022 r.). Jak na to powinni reagować pracodawcy? Przede wszystkim zapewniając skuteczną opiekę zdrowotną w ramach medycyny pracy – </w:t>
      </w:r>
      <w:r>
        <w:rPr>
          <w:lang w:val="it-IT"/>
        </w:rPr>
        <w:t>nale</w:t>
      </w:r>
      <w:r>
        <w:rPr/>
        <w:t>ży bowiem pamiętać, że ustawowo w jej definicję wpisana jest także dbałość o zapobieganie chorobom zawodowym. Drugim ważnym pytaniem jest: kt</w:t>
      </w:r>
      <w:r>
        <w:rPr>
          <w:lang w:val="es-ES_tradnl"/>
        </w:rPr>
        <w:t>ó</w:t>
      </w:r>
      <w:r>
        <w:rPr/>
        <w:t>rzy przedsiębiorcy powinni zwracać na to szczeg</w:t>
      </w:r>
      <w:r>
        <w:rPr>
          <w:lang w:val="es-ES_tradnl"/>
        </w:rPr>
        <w:t>ó</w:t>
      </w:r>
      <w:r>
        <w:rPr/>
        <w:t>lną uwagę? Tu podpowiedzią mogą być wspomniane raporty ZUS. Wynika z nich, że najwięcej rent wypadkowych w ostatnim okresie sprawozdawczym przyznano zatrudnionym w przemyśle (32,8% ogółu), budownictwie (20,3%), edukacji (11,7%), handlu i naprawach (8,8%) oraz transporcie i gospodarce magazynowej (8,5%). Jednak pełen obraz skali problemu otrzymamy dopiero, kiedy spojrzymy r</w:t>
      </w:r>
      <w:r>
        <w:rPr>
          <w:lang w:val="es-ES_tradnl"/>
        </w:rPr>
        <w:t>ó</w:t>
      </w:r>
      <w:r>
        <w:rPr/>
        <w:t>wnież na tzw. wskaźnik natężenia, czyli liczbę rent na tysiąc pracujących. W tym zestawieniu najwyższe miejsce zajmuje rolnictwo, łowiectwo, leśnictwo i rybactwo ze wskaźnikiem na poziomie 0,412. Na dalszym miejscach znajdują się budownictwo (0,257), przemysł (0,141), edukacja (0,133) oraz transport i gospodarka magazynowa (0,119)</w:t>
      </w:r>
      <w:r>
        <w:rPr>
          <w:rStyle w:val="Zakotwiczenieprzypisudolnego"/>
          <w:rFonts w:eastAsia="Tahoma" w:cs="Tahoma"/>
          <w:b w:val="false"/>
          <w:bCs w:val="false"/>
          <w:i w:val="false"/>
          <w:iCs w:val="false"/>
        </w:rPr>
        <w:footnoteReference w:id="2"/>
      </w:r>
      <w:r>
        <w:rPr/>
        <w:t xml:space="preserve">. </w:t>
      </w:r>
    </w:p>
    <w:p>
      <w:pPr>
        <w:pStyle w:val="Tre"/>
        <w:rPr/>
      </w:pPr>
      <w:r>
        <w:rPr/>
      </w:r>
    </w:p>
    <w:p>
      <w:pPr>
        <w:pStyle w:val="Tre"/>
        <w:rPr/>
      </w:pPr>
      <w:r>
        <w:rPr/>
        <w:t xml:space="preserve">– </w:t>
      </w:r>
      <w:r>
        <w:rPr/>
        <w:t>Analiza tych informacji jasno wskazuje, że branżami, w kt</w:t>
      </w:r>
      <w:r>
        <w:rPr>
          <w:lang w:val="es-ES_tradnl"/>
        </w:rPr>
        <w:t>ó</w:t>
      </w:r>
      <w:r>
        <w:rPr/>
        <w:t>rych zatrudnieni powinni mieć szczeg</w:t>
      </w:r>
      <w:r>
        <w:rPr>
          <w:lang w:val="es-ES_tradnl"/>
        </w:rPr>
        <w:t>ó</w:t>
      </w:r>
      <w:r>
        <w:rPr/>
        <w:t>lnie ułatwiony sprawny dostęp do pomocy medycznej, są przemysł, budownictwo i edukacja. Taki wynik nie powinien nikogo szczeg</w:t>
      </w:r>
      <w:r>
        <w:rPr>
          <w:lang w:val="es-ES_tradnl"/>
        </w:rPr>
        <w:t>ó</w:t>
      </w:r>
      <w:r>
        <w:rPr/>
        <w:t>lnie dziwić. W przypadku dw</w:t>
      </w:r>
      <w:r>
        <w:rPr>
          <w:lang w:val="es-ES_tradnl"/>
        </w:rPr>
        <w:t>ó</w:t>
      </w:r>
      <w:r>
        <w:rPr/>
        <w:t>ch pierwszych gałęzi gospodarki narodowej mamy do czynienia ze zwiększonym ryzykiem wypadk</w:t>
      </w:r>
      <w:r>
        <w:rPr>
          <w:lang w:val="es-ES_tradnl"/>
        </w:rPr>
        <w:t>ó</w:t>
      </w:r>
      <w:r>
        <w:rPr/>
        <w:t>w przy pracy o poważnych skutkach. Z kolei pracownicy sektora edukacji, a szczeg</w:t>
      </w:r>
      <w:r>
        <w:rPr>
          <w:lang w:val="es-ES_tradnl"/>
        </w:rPr>
        <w:t>ó</w:t>
      </w:r>
      <w:r>
        <w:rPr/>
        <w:t>lnie nauczyciele, są w niechlubnej czołówce os</w:t>
      </w:r>
      <w:r>
        <w:rPr>
          <w:lang w:val="es-ES_tradnl"/>
        </w:rPr>
        <w:t>ó</w:t>
      </w:r>
      <w:r>
        <w:rPr/>
        <w:t>b najczęściej zapadających na choroby zawodowe. Dlatego ich pracodawcy powinni dokł</w:t>
      </w:r>
      <w:r>
        <w:rPr>
          <w:lang w:val="es-ES_tradnl"/>
        </w:rPr>
        <w:t>ada</w:t>
      </w:r>
      <w:r>
        <w:rPr/>
        <w:t xml:space="preserve">ć wszelkich starań, żeby zapewnić im maksymalnie efektywny dostęp do profilaktyki zdrowotnej, ponieważ tylko dzięki regularnej kontroli stanu zdrowia można wykryć problem na wczesnym etapie i go zwalczyć – zaznacza Marcin Załęski, Dyrektor Działu Ubezpieczeń Zdrowotnych i Pracowniczych SALTUS Ubezpieczenia </w:t>
      </w:r>
    </w:p>
    <w:p>
      <w:pPr>
        <w:pStyle w:val="Tre"/>
        <w:rPr/>
      </w:pPr>
      <w:r>
        <w:rPr/>
      </w:r>
    </w:p>
    <w:p>
      <w:pPr>
        <w:pStyle w:val="Tre"/>
        <w:rPr>
          <w:b/>
          <w:bCs/>
        </w:rPr>
      </w:pPr>
      <w:r>
        <w:rPr>
          <w:b/>
          <w:bCs/>
        </w:rPr>
        <w:t>Pracodawcy stawiają na opiekę prywatnych przychodni</w:t>
      </w:r>
    </w:p>
    <w:p>
      <w:pPr>
        <w:pStyle w:val="Tre"/>
        <w:rPr/>
      </w:pPr>
      <w:r>
        <w:rPr/>
        <w:t>Grupowe ubezpieczenia zdrowotne czy abonamenty medyczne od lat cieszą się nieustającą popularnością nie tylko wśr</w:t>
      </w:r>
      <w:r>
        <w:rPr>
          <w:lang w:val="es-ES_tradnl"/>
        </w:rPr>
        <w:t>ó</w:t>
      </w:r>
      <w:r>
        <w:rPr/>
        <w:t>d pracownik</w:t>
      </w:r>
      <w:r>
        <w:rPr>
          <w:lang w:val="es-ES_tradnl"/>
        </w:rPr>
        <w:t>ó</w:t>
      </w:r>
      <w:r>
        <w:rPr/>
        <w:t>w, ale r</w:t>
      </w:r>
      <w:r>
        <w:rPr>
          <w:lang w:val="es-ES_tradnl"/>
        </w:rPr>
        <w:t>ó</w:t>
      </w:r>
      <w:r>
        <w:rPr/>
        <w:t>wnież pracodawc</w:t>
      </w:r>
      <w:r>
        <w:rPr>
          <w:lang w:val="es-ES_tradnl"/>
        </w:rPr>
        <w:t>ó</w:t>
      </w:r>
      <w:r>
        <w:rPr/>
        <w:t>w. Wynika to z faktu, że nie jest to wyłącznie atrakcyjny benefit pozapłacowy, kt</w:t>
      </w:r>
      <w:r>
        <w:rPr>
          <w:lang w:val="es-ES_tradnl"/>
        </w:rPr>
        <w:t>ó</w:t>
      </w:r>
      <w:r>
        <w:rPr/>
        <w:t>ry wpływa na zadowolenie z warunk</w:t>
      </w:r>
      <w:r>
        <w:rPr>
          <w:lang w:val="es-ES_tradnl"/>
        </w:rPr>
        <w:t>ó</w:t>
      </w:r>
      <w:r>
        <w:rPr/>
        <w:t>w pracy, ale r</w:t>
      </w:r>
      <w:r>
        <w:rPr>
          <w:lang w:val="es-ES_tradnl"/>
        </w:rPr>
        <w:t>ó</w:t>
      </w:r>
      <w:r>
        <w:rPr/>
        <w:t>wnież ważne narzędzie z perspektywy medycyny pracy i szeroko pojętej dbałości o dobrostan pracownik</w:t>
      </w:r>
      <w:r>
        <w:rPr>
          <w:lang w:val="es-ES_tradnl"/>
        </w:rPr>
        <w:t>ó</w:t>
      </w:r>
      <w:r>
        <w:rPr/>
        <w:t>w, kt</w:t>
      </w:r>
      <w:r>
        <w:rPr>
          <w:lang w:val="es-ES_tradnl"/>
        </w:rPr>
        <w:t>ó</w:t>
      </w:r>
      <w:r>
        <w:rPr/>
        <w:t>re mają istotny wpływ na funkcjonowanie przedsiębiorstwa. O niesłabnącym zainteresowaniu ofertą rynku ubezpieczeń i prywatnych usług medycznych świadczą między innymi raporty Polskiej Izby Ubezpieczeń</w:t>
      </w:r>
      <w:r>
        <w:rPr>
          <w:lang w:val="en-US"/>
        </w:rPr>
        <w:t>. Wed</w:t>
      </w:r>
      <w:r>
        <w:rPr/>
        <w:t>ług opublikowanych przez nią w styczniu informacji pod koniec III kwartału zeszłego roku z ochrony dodatkowych ubezpieczeń zdrowotnych korzystało blisko 4,7 mln Polak</w:t>
      </w:r>
      <w:r>
        <w:rPr>
          <w:lang w:val="es-ES_tradnl"/>
        </w:rPr>
        <w:t>ó</w:t>
      </w:r>
      <w:r>
        <w:rPr/>
        <w:t>w, czyli prawie 15% więcej niż rok wcześniej.</w:t>
      </w:r>
    </w:p>
    <w:p>
      <w:pPr>
        <w:pStyle w:val="Tre"/>
        <w:rPr/>
      </w:pPr>
      <w:r>
        <w:rPr/>
      </w:r>
    </w:p>
    <w:p>
      <w:pPr>
        <w:pStyle w:val="Tre"/>
        <w:rPr/>
      </w:pPr>
      <w:r>
        <w:rPr/>
        <w:t xml:space="preserve">– </w:t>
      </w:r>
      <w:r>
        <w:rPr/>
        <w:t>Pracodawcy od lat chętnie sięgają po grupowe ubezpieczenia zdrowotne, ponieważ zdają sobie sprawę, jak istotną rolę mogą one odegrać w życiu firmy. Wysokie zainteresowanie ofertą rynku ubezpieczeń wynika też z faktu, że jest ona nieustannie modyfikowana. Pojawiają się nowe warianty polis grupowych, a co szczeg</w:t>
      </w:r>
      <w:r>
        <w:rPr>
          <w:lang w:val="es-ES_tradnl"/>
        </w:rPr>
        <w:t>ó</w:t>
      </w:r>
      <w:r>
        <w:rPr/>
        <w:t>lnie istotne z punktu widzenia pracodawc</w:t>
      </w:r>
      <w:r>
        <w:rPr>
          <w:lang w:val="es-ES_tradnl"/>
        </w:rPr>
        <w:t>ó</w:t>
      </w:r>
      <w:r>
        <w:rPr/>
        <w:t>w – coraz bogatsza jest oferta różnego rodzaju program</w:t>
      </w:r>
      <w:r>
        <w:rPr>
          <w:lang w:val="es-ES_tradnl"/>
        </w:rPr>
        <w:t>ó</w:t>
      </w:r>
      <w:r>
        <w:rPr/>
        <w:t>w profilaktycznych, o kt</w:t>
      </w:r>
      <w:r>
        <w:rPr>
          <w:lang w:val="es-ES_tradnl"/>
        </w:rPr>
        <w:t>ó</w:t>
      </w:r>
      <w:r>
        <w:rPr>
          <w:lang w:val="en-US"/>
        </w:rPr>
        <w:t>re mo</w:t>
      </w:r>
      <w:r>
        <w:rPr/>
        <w:t>żna uzupełnić podstawową umowę ubezpieczenia. To pozwala ściśle dopasować zakres świadczeń medycznych do potrzeb zdrowotnych pracownik</w:t>
      </w:r>
      <w:r>
        <w:rPr>
          <w:lang w:val="es-ES_tradnl"/>
        </w:rPr>
        <w:t>ó</w:t>
      </w:r>
      <w:r>
        <w:rPr/>
        <w:t>w, a więc zapobiegać m.in. chorobom zawodowym – dodaje Marcin Załęski z SALTUS Ubezpieczenia.</w:t>
      </w:r>
    </w:p>
    <w:p>
      <w:pPr>
        <w:pStyle w:val="Tre"/>
        <w:rPr/>
      </w:pPr>
      <w:r>
        <w:rPr/>
      </w:r>
    </w:p>
    <w:p>
      <w:pPr>
        <w:pStyle w:val="Tre"/>
        <w:rPr>
          <w:b/>
          <w:bCs/>
        </w:rPr>
      </w:pPr>
      <w:r>
        <w:rPr>
          <w:b/>
          <w:bCs/>
        </w:rPr>
        <w:t>Co uwzględniać wybierając ubezpieczenie grupowe?</w:t>
      </w:r>
    </w:p>
    <w:p>
      <w:pPr>
        <w:pStyle w:val="Tre"/>
        <w:rPr/>
      </w:pPr>
      <w:r>
        <w:rPr/>
        <w:t>Dwoma podstawowymi czynnikami, na kt</w:t>
      </w:r>
      <w:r>
        <w:rPr>
          <w:lang w:val="es-ES_tradnl"/>
        </w:rPr>
        <w:t>ó</w:t>
      </w:r>
      <w:r>
        <w:rPr/>
        <w:t>re pracodawcy patrzą przy okazji wybierania ubezpieczenia, są: zakres świadczeń oraz lista plac</w:t>
      </w:r>
      <w:r>
        <w:rPr>
          <w:lang w:val="es-ES_tradnl"/>
        </w:rPr>
        <w:t>ó</w:t>
      </w:r>
      <w:r>
        <w:rPr/>
        <w:t>wek, w kt</w:t>
      </w:r>
      <w:r>
        <w:rPr>
          <w:lang w:val="es-ES_tradnl"/>
        </w:rPr>
        <w:t>ó</w:t>
      </w:r>
      <w:r>
        <w:rPr/>
        <w:t>rych pracownicy będą mogli otrzymać pomoc. Wiadomo, że im oba elementy mają więcej pozycji, tym lepiej, ale nie zawsze. Dlaczego? Po pierwsze świadczenia powinny być dobrane do realnych potrzeb pracownik</w:t>
      </w:r>
      <w:r>
        <w:rPr>
          <w:lang w:val="es-ES_tradnl"/>
        </w:rPr>
        <w:t>ó</w:t>
      </w:r>
      <w:r>
        <w:rPr/>
        <w:t>w (m.in. z uwagi na wiek) i ewentualnych problem</w:t>
      </w:r>
      <w:r>
        <w:rPr>
          <w:lang w:val="es-ES_tradnl"/>
        </w:rPr>
        <w:t>ó</w:t>
      </w:r>
      <w:r>
        <w:rPr/>
        <w:t>w zdrowotnych, z kt</w:t>
      </w:r>
      <w:r>
        <w:rPr>
          <w:lang w:val="es-ES_tradnl"/>
        </w:rPr>
        <w:t>ó</w:t>
      </w:r>
      <w:r>
        <w:rPr/>
        <w:t>rymi mogą się zmierzyć (w tym do chor</w:t>
      </w:r>
      <w:r>
        <w:rPr>
          <w:lang w:val="es-ES_tradnl"/>
        </w:rPr>
        <w:t>ó</w:t>
      </w:r>
      <w:r>
        <w:rPr/>
        <w:t>b zawodowych, kt</w:t>
      </w:r>
      <w:r>
        <w:rPr>
          <w:lang w:val="es-ES_tradnl"/>
        </w:rPr>
        <w:t>ó</w:t>
      </w:r>
      <w:r>
        <w:rPr/>
        <w:t>re im zagrażają). Po drugie, plac</w:t>
      </w:r>
      <w:r>
        <w:rPr>
          <w:lang w:val="es-ES_tradnl"/>
        </w:rPr>
        <w:t>ó</w:t>
      </w:r>
      <w:r>
        <w:rPr/>
        <w:t>wki w kt</w:t>
      </w:r>
      <w:r>
        <w:rPr>
          <w:lang w:val="es-ES_tradnl"/>
        </w:rPr>
        <w:t>ó</w:t>
      </w:r>
      <w:r>
        <w:rPr/>
        <w:t>rych mogą skorzystać z pomocy powinny być blisko miejsca zamieszkania pracownik</w:t>
      </w:r>
      <w:r>
        <w:rPr>
          <w:lang w:val="es-ES_tradnl"/>
        </w:rPr>
        <w:t>ó</w:t>
      </w:r>
      <w:r>
        <w:rPr/>
        <w:t>w albo siedziby firmy. Na koniec warto r</w:t>
      </w:r>
      <w:r>
        <w:rPr>
          <w:lang w:val="es-ES_tradnl"/>
        </w:rPr>
        <w:t>ó</w:t>
      </w:r>
      <w:r>
        <w:rPr/>
        <w:t>wnież zwr</w:t>
      </w:r>
      <w:r>
        <w:rPr>
          <w:lang w:val="es-ES_tradnl"/>
        </w:rPr>
        <w:t>ó</w:t>
      </w:r>
      <w:r>
        <w:rPr/>
        <w:t>cić uwagę, czy ubezpieczyciel oferuje możliwość refundacji świadczeń poza siecią jego plac</w:t>
      </w:r>
      <w:r>
        <w:rPr>
          <w:lang w:val="es-ES_tradnl"/>
        </w:rPr>
        <w:t>ó</w:t>
      </w:r>
      <w:r>
        <w:rPr/>
        <w:t>wek partnerskich. W końcu część z nas leczy się od lat u tych samych lekarzy lub w konkretnych przychodniach i nie chce ich zmieniać.</w:t>
      </w:r>
    </w:p>
    <w:p>
      <w:pPr>
        <w:pStyle w:val="Tre"/>
        <w:rPr/>
      </w:pPr>
      <w:r>
        <w:rPr/>
      </w:r>
    </w:p>
    <w:p>
      <w:pPr>
        <w:pStyle w:val="Tre"/>
        <w:rPr/>
      </w:pPr>
      <w:r>
        <w:rPr/>
      </w:r>
    </w:p>
    <w:p>
      <w:pPr>
        <w:pStyle w:val="Tre"/>
        <w:rPr/>
      </w:pPr>
      <w:r>
        <w:rPr/>
      </w:r>
    </w:p>
    <w:p>
      <w:pPr>
        <w:pStyle w:val="Tre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Helvetica Neue">
    <w:charset w:val="01"/>
    <w:family w:val="swiss"/>
    <w:pitch w:val="default"/>
  </w:font>
  <w:font w:name="Arial Unicode M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istopka"/>
      <w:bidi w:val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ind w:left="142" w:right="0" w:hanging="142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>
          <w:sz w:val="14"/>
          <w:szCs w:val="14"/>
        </w:rPr>
        <w:t>Renty z tytułu niezdolności do pracy oraz renty rodzinne przyznane w 2022 roku z powodu wypadk</w:t>
      </w:r>
      <w:r>
        <w:rPr>
          <w:sz w:val="14"/>
          <w:szCs w:val="14"/>
          <w:lang w:val="es-ES_tradnl"/>
        </w:rPr>
        <w:t>ó</w:t>
      </w:r>
      <w:r>
        <w:rPr>
          <w:sz w:val="14"/>
          <w:szCs w:val="14"/>
        </w:rPr>
        <w:t>w przy pracy i chor</w:t>
      </w:r>
      <w:r>
        <w:rPr>
          <w:sz w:val="14"/>
          <w:szCs w:val="14"/>
          <w:lang w:val="es-ES_tradnl"/>
        </w:rPr>
        <w:t>ó</w:t>
      </w:r>
      <w:r>
        <w:rPr>
          <w:sz w:val="14"/>
          <w:szCs w:val="14"/>
        </w:rPr>
        <w:t xml:space="preserve">b zawodowych, Zakład Ubezpieczeń </w:t>
      </w:r>
      <w:r>
        <w:rPr>
          <w:sz w:val="14"/>
          <w:szCs w:val="14"/>
          <w:lang w:val="nl-NL"/>
        </w:rPr>
        <w:t>Spo</w:t>
      </w:r>
      <w:r>
        <w:rPr>
          <w:sz w:val="14"/>
          <w:szCs w:val="14"/>
        </w:rPr>
        <w:t>łecznych, Warszawa 2023.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istopka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trackRevision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Hyperlink"/>
    <w:rPr>
      <w:u w:val="single" w:color="FFFFFF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Numeracjawierszy">
    <w:name w:val="Line Number"/>
    <w:rPr/>
  </w:style>
  <w:style w:type="character" w:styleId="Znakiprzypiswkocowych">
    <w:name w:val="Znaki przypisów końcowych"/>
    <w:qFormat/>
    <w:rPr/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ahoma" w:hAnsi="Tahoma" w:eastAsia="Microsoft YaHei" w:cs="Lucida Sans"/>
      <w:sz w:val="24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ahoma" w:hAnsi="Tahoma"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 w:val="20"/>
      <w:szCs w:val="24"/>
    </w:rPr>
  </w:style>
  <w:style w:type="paragraph" w:styleId="Indeks">
    <w:name w:val="Indeks"/>
    <w:basedOn w:val="Normal"/>
    <w:qFormat/>
    <w:pPr>
      <w:suppressLineNumbers/>
    </w:pPr>
    <w:rPr>
      <w:rFonts w:ascii="Tahoma" w:hAnsi="Tahoma" w:cs="Lucida Sans"/>
    </w:rPr>
  </w:style>
  <w:style w:type="paragraph" w:styleId="Nagwekistopka">
    <w:name w:val="Nagłówek i stopka"/>
    <w:qFormat/>
    <w:pPr>
      <w:keepNext w:val="false"/>
      <w:keepLines w:val="false"/>
      <w:pageBreakBefore w:val="false"/>
      <w:widowControl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Tre">
    <w:name w:val="Treść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ahoma" w:hAnsi="Tahom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shd w:fill="auto" w:val="clear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Paragraph">
    <w:name w:val="List Paragraph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Autospacing="0" w:before="0" w:afterAutospacing="0" w:after="0"/>
      <w:ind w:left="720" w:right="0" w:hanging="0"/>
      <w:jc w:val="left"/>
    </w:pPr>
    <w:rPr>
      <w:rFonts w:ascii="Tahoma" w:hAnsi="Tahom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shd w:fill="auto" w:val="clear"/>
      <w:vertAlign w:val="baseline"/>
      <w:lang w:val="pl-PL" w:eastAsia="zh-CN" w:bidi="hi-IN"/>
      <w14:textFill>
        <w14:solidFill>
          <w14:srgbClr w14:val="000000"/>
        </w14:solidFill>
      </w14:textFill>
    </w:rPr>
  </w:style>
  <w:style w:type="paragraph" w:styleId="Przypisdolny">
    <w:name w:val="Footnote Text"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shd w:fill="auto" w:val="clear"/>
      <w:vertAlign w:val="baseline"/>
      <w:lang w:val="pl-PL" w:eastAsia="zh-CN" w:bidi="hi-IN"/>
      <w14:textFill>
        <w14:solidFill>
          <w14:srgbClr w14:val="000000"/>
        </w14:solidFill>
      </w14:textFill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qFormat/>
  </w:style>
  <w:style w:type="numbering" w:styleId="Zaimportowanystyl1">
    <w:name w:val="Zaimportowany styl 1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LibreOffice/7.5.5.2$Windows_X86_64 LibreOffice_project/ca8fe7424262805f223b9a2334bc7181abbcbf5e</Application>
  <AppVersion>15.0000</AppVersion>
  <Pages>2</Pages>
  <Words>741</Words>
  <Characters>4722</Characters>
  <CharactersWithSpaces>5459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2024-03-27T10:15:30Z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