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10.04.2024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Koszyki niespodzianki już w Polsce! Carrefour uruchamia sprzedaż produktów non-food przecenionych nawet o 90%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Carrefour, jako jedna z pierwszych sieci handlowych w Polsce, uruchamia akcję koszyków niespodzianek. Już w najbliższy piątek 12 kwietnia, w 20 hipermarketach sieci pojawią się koszyki wypełnione produktami z kategorii non-food o minimalnej wartości od 600 zł do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nawet półtora tysiąca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złotyc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h, które będzie można kupić już za 150 złotych. Przed zakupem klienci nie będą mogli jednak poznać ich zawartości, ponieważ będą one szczelnie zafoliowane.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Już w najbliższy piątek (12.04) klienci 20 wybranych hipermarketów Carrefour, zlokalizowanych m.in. w Krakowie, Warszawie, Łodzi, Toruniu czy Gdańsku, będą mogli skorzystać z wyjątkowo atrakcyjnej promocji. Wszystko za sprawą trendu, który sieć przeniosła z Francji do Polski. Chodzi o koszyki niespodzianki, w których Carrefour umieści różne produkty z kategorii non-food, a następnie szczelnie je zafoliuje tak, aby potencjalnie zainteresowani klienci nie mogli zobaczyć co się w nich znajduje. 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Wartość towarów w koszykach niespodziankach będzie się wahać od 600 do nawet ponad 1500 złotych, jednak za każdy taki koszyk klient zapłaci dokładnie 150 złotych. To jedna z pierwszych tego typu akcji w Polsce, która rozpocznie się już w najbliższy piątek od godziny 12:00 i potrwa aż do wyczerpania wózków. Sieć planuje cykliczne organizowanie tego typu akcji w swoich sklepach, rozszerzając asortyment o kolejne kategorie produktowe.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od lat słynie z ciekawych i niestandardowych akcji marketingowych oraz bardzo głębokich promocji. Przeniesienie akcji koszyków niespodzianek z Francji do Polski to kolejny przykład takich działań. Każdy z 20 sklepów biorących udział w naszej akcji indywidualnie dobiera produkty do koszyków i w każdym z nich będą się one różniły. Już teraz mogę zdradzić, że znajdą się w nich m.in.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sprzęt RTV,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produkty małego AGD, meble, dekoracje domu, zabawki, sprzęt sportowy i wiele wiele innych. Mamy przygotowane koszyki, których wartość wynosi nawet grubo ponad 1500 złotych, ale nie mniej niż 600 złotych, a każdy z nich zaoferujemy klientom za 150 złotych.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Takie zakupy to czysty zysk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ale to jeszcze nie koniec naszej akcji, bo już za chwilę uruchomimy kolejne wariacje koszyków niespodzianek -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mówi Sylwester Mroczek, Menedżer Działu Rozwoju Formatów i Konceptów Handlowych w Carrefour Polska. 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Koszyki dostępne w 20 hipermarketach Carrefour w całej Polsce możliwe będą do kupienia od piątku 12 kwietnia od godziny 12:00. W każdym ze sklepów sieci stanie 10 tajemniczych wózków, na których przyklejona będzie informacja o cenie nominalnej produktów.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