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D23" w14:textId="77777777" w:rsidR="005E47EA" w:rsidRPr="00755580" w:rsidRDefault="005E47EA" w:rsidP="00755580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555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Czy księgowi ubezpieczają się na zbyt niskie sumy?</w:t>
      </w:r>
    </w:p>
    <w:p w14:paraId="64425E93" w14:textId="77777777" w:rsidR="0052730B" w:rsidRPr="00755580" w:rsidRDefault="0052730B" w:rsidP="00755580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BDB401" w14:textId="5C096E1B" w:rsidR="00674860" w:rsidRDefault="00674860" w:rsidP="0067486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Firmy k</w:t>
      </w:r>
      <w:r w:rsidR="005E47EA" w:rsidRPr="00755580">
        <w:rPr>
          <w:rFonts w:ascii="Times New Roman" w:hAnsi="Times New Roman" w:cs="Times New Roman"/>
          <w:b/>
          <w:bCs/>
        </w:rPr>
        <w:t>sięgow</w:t>
      </w:r>
      <w:r>
        <w:rPr>
          <w:rFonts w:ascii="Times New Roman" w:hAnsi="Times New Roman" w:cs="Times New Roman"/>
          <w:b/>
          <w:bCs/>
        </w:rPr>
        <w:t>e</w:t>
      </w:r>
      <w:r w:rsidR="005E47EA" w:rsidRPr="00755580">
        <w:rPr>
          <w:rFonts w:ascii="Times New Roman" w:hAnsi="Times New Roman" w:cs="Times New Roman"/>
          <w:b/>
          <w:bCs/>
        </w:rPr>
        <w:t xml:space="preserve"> i biura rachunkowe najczęściej </w:t>
      </w:r>
      <w:r w:rsidR="00755580" w:rsidRPr="00755580">
        <w:rPr>
          <w:rFonts w:ascii="Times New Roman" w:hAnsi="Times New Roman" w:cs="Times New Roman"/>
          <w:b/>
          <w:bCs/>
        </w:rPr>
        <w:t>wybierają</w:t>
      </w:r>
      <w:r w:rsidR="005E47EA" w:rsidRPr="00755580">
        <w:rPr>
          <w:rFonts w:ascii="Times New Roman" w:hAnsi="Times New Roman" w:cs="Times New Roman"/>
          <w:b/>
          <w:bCs/>
        </w:rPr>
        <w:t xml:space="preserve"> ubezpieczenia </w:t>
      </w:r>
      <w:r>
        <w:rPr>
          <w:rFonts w:ascii="Times New Roman" w:hAnsi="Times New Roman" w:cs="Times New Roman"/>
          <w:b/>
          <w:bCs/>
        </w:rPr>
        <w:t>odpowiedzialności cywilnej (</w:t>
      </w:r>
      <w:r w:rsidR="005E47EA" w:rsidRPr="00755580">
        <w:rPr>
          <w:rFonts w:ascii="Times New Roman" w:hAnsi="Times New Roman" w:cs="Times New Roman"/>
          <w:b/>
          <w:bCs/>
        </w:rPr>
        <w:t>OC</w:t>
      </w:r>
      <w:r>
        <w:rPr>
          <w:rFonts w:ascii="Times New Roman" w:hAnsi="Times New Roman" w:cs="Times New Roman"/>
          <w:b/>
          <w:bCs/>
        </w:rPr>
        <w:t xml:space="preserve">) zawodowej </w:t>
      </w:r>
      <w:r w:rsidR="005E47EA" w:rsidRPr="00755580">
        <w:rPr>
          <w:rFonts w:ascii="Times New Roman" w:hAnsi="Times New Roman" w:cs="Times New Roman"/>
          <w:b/>
          <w:bCs/>
        </w:rPr>
        <w:t xml:space="preserve">z sumami gwarancyjnymi na poziomie </w:t>
      </w:r>
      <w:r>
        <w:rPr>
          <w:rFonts w:ascii="Times New Roman" w:hAnsi="Times New Roman" w:cs="Times New Roman"/>
          <w:b/>
          <w:bCs/>
        </w:rPr>
        <w:t xml:space="preserve">od </w:t>
      </w:r>
      <w:r w:rsidR="005E47EA" w:rsidRPr="00755580">
        <w:rPr>
          <w:rFonts w:ascii="Times New Roman" w:hAnsi="Times New Roman" w:cs="Times New Roman"/>
          <w:b/>
          <w:bCs/>
        </w:rPr>
        <w:t>50</w:t>
      </w:r>
      <w:r>
        <w:rPr>
          <w:rFonts w:ascii="Times New Roman" w:hAnsi="Times New Roman" w:cs="Times New Roman"/>
          <w:b/>
          <w:bCs/>
        </w:rPr>
        <w:t xml:space="preserve"> do </w:t>
      </w:r>
      <w:r w:rsidR="005E47EA" w:rsidRPr="00755580">
        <w:rPr>
          <w:rFonts w:ascii="Times New Roman" w:hAnsi="Times New Roman" w:cs="Times New Roman"/>
          <w:b/>
          <w:bCs/>
        </w:rPr>
        <w:t xml:space="preserve">100 tys. zł – podaje </w:t>
      </w:r>
      <w:proofErr w:type="spellStart"/>
      <w:r w:rsidR="005E47EA" w:rsidRPr="00755580">
        <w:rPr>
          <w:rFonts w:ascii="Times New Roman" w:hAnsi="Times New Roman" w:cs="Times New Roman"/>
          <w:b/>
          <w:bCs/>
        </w:rPr>
        <w:t>Leadenhall</w:t>
      </w:r>
      <w:proofErr w:type="spellEnd"/>
      <w:r w:rsidR="005E47EA" w:rsidRPr="007555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E47EA" w:rsidRPr="00755580">
        <w:rPr>
          <w:rFonts w:ascii="Times New Roman" w:hAnsi="Times New Roman" w:cs="Times New Roman"/>
          <w:b/>
          <w:bCs/>
        </w:rPr>
        <w:t>Insurance</w:t>
      </w:r>
      <w:proofErr w:type="spellEnd"/>
      <w:r w:rsidR="005E47EA" w:rsidRPr="00755580">
        <w:rPr>
          <w:rFonts w:ascii="Times New Roman" w:hAnsi="Times New Roman" w:cs="Times New Roman"/>
          <w:b/>
          <w:bCs/>
        </w:rPr>
        <w:t>.</w:t>
      </w:r>
    </w:p>
    <w:p w14:paraId="30F82374" w14:textId="03DCF348" w:rsidR="00674860" w:rsidRDefault="00674860" w:rsidP="00E729DB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674860">
        <w:rPr>
          <w:rFonts w:ascii="Times New Roman" w:hAnsi="Times New Roman" w:cs="Times New Roman"/>
          <w:b/>
          <w:bCs/>
        </w:rPr>
        <w:t xml:space="preserve">W ramach polisy ubezpieczyciel przejmuje </w:t>
      </w:r>
      <w:r>
        <w:rPr>
          <w:rFonts w:ascii="Times New Roman" w:hAnsi="Times New Roman" w:cs="Times New Roman"/>
          <w:b/>
          <w:bCs/>
        </w:rPr>
        <w:t>od księgowych</w:t>
      </w:r>
      <w:r w:rsidRPr="00674860">
        <w:rPr>
          <w:rFonts w:ascii="Times New Roman" w:hAnsi="Times New Roman" w:cs="Times New Roman"/>
          <w:b/>
          <w:bCs/>
        </w:rPr>
        <w:t xml:space="preserve"> finansową odpowiedzialność za </w:t>
      </w:r>
      <w:r w:rsidR="004A7378">
        <w:rPr>
          <w:rFonts w:ascii="Times New Roman" w:hAnsi="Times New Roman" w:cs="Times New Roman"/>
          <w:b/>
          <w:bCs/>
        </w:rPr>
        <w:t>nieprawidłowości</w:t>
      </w:r>
      <w:r w:rsidRPr="00674860">
        <w:rPr>
          <w:rFonts w:ascii="Times New Roman" w:hAnsi="Times New Roman" w:cs="Times New Roman"/>
          <w:b/>
          <w:bCs/>
        </w:rPr>
        <w:t xml:space="preserve"> i uchybienia</w:t>
      </w:r>
      <w:r>
        <w:rPr>
          <w:rFonts w:ascii="Times New Roman" w:hAnsi="Times New Roman" w:cs="Times New Roman"/>
          <w:b/>
          <w:bCs/>
        </w:rPr>
        <w:t>, które popełniają podczas obsługi swoich</w:t>
      </w:r>
      <w:r w:rsidRPr="00674860">
        <w:rPr>
          <w:rFonts w:ascii="Times New Roman" w:hAnsi="Times New Roman" w:cs="Times New Roman"/>
          <w:b/>
          <w:bCs/>
        </w:rPr>
        <w:t xml:space="preserve"> klientów.</w:t>
      </w:r>
    </w:p>
    <w:p w14:paraId="7C0DCF99" w14:textId="252F00DF" w:rsidR="00F5605B" w:rsidRDefault="004A7378" w:rsidP="00F5605B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najbardziej kosztownych pomyłek należą błędy w deklaracjach podatku VAT</w:t>
      </w:r>
      <w:r w:rsidR="00CD66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- poszkodowani klienci </w:t>
      </w:r>
      <w:r w:rsidR="00744C63">
        <w:rPr>
          <w:rFonts w:ascii="Times New Roman" w:hAnsi="Times New Roman" w:cs="Times New Roman"/>
          <w:b/>
          <w:bCs/>
        </w:rPr>
        <w:t>mogą obciążyć</w:t>
      </w:r>
      <w:r>
        <w:rPr>
          <w:rFonts w:ascii="Times New Roman" w:hAnsi="Times New Roman" w:cs="Times New Roman"/>
          <w:b/>
          <w:bCs/>
        </w:rPr>
        <w:t xml:space="preserve"> księgowych odsetkami naliczonymi przez Urząd Skarbowy.</w:t>
      </w:r>
    </w:p>
    <w:p w14:paraId="70887718" w14:textId="77777777" w:rsidR="004A7378" w:rsidRPr="004A7378" w:rsidRDefault="004A7378" w:rsidP="004A7378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10FBE4E" w14:textId="44F2F1C9" w:rsidR="001C4582" w:rsidRDefault="00755580" w:rsidP="007555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55580">
        <w:rPr>
          <w:rFonts w:ascii="Times New Roman" w:hAnsi="Times New Roman" w:cs="Times New Roman"/>
        </w:rPr>
        <w:t xml:space="preserve"> 2023 roku działało </w:t>
      </w:r>
      <w:r>
        <w:rPr>
          <w:rFonts w:ascii="Times New Roman" w:hAnsi="Times New Roman" w:cs="Times New Roman"/>
        </w:rPr>
        <w:t xml:space="preserve">w Polsce </w:t>
      </w:r>
      <w:r w:rsidRPr="00755580">
        <w:rPr>
          <w:rFonts w:ascii="Times New Roman" w:hAnsi="Times New Roman" w:cs="Times New Roman"/>
        </w:rPr>
        <w:t>ok. 70 tys. biur rachunkowych</w:t>
      </w:r>
      <w:r>
        <w:rPr>
          <w:rFonts w:ascii="Times New Roman" w:hAnsi="Times New Roman" w:cs="Times New Roman"/>
        </w:rPr>
        <w:t xml:space="preserve"> i nawet 400 tys.</w:t>
      </w:r>
      <w:r w:rsidRPr="00755580">
        <w:rPr>
          <w:rFonts w:ascii="Times New Roman" w:hAnsi="Times New Roman" w:cs="Times New Roman"/>
        </w:rPr>
        <w:t xml:space="preserve"> księgowych </w:t>
      </w:r>
      <w:r>
        <w:rPr>
          <w:rFonts w:ascii="Times New Roman" w:hAnsi="Times New Roman" w:cs="Times New Roman"/>
        </w:rPr>
        <w:t>– wynika z danych Głównego Urzędu Statystycznego (GUS)</w:t>
      </w:r>
      <w:r w:rsidRPr="0075558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Obsługują klientów w zakresie m.in.</w:t>
      </w:r>
      <w:r w:rsidRPr="00755580">
        <w:rPr>
          <w:rFonts w:ascii="Times New Roman" w:hAnsi="Times New Roman" w:cs="Times New Roman"/>
        </w:rPr>
        <w:t xml:space="preserve"> prowadzeni</w:t>
      </w:r>
      <w:r>
        <w:rPr>
          <w:rFonts w:ascii="Times New Roman" w:hAnsi="Times New Roman" w:cs="Times New Roman"/>
        </w:rPr>
        <w:t>a</w:t>
      </w:r>
      <w:r w:rsidRPr="00755580">
        <w:rPr>
          <w:rFonts w:ascii="Times New Roman" w:hAnsi="Times New Roman" w:cs="Times New Roman"/>
        </w:rPr>
        <w:t xml:space="preserve"> ksiąg rachunkowych, rocznych sprawozdań finansowych</w:t>
      </w:r>
      <w:r w:rsidR="00C074F3">
        <w:rPr>
          <w:rFonts w:ascii="Times New Roman" w:hAnsi="Times New Roman" w:cs="Times New Roman"/>
        </w:rPr>
        <w:t xml:space="preserve"> czy </w:t>
      </w:r>
      <w:r w:rsidRPr="00755580">
        <w:rPr>
          <w:rFonts w:ascii="Times New Roman" w:hAnsi="Times New Roman" w:cs="Times New Roman"/>
        </w:rPr>
        <w:t>deklaracji podatkowych.</w:t>
      </w:r>
      <w:r>
        <w:rPr>
          <w:rFonts w:ascii="Times New Roman" w:hAnsi="Times New Roman" w:cs="Times New Roman"/>
        </w:rPr>
        <w:t xml:space="preserve"> Nawet </w:t>
      </w:r>
      <w:r w:rsidR="00A34AD4">
        <w:rPr>
          <w:rFonts w:ascii="Times New Roman" w:hAnsi="Times New Roman" w:cs="Times New Roman"/>
        </w:rPr>
        <w:t>niewielka</w:t>
      </w:r>
      <w:r w:rsidR="00BA59EE">
        <w:rPr>
          <w:rFonts w:ascii="Times New Roman" w:hAnsi="Times New Roman" w:cs="Times New Roman"/>
        </w:rPr>
        <w:t xml:space="preserve"> pomyłka</w:t>
      </w:r>
      <w:r>
        <w:rPr>
          <w:rFonts w:ascii="Times New Roman" w:hAnsi="Times New Roman" w:cs="Times New Roman"/>
        </w:rPr>
        <w:t xml:space="preserve"> </w:t>
      </w:r>
      <w:r w:rsidR="00BA59EE">
        <w:rPr>
          <w:rFonts w:ascii="Times New Roman" w:hAnsi="Times New Roman" w:cs="Times New Roman"/>
        </w:rPr>
        <w:t>naraża</w:t>
      </w:r>
      <w:r>
        <w:rPr>
          <w:rFonts w:ascii="Times New Roman" w:hAnsi="Times New Roman" w:cs="Times New Roman"/>
        </w:rPr>
        <w:t xml:space="preserve"> </w:t>
      </w:r>
      <w:r w:rsidR="00BA59EE">
        <w:rPr>
          <w:rFonts w:ascii="Times New Roman" w:hAnsi="Times New Roman" w:cs="Times New Roman"/>
        </w:rPr>
        <w:t>rozliczaną firmę</w:t>
      </w:r>
      <w:r>
        <w:rPr>
          <w:rFonts w:ascii="Times New Roman" w:hAnsi="Times New Roman" w:cs="Times New Roman"/>
        </w:rPr>
        <w:t xml:space="preserve"> na</w:t>
      </w:r>
      <w:r w:rsidR="00BA5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duże straty</w:t>
      </w:r>
      <w:r w:rsidR="00DA7BD8">
        <w:rPr>
          <w:rFonts w:ascii="Times New Roman" w:hAnsi="Times New Roman" w:cs="Times New Roman"/>
        </w:rPr>
        <w:t xml:space="preserve"> i otwiera jej pole do roszczenia finansowego wobec</w:t>
      </w:r>
      <w:r w:rsidR="00BA59EE">
        <w:rPr>
          <w:rFonts w:ascii="Times New Roman" w:hAnsi="Times New Roman" w:cs="Times New Roman"/>
        </w:rPr>
        <w:t xml:space="preserve"> </w:t>
      </w:r>
      <w:r w:rsidR="00DA7BD8">
        <w:rPr>
          <w:rFonts w:ascii="Times New Roman" w:hAnsi="Times New Roman" w:cs="Times New Roman"/>
        </w:rPr>
        <w:t>firmy księgowej.</w:t>
      </w:r>
    </w:p>
    <w:p w14:paraId="61F1B260" w14:textId="77777777" w:rsidR="00BA59EE" w:rsidRDefault="00BA59EE" w:rsidP="007555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9C20BE4" w14:textId="20C28277" w:rsidR="00BA59EE" w:rsidRDefault="00BA59EE" w:rsidP="007555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0F3D">
        <w:rPr>
          <w:rFonts w:ascii="Times New Roman" w:hAnsi="Times New Roman" w:cs="Times New Roman"/>
          <w:i/>
          <w:iCs/>
        </w:rPr>
        <w:t>K</w:t>
      </w:r>
      <w:r>
        <w:rPr>
          <w:rFonts w:ascii="Times New Roman" w:hAnsi="Times New Roman" w:cs="Times New Roman"/>
          <w:i/>
          <w:iCs/>
        </w:rPr>
        <w:t>rajowe prawo nakłada</w:t>
      </w:r>
      <w:r w:rsidR="00C074F3">
        <w:rPr>
          <w:rFonts w:ascii="Times New Roman" w:hAnsi="Times New Roman" w:cs="Times New Roman"/>
          <w:i/>
          <w:iCs/>
        </w:rPr>
        <w:t xml:space="preserve"> na firmy świadczące usługi prowadzenia ksiąg rachunkowych</w:t>
      </w:r>
      <w:r>
        <w:rPr>
          <w:rFonts w:ascii="Times New Roman" w:hAnsi="Times New Roman" w:cs="Times New Roman"/>
          <w:i/>
          <w:iCs/>
        </w:rPr>
        <w:t xml:space="preserve"> </w:t>
      </w:r>
      <w:r w:rsidR="00E70F3D">
        <w:rPr>
          <w:rFonts w:ascii="Times New Roman" w:hAnsi="Times New Roman" w:cs="Times New Roman"/>
          <w:i/>
          <w:iCs/>
        </w:rPr>
        <w:t>obowiązek zakupu ubezpieczenia OC</w:t>
      </w:r>
      <w:r w:rsidR="00C074F3">
        <w:rPr>
          <w:rFonts w:ascii="Times New Roman" w:hAnsi="Times New Roman" w:cs="Times New Roman"/>
          <w:i/>
          <w:iCs/>
        </w:rPr>
        <w:t xml:space="preserve">, </w:t>
      </w:r>
      <w:r w:rsidR="00E70F3D">
        <w:rPr>
          <w:rFonts w:ascii="Times New Roman" w:hAnsi="Times New Roman" w:cs="Times New Roman"/>
          <w:i/>
          <w:iCs/>
        </w:rPr>
        <w:t xml:space="preserve">ale wymaga </w:t>
      </w:r>
      <w:r w:rsidR="00164963">
        <w:rPr>
          <w:rFonts w:ascii="Times New Roman" w:hAnsi="Times New Roman" w:cs="Times New Roman"/>
          <w:i/>
          <w:iCs/>
        </w:rPr>
        <w:t>limitu odpowiedzialności ubezpieczyciela na</w:t>
      </w:r>
      <w:r w:rsidR="00A34AD4">
        <w:rPr>
          <w:rFonts w:ascii="Times New Roman" w:hAnsi="Times New Roman" w:cs="Times New Roman"/>
          <w:i/>
          <w:iCs/>
        </w:rPr>
        <w:t xml:space="preserve"> </w:t>
      </w:r>
      <w:r w:rsidR="00C074F3">
        <w:rPr>
          <w:rFonts w:ascii="Times New Roman" w:hAnsi="Times New Roman" w:cs="Times New Roman"/>
          <w:i/>
          <w:iCs/>
        </w:rPr>
        <w:t>poziomie</w:t>
      </w:r>
      <w:r>
        <w:rPr>
          <w:rFonts w:ascii="Times New Roman" w:hAnsi="Times New Roman" w:cs="Times New Roman"/>
          <w:i/>
          <w:iCs/>
        </w:rPr>
        <w:t xml:space="preserve"> </w:t>
      </w:r>
      <w:r w:rsidR="00C074F3">
        <w:rPr>
          <w:rFonts w:ascii="Times New Roman" w:hAnsi="Times New Roman" w:cs="Times New Roman"/>
          <w:i/>
          <w:iCs/>
        </w:rPr>
        <w:t xml:space="preserve">zaledwie </w:t>
      </w:r>
      <w:r>
        <w:rPr>
          <w:rFonts w:ascii="Times New Roman" w:hAnsi="Times New Roman" w:cs="Times New Roman"/>
          <w:i/>
          <w:iCs/>
        </w:rPr>
        <w:t>10 tys. euro</w:t>
      </w:r>
      <w:r w:rsidR="00E70F3D">
        <w:rPr>
          <w:rFonts w:ascii="Times New Roman" w:hAnsi="Times New Roman" w:cs="Times New Roman"/>
          <w:i/>
          <w:iCs/>
        </w:rPr>
        <w:t>. Ta kwot</w:t>
      </w:r>
      <w:r w:rsidR="00866607">
        <w:rPr>
          <w:rFonts w:ascii="Times New Roman" w:hAnsi="Times New Roman" w:cs="Times New Roman"/>
          <w:i/>
          <w:iCs/>
        </w:rPr>
        <w:t>a</w:t>
      </w:r>
      <w:r w:rsidR="00E70F3D">
        <w:rPr>
          <w:rFonts w:ascii="Times New Roman" w:hAnsi="Times New Roman" w:cs="Times New Roman"/>
          <w:i/>
          <w:iCs/>
        </w:rPr>
        <w:t xml:space="preserve"> wystarcza na pokrycie niewielkich roszczeń, ale księgowi potrzebują ochrony na dużo wyższe sumy. </w:t>
      </w:r>
      <w:r w:rsidR="00504BF2">
        <w:rPr>
          <w:rFonts w:ascii="Times New Roman" w:hAnsi="Times New Roman" w:cs="Times New Roman"/>
          <w:i/>
          <w:iCs/>
        </w:rPr>
        <w:t>R</w:t>
      </w:r>
      <w:r w:rsidR="00E70F3D">
        <w:rPr>
          <w:rFonts w:ascii="Times New Roman" w:hAnsi="Times New Roman" w:cs="Times New Roman"/>
          <w:i/>
          <w:iCs/>
        </w:rPr>
        <w:t xml:space="preserve">oszczenia klientów mogą dotyczyć bardzo różnych spraw – nie tylko wykroczeń skarbowych, błędów w prowadzeniu uproszczonej księgowości czy w deklaracjach VAT, ale też złamania przepisów RODO, zniesławienia, utraty dokumentów czy konieczności pokrycia kosztów obrony przed sądem. Dlatego ubezpieczenie OC dla księgowych i biur rachunkowych powinno składać się </w:t>
      </w:r>
      <w:r w:rsidR="00164963">
        <w:rPr>
          <w:rFonts w:ascii="Times New Roman" w:hAnsi="Times New Roman" w:cs="Times New Roman"/>
          <w:i/>
          <w:iCs/>
        </w:rPr>
        <w:t>nie tylko</w:t>
      </w:r>
      <w:r w:rsidR="00CD66AF">
        <w:rPr>
          <w:rFonts w:ascii="Times New Roman" w:hAnsi="Times New Roman" w:cs="Times New Roman"/>
          <w:i/>
          <w:iCs/>
        </w:rPr>
        <w:t xml:space="preserve"> z</w:t>
      </w:r>
      <w:r w:rsidR="00164963">
        <w:rPr>
          <w:rFonts w:ascii="Times New Roman" w:hAnsi="Times New Roman" w:cs="Times New Roman"/>
          <w:i/>
          <w:iCs/>
        </w:rPr>
        <w:t xml:space="preserve"> </w:t>
      </w:r>
      <w:r w:rsidR="00E70F3D">
        <w:rPr>
          <w:rFonts w:ascii="Times New Roman" w:hAnsi="Times New Roman" w:cs="Times New Roman"/>
          <w:i/>
          <w:iCs/>
        </w:rPr>
        <w:t>wymaganej prawem części obowiązkowej, al</w:t>
      </w:r>
      <w:r w:rsidR="00164963">
        <w:rPr>
          <w:rFonts w:ascii="Times New Roman" w:hAnsi="Times New Roman" w:cs="Times New Roman"/>
          <w:i/>
          <w:iCs/>
        </w:rPr>
        <w:t xml:space="preserve">e </w:t>
      </w:r>
      <w:r w:rsidR="00CD66AF">
        <w:rPr>
          <w:rFonts w:ascii="Times New Roman" w:hAnsi="Times New Roman" w:cs="Times New Roman"/>
          <w:i/>
          <w:iCs/>
        </w:rPr>
        <w:t xml:space="preserve">też </w:t>
      </w:r>
      <w:r w:rsidR="00164963">
        <w:rPr>
          <w:rFonts w:ascii="Times New Roman" w:hAnsi="Times New Roman" w:cs="Times New Roman"/>
          <w:i/>
          <w:iCs/>
        </w:rPr>
        <w:t xml:space="preserve">zostać </w:t>
      </w:r>
      <w:r w:rsidR="00E70F3D">
        <w:rPr>
          <w:rFonts w:ascii="Times New Roman" w:hAnsi="Times New Roman" w:cs="Times New Roman"/>
          <w:i/>
          <w:iCs/>
        </w:rPr>
        <w:t>uzupełnion</w:t>
      </w:r>
      <w:r w:rsidR="00164963">
        <w:rPr>
          <w:rFonts w:ascii="Times New Roman" w:hAnsi="Times New Roman" w:cs="Times New Roman"/>
          <w:i/>
          <w:iCs/>
        </w:rPr>
        <w:t>e</w:t>
      </w:r>
      <w:r w:rsidR="00E70F3D">
        <w:rPr>
          <w:rFonts w:ascii="Times New Roman" w:hAnsi="Times New Roman" w:cs="Times New Roman"/>
          <w:i/>
          <w:iCs/>
        </w:rPr>
        <w:t xml:space="preserve"> o dodatkowe ryzyk</w:t>
      </w:r>
      <w:r w:rsidR="003153BA">
        <w:rPr>
          <w:rFonts w:ascii="Times New Roman" w:hAnsi="Times New Roman" w:cs="Times New Roman"/>
          <w:i/>
          <w:iCs/>
        </w:rPr>
        <w:t>a</w:t>
      </w:r>
      <w:r w:rsidR="00CD66AF">
        <w:rPr>
          <w:rFonts w:ascii="Times New Roman" w:hAnsi="Times New Roman" w:cs="Times New Roman"/>
          <w:i/>
          <w:iCs/>
        </w:rPr>
        <w:t xml:space="preserve"> </w:t>
      </w:r>
      <w:r w:rsidR="003153BA">
        <w:rPr>
          <w:rFonts w:ascii="Times New Roman" w:hAnsi="Times New Roman" w:cs="Times New Roman"/>
          <w:i/>
          <w:iCs/>
        </w:rPr>
        <w:t xml:space="preserve">z sumami </w:t>
      </w:r>
      <w:r w:rsidR="00164963">
        <w:rPr>
          <w:rFonts w:ascii="Times New Roman" w:hAnsi="Times New Roman" w:cs="Times New Roman"/>
          <w:i/>
          <w:iCs/>
        </w:rPr>
        <w:t>ubezpieczenia</w:t>
      </w:r>
      <w:r w:rsidR="00CD66AF">
        <w:rPr>
          <w:rFonts w:ascii="Times New Roman" w:hAnsi="Times New Roman" w:cs="Times New Roman"/>
          <w:i/>
          <w:iCs/>
        </w:rPr>
        <w:t>,</w:t>
      </w:r>
      <w:r w:rsidR="00164963">
        <w:rPr>
          <w:rFonts w:ascii="Times New Roman" w:hAnsi="Times New Roman" w:cs="Times New Roman"/>
          <w:i/>
          <w:iCs/>
        </w:rPr>
        <w:t xml:space="preserve"> </w:t>
      </w:r>
      <w:r w:rsidR="00CD66AF">
        <w:rPr>
          <w:rFonts w:ascii="Times New Roman" w:hAnsi="Times New Roman" w:cs="Times New Roman"/>
          <w:i/>
          <w:iCs/>
        </w:rPr>
        <w:t xml:space="preserve">które będą </w:t>
      </w:r>
      <w:r w:rsidR="00866607">
        <w:rPr>
          <w:rFonts w:ascii="Times New Roman" w:hAnsi="Times New Roman" w:cs="Times New Roman"/>
          <w:i/>
          <w:iCs/>
        </w:rPr>
        <w:t>adekwatn</w:t>
      </w:r>
      <w:r w:rsidR="00CD66AF">
        <w:rPr>
          <w:rFonts w:ascii="Times New Roman" w:hAnsi="Times New Roman" w:cs="Times New Roman"/>
          <w:i/>
          <w:iCs/>
        </w:rPr>
        <w:t>e</w:t>
      </w:r>
      <w:r w:rsidR="003153BA">
        <w:rPr>
          <w:rFonts w:ascii="Times New Roman" w:hAnsi="Times New Roman" w:cs="Times New Roman"/>
          <w:i/>
          <w:iCs/>
        </w:rPr>
        <w:t xml:space="preserve"> do skali działania</w:t>
      </w:r>
      <w:r w:rsidR="00866607">
        <w:rPr>
          <w:rFonts w:ascii="Times New Roman" w:hAnsi="Times New Roman" w:cs="Times New Roman"/>
          <w:i/>
          <w:iCs/>
        </w:rPr>
        <w:t xml:space="preserve"> firmy</w:t>
      </w:r>
      <w:r w:rsidR="003153BA">
        <w:rPr>
          <w:rFonts w:ascii="Times New Roman" w:hAnsi="Times New Roman" w:cs="Times New Roman"/>
          <w:i/>
          <w:iCs/>
        </w:rPr>
        <w:t xml:space="preserve"> i wysokości potencjalnych roszczeń </w:t>
      </w:r>
      <w:r w:rsidR="00164963">
        <w:rPr>
          <w:rFonts w:ascii="Times New Roman" w:hAnsi="Times New Roman" w:cs="Times New Roman"/>
          <w:i/>
          <w:iCs/>
        </w:rPr>
        <w:t xml:space="preserve">do </w:t>
      </w:r>
      <w:r w:rsidR="003153BA">
        <w:rPr>
          <w:rFonts w:ascii="Times New Roman" w:hAnsi="Times New Roman" w:cs="Times New Roman"/>
          <w:i/>
          <w:iCs/>
        </w:rPr>
        <w:t xml:space="preserve">niej </w:t>
      </w:r>
      <w:r w:rsidR="003153BA">
        <w:rPr>
          <w:rFonts w:ascii="Times New Roman" w:hAnsi="Times New Roman" w:cs="Times New Roman"/>
        </w:rPr>
        <w:t xml:space="preserve">– mówi Rajmund Rusiecki z </w:t>
      </w:r>
      <w:proofErr w:type="spellStart"/>
      <w:r w:rsidR="003153BA">
        <w:rPr>
          <w:rFonts w:ascii="Times New Roman" w:hAnsi="Times New Roman" w:cs="Times New Roman"/>
        </w:rPr>
        <w:t>Leadenhall</w:t>
      </w:r>
      <w:proofErr w:type="spellEnd"/>
      <w:r w:rsidR="003153BA">
        <w:rPr>
          <w:rFonts w:ascii="Times New Roman" w:hAnsi="Times New Roman" w:cs="Times New Roman"/>
        </w:rPr>
        <w:t xml:space="preserve"> </w:t>
      </w:r>
      <w:proofErr w:type="spellStart"/>
      <w:r w:rsidR="003153BA">
        <w:rPr>
          <w:rFonts w:ascii="Times New Roman" w:hAnsi="Times New Roman" w:cs="Times New Roman"/>
        </w:rPr>
        <w:t>Insurance</w:t>
      </w:r>
      <w:proofErr w:type="spellEnd"/>
      <w:r w:rsidR="003153BA">
        <w:rPr>
          <w:rFonts w:ascii="Times New Roman" w:hAnsi="Times New Roman" w:cs="Times New Roman"/>
        </w:rPr>
        <w:t>.</w:t>
      </w:r>
    </w:p>
    <w:p w14:paraId="4118AFEA" w14:textId="77777777" w:rsidR="003153BA" w:rsidRDefault="003153BA" w:rsidP="007555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EA61E9" w14:textId="1F172F9E" w:rsidR="003153BA" w:rsidRDefault="003153BA" w:rsidP="007555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danych </w:t>
      </w:r>
      <w:proofErr w:type="spellStart"/>
      <w:r>
        <w:rPr>
          <w:rFonts w:ascii="Times New Roman" w:hAnsi="Times New Roman" w:cs="Times New Roman"/>
        </w:rPr>
        <w:t>Leadenhall</w:t>
      </w:r>
      <w:proofErr w:type="spellEnd"/>
      <w:r>
        <w:rPr>
          <w:rFonts w:ascii="Times New Roman" w:hAnsi="Times New Roman" w:cs="Times New Roman"/>
        </w:rPr>
        <w:t xml:space="preserve"> wynika, że firmy z branży księgowej najczęściej ubezpieczają się na 50 tys. lub 100 tys. zł. To więcej niż zapisany w prawie obowiązek, ale </w:t>
      </w:r>
      <w:r w:rsidR="00015F92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 xml:space="preserve">mniej od </w:t>
      </w:r>
      <w:r w:rsidR="00866607">
        <w:rPr>
          <w:rFonts w:ascii="Times New Roman" w:hAnsi="Times New Roman" w:cs="Times New Roman"/>
        </w:rPr>
        <w:t>wartości</w:t>
      </w:r>
      <w:r>
        <w:rPr>
          <w:rFonts w:ascii="Times New Roman" w:hAnsi="Times New Roman" w:cs="Times New Roman"/>
        </w:rPr>
        <w:t xml:space="preserve"> </w:t>
      </w:r>
      <w:r w:rsidR="00866607">
        <w:rPr>
          <w:rFonts w:ascii="Times New Roman" w:hAnsi="Times New Roman" w:cs="Times New Roman"/>
        </w:rPr>
        <w:t>roszczeń, na które narażeni są księgowi</w:t>
      </w:r>
      <w:r w:rsidR="00164963">
        <w:rPr>
          <w:rFonts w:ascii="Times New Roman" w:hAnsi="Times New Roman" w:cs="Times New Roman"/>
        </w:rPr>
        <w:t>. D</w:t>
      </w:r>
      <w:r w:rsidR="00295B82">
        <w:rPr>
          <w:rFonts w:ascii="Times New Roman" w:hAnsi="Times New Roman" w:cs="Times New Roman"/>
        </w:rPr>
        <w:t xml:space="preserve">obrze </w:t>
      </w:r>
      <w:r w:rsidR="00164963">
        <w:rPr>
          <w:rFonts w:ascii="Times New Roman" w:hAnsi="Times New Roman" w:cs="Times New Roman"/>
        </w:rPr>
        <w:t>obrazuje to</w:t>
      </w:r>
      <w:r w:rsidR="00F6092D">
        <w:rPr>
          <w:rFonts w:ascii="Times New Roman" w:hAnsi="Times New Roman" w:cs="Times New Roman"/>
        </w:rPr>
        <w:t xml:space="preserve"> poniższy przykład.</w:t>
      </w:r>
    </w:p>
    <w:p w14:paraId="34B58FE8" w14:textId="77777777" w:rsidR="00E11B69" w:rsidRDefault="00E11B69" w:rsidP="007555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D52C1D" w14:textId="77777777" w:rsidR="00E11B69" w:rsidRPr="00F6092D" w:rsidRDefault="00E11B69" w:rsidP="00F609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</w:pPr>
      <w:r w:rsidRPr="00F6092D">
        <w:rPr>
          <w:rFonts w:ascii="Times New Roman" w:eastAsia="Times New Roman" w:hAnsi="Times New Roman" w:cs="Times New Roman"/>
          <w:b/>
          <w:bCs/>
          <w:color w:val="auto"/>
          <w:kern w:val="0"/>
          <w:bdr w:val="none" w:sz="0" w:space="0" w:color="auto"/>
        </w:rPr>
        <w:t xml:space="preserve">Zagubione faktury i milionowa niedopłata VAT </w:t>
      </w:r>
    </w:p>
    <w:p w14:paraId="06F4DCD7" w14:textId="01CE0224" w:rsidR="00E11B69" w:rsidRDefault="00E11B69" w:rsidP="00F609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</w:pPr>
      <w:r w:rsidRPr="00E11B69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 xml:space="preserve">Pracownik </w:t>
      </w:r>
      <w:r w:rsidR="00985A8E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 xml:space="preserve">jednej z </w:t>
      </w:r>
      <w:r w:rsidRPr="00E11B69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>firm księgow</w:t>
      </w:r>
      <w:r w:rsidR="00985A8E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>ych</w:t>
      </w:r>
      <w:r w:rsidRPr="00E11B69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 xml:space="preserve"> nie uwzględnił w rozliczeniach prawie 190 faktur na samochody, co spowodowało u jednego z klientów niedopłatę podatku VAT w wysokości </w:t>
      </w:r>
      <w:r w:rsidR="00C37AED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>niemal</w:t>
      </w:r>
      <w:r w:rsidRPr="00E11B69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 xml:space="preserve"> 4 mln zł i konieczność zapłaty </w:t>
      </w:r>
      <w:r w:rsidR="00C37AED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>ok.</w:t>
      </w:r>
      <w:r w:rsidRPr="00E11B69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 xml:space="preserve"> 200 tys. zł odsetek. Po pół roku błąd został wykryty, a zaległe podatki wraz odsetkami zapłacone. Firma księgowa otrzymała od swojego klienta roszczenie z żądaniem zwrotu równowartości nałożonych przez Urząd Skarbowy odsetek. Jej właściciel korzystał z polisy OC zawodowej z sumą ubezpieczenia do 100 tys. zł. Ubezpieczyciel przejął roszczenie do tej kwoty i wypłacił pełne odszkodowanie.</w:t>
      </w:r>
    </w:p>
    <w:p w14:paraId="01F00317" w14:textId="77777777" w:rsidR="00E11B69" w:rsidRDefault="00E11B69" w:rsidP="00E11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</w:pPr>
    </w:p>
    <w:p w14:paraId="1575007A" w14:textId="47EB1451" w:rsidR="00E11B69" w:rsidRDefault="00E11B69" w:rsidP="00F609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 xml:space="preserve">- </w:t>
      </w:r>
      <w:r w:rsidR="00D67C61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>Trudno o lepszy dowód na to, że</w:t>
      </w:r>
      <w:r w:rsidRPr="00755580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 xml:space="preserve"> </w:t>
      </w:r>
      <w:r w:rsidR="00D67C61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>księgowi potrzebują ochrony na poziomie</w:t>
      </w:r>
      <w:r w:rsidRPr="00755580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 xml:space="preserve"> </w:t>
      </w:r>
      <w:r w:rsidR="00D67C61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 xml:space="preserve">o wiele wyższym niż </w:t>
      </w:r>
      <w:r w:rsidRPr="00755580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 xml:space="preserve">ustawowy limit 10 tys. euro. </w:t>
      </w:r>
      <w:r w:rsidR="00D67C61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>Trzeba też zaznaczyć, że w</w:t>
      </w:r>
      <w:r w:rsidRPr="00755580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 xml:space="preserve"> tym przypadku </w:t>
      </w:r>
      <w:r w:rsidR="00C00209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 xml:space="preserve">ryzyko było nie doszacowane na etapie </w:t>
      </w:r>
      <w:r w:rsidR="00D67C61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>zakupu polis</w:t>
      </w:r>
      <w:r w:rsidR="00164963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>y. B</w:t>
      </w:r>
      <w:r w:rsidR="00D67C61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>o</w:t>
      </w:r>
      <w:r w:rsidRPr="00755580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 xml:space="preserve"> wypłacone zgodnie z umową 100 tys. zł pokryło jedynie część </w:t>
      </w:r>
      <w:r w:rsidR="00164963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>dość</w:t>
      </w:r>
      <w:r w:rsidRPr="00755580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/>
        </w:rPr>
        <w:t xml:space="preserve"> wysokiego roszczenia. Księgowi, którzy odpowiadają za składanie w imieniu klientów milionowych deklaracji VAT, muszą mieć świadomość, że przy takich kwotach nawet drobny błąd naraża ich biznes na kolosalne roszczenia </w:t>
      </w:r>
      <w:r w:rsidR="00B757DE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>–</w:t>
      </w:r>
      <w:r w:rsidRPr="00755580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 xml:space="preserve"> dodaje</w:t>
      </w:r>
      <w:r w:rsidR="00B757DE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 xml:space="preserve"> </w:t>
      </w:r>
      <w:r w:rsidRPr="00755580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>Rajmund Rusieck</w:t>
      </w:r>
      <w:r w:rsidR="006C048D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>i</w:t>
      </w:r>
      <w:r w:rsidRPr="00755580">
        <w:rPr>
          <w:rFonts w:ascii="Times New Roman" w:eastAsia="Times New Roman" w:hAnsi="Times New Roman" w:cs="Times New Roman"/>
          <w:color w:val="auto"/>
          <w:kern w:val="0"/>
          <w:bdr w:val="none" w:sz="0" w:space="0" w:color="auto"/>
        </w:rPr>
        <w:t>.</w:t>
      </w:r>
    </w:p>
    <w:p w14:paraId="1CEFB0FD" w14:textId="77777777" w:rsidR="00B41C63" w:rsidRDefault="00B41C63" w:rsidP="007555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5EA2C8" w14:textId="4BAE8D52" w:rsidR="00C14433" w:rsidRPr="00C14433" w:rsidRDefault="000D382B" w:rsidP="0075558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Jak działa ubezpieczenie OC dla księgowych?</w:t>
      </w:r>
    </w:p>
    <w:p w14:paraId="14D56FE0" w14:textId="1906D3B1" w:rsidR="00680FC9" w:rsidRDefault="001D2F57" w:rsidP="007555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Sumę gwarancyjną, czyli górny poziom odpowiedzialności ubezpieczyciela, samodzielnie </w:t>
      </w:r>
      <w:r w:rsidR="00164963">
        <w:rPr>
          <w:rFonts w:ascii="Times New Roman" w:hAnsi="Times New Roman" w:cs="Times New Roman"/>
        </w:rPr>
        <w:t xml:space="preserve">wybiera dla siebie </w:t>
      </w:r>
      <w:r>
        <w:rPr>
          <w:rFonts w:ascii="Times New Roman" w:hAnsi="Times New Roman" w:cs="Times New Roman"/>
        </w:rPr>
        <w:t xml:space="preserve">firma księgowa. </w:t>
      </w:r>
      <w:r w:rsidR="005F3E2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Leadenhall</w:t>
      </w:r>
      <w:proofErr w:type="spellEnd"/>
      <w:r w:rsidR="00680FC9">
        <w:rPr>
          <w:rFonts w:ascii="Times New Roman" w:hAnsi="Times New Roman" w:cs="Times New Roman"/>
        </w:rPr>
        <w:t xml:space="preserve"> może to być</w:t>
      </w:r>
      <w:r w:rsidR="00164963">
        <w:rPr>
          <w:rFonts w:ascii="Times New Roman" w:hAnsi="Times New Roman" w:cs="Times New Roman"/>
        </w:rPr>
        <w:t xml:space="preserve"> nawet </w:t>
      </w:r>
      <w:r>
        <w:rPr>
          <w:rFonts w:ascii="Times New Roman" w:hAnsi="Times New Roman" w:cs="Times New Roman"/>
        </w:rPr>
        <w:t xml:space="preserve">5 mln zł. </w:t>
      </w:r>
      <w:r w:rsidR="001E7DE9">
        <w:rPr>
          <w:rFonts w:ascii="Times New Roman" w:hAnsi="Times New Roman" w:cs="Times New Roman"/>
        </w:rPr>
        <w:t>Ochrona obejmuje</w:t>
      </w:r>
      <w:r w:rsidR="00C14433" w:rsidRPr="00C14433">
        <w:rPr>
          <w:rFonts w:ascii="Times New Roman" w:hAnsi="Times New Roman" w:cs="Times New Roman"/>
        </w:rPr>
        <w:t xml:space="preserve"> następstwa pomyłek i uchybień</w:t>
      </w:r>
      <w:r w:rsidR="001E7DE9">
        <w:rPr>
          <w:rFonts w:ascii="Times New Roman" w:hAnsi="Times New Roman" w:cs="Times New Roman"/>
        </w:rPr>
        <w:t xml:space="preserve"> podczas </w:t>
      </w:r>
      <w:r w:rsidR="00C14433" w:rsidRPr="00C14433">
        <w:rPr>
          <w:rFonts w:ascii="Times New Roman" w:hAnsi="Times New Roman" w:cs="Times New Roman"/>
        </w:rPr>
        <w:t>świadczenia usług księgowych i rozliczeń podatkowych</w:t>
      </w:r>
      <w:r>
        <w:rPr>
          <w:rFonts w:ascii="Times New Roman" w:hAnsi="Times New Roman" w:cs="Times New Roman"/>
        </w:rPr>
        <w:t xml:space="preserve">, a </w:t>
      </w:r>
      <w:r w:rsidR="001E7DE9">
        <w:rPr>
          <w:rFonts w:ascii="Times New Roman" w:hAnsi="Times New Roman" w:cs="Times New Roman"/>
        </w:rPr>
        <w:t xml:space="preserve">także </w:t>
      </w:r>
      <w:r w:rsidR="00C14433" w:rsidRPr="00C14433">
        <w:rPr>
          <w:rFonts w:ascii="Times New Roman" w:hAnsi="Times New Roman" w:cs="Times New Roman"/>
        </w:rPr>
        <w:t>odszkodowania</w:t>
      </w:r>
      <w:r w:rsidR="0057425E">
        <w:rPr>
          <w:rFonts w:ascii="Times New Roman" w:hAnsi="Times New Roman" w:cs="Times New Roman"/>
        </w:rPr>
        <w:t xml:space="preserve"> –</w:t>
      </w:r>
      <w:r w:rsidR="00C14433" w:rsidRPr="00C14433">
        <w:rPr>
          <w:rFonts w:ascii="Times New Roman" w:hAnsi="Times New Roman" w:cs="Times New Roman"/>
        </w:rPr>
        <w:t xml:space="preserve"> </w:t>
      </w:r>
      <w:r w:rsidR="00680FC9">
        <w:rPr>
          <w:rFonts w:ascii="Times New Roman" w:hAnsi="Times New Roman" w:cs="Times New Roman"/>
        </w:rPr>
        <w:t xml:space="preserve">np. </w:t>
      </w:r>
      <w:r w:rsidR="00C14433" w:rsidRPr="00C14433">
        <w:rPr>
          <w:rFonts w:ascii="Times New Roman" w:hAnsi="Times New Roman" w:cs="Times New Roman"/>
        </w:rPr>
        <w:t>za naruszenie praw własności intelektualnej, niezachowanie tajemnicy zawodowej, utratę dokumentacji</w:t>
      </w:r>
      <w:r w:rsidR="00680FC9">
        <w:rPr>
          <w:rFonts w:ascii="Times New Roman" w:hAnsi="Times New Roman" w:cs="Times New Roman"/>
        </w:rPr>
        <w:t xml:space="preserve">. </w:t>
      </w:r>
      <w:r w:rsidR="0057425E">
        <w:rPr>
          <w:rFonts w:ascii="Times New Roman" w:hAnsi="Times New Roman" w:cs="Times New Roman"/>
        </w:rPr>
        <w:t>Pokrywane są</w:t>
      </w:r>
      <w:r w:rsidR="00680FC9">
        <w:rPr>
          <w:rFonts w:ascii="Times New Roman" w:hAnsi="Times New Roman" w:cs="Times New Roman"/>
        </w:rPr>
        <w:t xml:space="preserve"> też </w:t>
      </w:r>
      <w:r w:rsidR="00C14433" w:rsidRPr="00C14433">
        <w:rPr>
          <w:rFonts w:ascii="Times New Roman" w:hAnsi="Times New Roman" w:cs="Times New Roman"/>
        </w:rPr>
        <w:t>koszty związane z postępowaniami cywilnymi, karnymi, skarbowymi i administracyjnymi.</w:t>
      </w:r>
    </w:p>
    <w:p w14:paraId="537723C2" w14:textId="77777777" w:rsidR="00731548" w:rsidRDefault="00731548" w:rsidP="007555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BEFE588" w14:textId="433FDDD9" w:rsidR="00C14433" w:rsidRDefault="00680FC9" w:rsidP="007555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Dodatkowo, zakres ochrony </w:t>
      </w:r>
      <w:r w:rsidR="001D2F57">
        <w:rPr>
          <w:rFonts w:ascii="Times New Roman" w:hAnsi="Times New Roman" w:cs="Times New Roman"/>
        </w:rPr>
        <w:t>można</w:t>
      </w:r>
      <w:r w:rsidR="00C14433" w:rsidRPr="00C14433">
        <w:rPr>
          <w:rFonts w:ascii="Times New Roman" w:hAnsi="Times New Roman" w:cs="Times New Roman"/>
        </w:rPr>
        <w:t xml:space="preserve"> rozszerz</w:t>
      </w:r>
      <w:r w:rsidR="001D2F57">
        <w:rPr>
          <w:rFonts w:ascii="Times New Roman" w:hAnsi="Times New Roman" w:cs="Times New Roman"/>
        </w:rPr>
        <w:t>yć</w:t>
      </w:r>
      <w:r w:rsidR="00C14433" w:rsidRPr="00C14433">
        <w:rPr>
          <w:rFonts w:ascii="Times New Roman" w:hAnsi="Times New Roman" w:cs="Times New Roman"/>
        </w:rPr>
        <w:t xml:space="preserve"> o sprawy związane z rozliczeniami kadrowymi i płacowymi, </w:t>
      </w:r>
      <w:r>
        <w:rPr>
          <w:rFonts w:ascii="Times New Roman" w:hAnsi="Times New Roman" w:cs="Times New Roman"/>
        </w:rPr>
        <w:t xml:space="preserve">z </w:t>
      </w:r>
      <w:r w:rsidR="00C14433" w:rsidRPr="00C14433">
        <w:rPr>
          <w:rFonts w:ascii="Times New Roman" w:hAnsi="Times New Roman" w:cs="Times New Roman"/>
        </w:rPr>
        <w:t xml:space="preserve">systemem ubezpieczeń społecznych, przestrzeganiem RODO, cyberatakiem, </w:t>
      </w:r>
      <w:r>
        <w:rPr>
          <w:rFonts w:ascii="Times New Roman" w:hAnsi="Times New Roman" w:cs="Times New Roman"/>
        </w:rPr>
        <w:t xml:space="preserve">a także o </w:t>
      </w:r>
      <w:r w:rsidR="00C14433" w:rsidRPr="00C14433">
        <w:rPr>
          <w:rFonts w:ascii="Times New Roman" w:hAnsi="Times New Roman" w:cs="Times New Roman"/>
        </w:rPr>
        <w:t>pokrycie kosztów obrony przed sądem</w:t>
      </w:r>
      <w:r>
        <w:rPr>
          <w:rFonts w:ascii="Times New Roman" w:hAnsi="Times New Roman" w:cs="Times New Roman"/>
        </w:rPr>
        <w:t xml:space="preserve"> w sprawach</w:t>
      </w:r>
      <w:r w:rsidR="00C14433" w:rsidRPr="00C14433">
        <w:rPr>
          <w:rFonts w:ascii="Times New Roman" w:hAnsi="Times New Roman" w:cs="Times New Roman"/>
        </w:rPr>
        <w:t xml:space="preserve"> związan</w:t>
      </w:r>
      <w:r>
        <w:rPr>
          <w:rFonts w:ascii="Times New Roman" w:hAnsi="Times New Roman" w:cs="Times New Roman"/>
        </w:rPr>
        <w:t xml:space="preserve">ych </w:t>
      </w:r>
      <w:r w:rsidR="00C14433" w:rsidRPr="00C14433">
        <w:rPr>
          <w:rFonts w:ascii="Times New Roman" w:hAnsi="Times New Roman" w:cs="Times New Roman"/>
        </w:rPr>
        <w:t>z osobistą odpowiedzialnością karno-skarbową.</w:t>
      </w:r>
    </w:p>
    <w:p w14:paraId="3E5FCCC5" w14:textId="77777777" w:rsidR="00C14433" w:rsidRDefault="00C14433" w:rsidP="007555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F32809" w14:textId="78B7F3EA" w:rsidR="001C4582" w:rsidRPr="001D2F57" w:rsidRDefault="00C14433" w:rsidP="007555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7DE9">
        <w:rPr>
          <w:rFonts w:ascii="Times New Roman" w:hAnsi="Times New Roman" w:cs="Times New Roman"/>
          <w:i/>
          <w:iCs/>
        </w:rPr>
        <w:t>Księgowi obsługujący klientów działających za granicą</w:t>
      </w:r>
      <w:r w:rsidR="00680FC9">
        <w:rPr>
          <w:rFonts w:ascii="Times New Roman" w:hAnsi="Times New Roman" w:cs="Times New Roman"/>
          <w:i/>
          <w:iCs/>
        </w:rPr>
        <w:t>,</w:t>
      </w:r>
      <w:r w:rsidR="001E7DE9">
        <w:rPr>
          <w:rFonts w:ascii="Times New Roman" w:hAnsi="Times New Roman" w:cs="Times New Roman"/>
          <w:i/>
          <w:iCs/>
        </w:rPr>
        <w:t xml:space="preserve"> powinni zapytać doradcę ubezpieczeniowego, czy polisa zadziała także w odniesieniu</w:t>
      </w:r>
      <w:r w:rsidR="001D2F57">
        <w:rPr>
          <w:rFonts w:ascii="Times New Roman" w:hAnsi="Times New Roman" w:cs="Times New Roman"/>
          <w:i/>
          <w:iCs/>
        </w:rPr>
        <w:t xml:space="preserve"> aktywności biznesowej poza Polską. To jak najbardziej możliwe, np. my </w:t>
      </w:r>
      <w:r w:rsidR="00680FC9">
        <w:rPr>
          <w:rFonts w:ascii="Times New Roman" w:hAnsi="Times New Roman" w:cs="Times New Roman"/>
          <w:i/>
          <w:iCs/>
        </w:rPr>
        <w:t xml:space="preserve">obejmujemy </w:t>
      </w:r>
      <w:r w:rsidR="001D2F57">
        <w:rPr>
          <w:rFonts w:ascii="Times New Roman" w:hAnsi="Times New Roman" w:cs="Times New Roman"/>
          <w:i/>
          <w:iCs/>
        </w:rPr>
        <w:t>świadczenie usług na terenie</w:t>
      </w:r>
      <w:r w:rsidRPr="00C14433">
        <w:rPr>
          <w:rFonts w:ascii="Times New Roman" w:hAnsi="Times New Roman" w:cs="Times New Roman"/>
          <w:i/>
          <w:iCs/>
        </w:rPr>
        <w:t xml:space="preserve"> Europejskiego Obszaru Gospodarczego</w:t>
      </w:r>
      <w:r w:rsidR="001D2F57">
        <w:rPr>
          <w:rFonts w:ascii="Times New Roman" w:hAnsi="Times New Roman" w:cs="Times New Roman"/>
          <w:i/>
          <w:iCs/>
        </w:rPr>
        <w:t xml:space="preserve"> </w:t>
      </w:r>
      <w:r w:rsidR="00BF1B6B">
        <w:rPr>
          <w:rFonts w:ascii="Times New Roman" w:hAnsi="Times New Roman" w:cs="Times New Roman"/>
        </w:rPr>
        <w:t>–</w:t>
      </w:r>
      <w:r w:rsidR="001D2F57">
        <w:rPr>
          <w:rFonts w:ascii="Times New Roman" w:hAnsi="Times New Roman" w:cs="Times New Roman"/>
        </w:rPr>
        <w:t xml:space="preserve"> tłumaczy</w:t>
      </w:r>
      <w:r w:rsidRPr="00C14433">
        <w:rPr>
          <w:rFonts w:ascii="Times New Roman" w:hAnsi="Times New Roman" w:cs="Times New Roman"/>
          <w:i/>
          <w:iCs/>
        </w:rPr>
        <w:t xml:space="preserve"> </w:t>
      </w:r>
      <w:r w:rsidRPr="001D2F57">
        <w:rPr>
          <w:rFonts w:ascii="Times New Roman" w:hAnsi="Times New Roman" w:cs="Times New Roman"/>
        </w:rPr>
        <w:t xml:space="preserve">Rajmund Rusiecki z </w:t>
      </w:r>
      <w:proofErr w:type="spellStart"/>
      <w:r w:rsidRPr="001D2F57">
        <w:rPr>
          <w:rFonts w:ascii="Times New Roman" w:hAnsi="Times New Roman" w:cs="Times New Roman"/>
        </w:rPr>
        <w:t>Leadenhall</w:t>
      </w:r>
      <w:proofErr w:type="spellEnd"/>
      <w:r w:rsidR="001D2F57">
        <w:rPr>
          <w:rFonts w:ascii="Times New Roman" w:hAnsi="Times New Roman" w:cs="Times New Roman"/>
          <w:i/>
          <w:iCs/>
        </w:rPr>
        <w:t>.</w:t>
      </w:r>
    </w:p>
    <w:sectPr w:rsidR="001C4582" w:rsidRPr="001D2F5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124F" w14:textId="77777777" w:rsidR="00F73877" w:rsidRDefault="00F73877">
      <w:pPr>
        <w:spacing w:after="0" w:line="240" w:lineRule="auto"/>
      </w:pPr>
      <w:r>
        <w:separator/>
      </w:r>
    </w:p>
  </w:endnote>
  <w:endnote w:type="continuationSeparator" w:id="0">
    <w:p w14:paraId="0C11C3B5" w14:textId="77777777" w:rsidR="00F73877" w:rsidRDefault="00F7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C1E" w14:textId="77777777" w:rsidR="001C4582" w:rsidRDefault="001C458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35B7" w14:textId="77777777" w:rsidR="00F73877" w:rsidRDefault="00F73877">
      <w:pPr>
        <w:spacing w:after="0" w:line="240" w:lineRule="auto"/>
      </w:pPr>
      <w:r>
        <w:separator/>
      </w:r>
    </w:p>
  </w:footnote>
  <w:footnote w:type="continuationSeparator" w:id="0">
    <w:p w14:paraId="029E3C4E" w14:textId="77777777" w:rsidR="00F73877" w:rsidRDefault="00F7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84E2" w14:textId="77777777" w:rsidR="001C4582" w:rsidRDefault="001C458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79D8"/>
    <w:multiLevelType w:val="hybridMultilevel"/>
    <w:tmpl w:val="1D082168"/>
    <w:lvl w:ilvl="0" w:tplc="68505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90E30"/>
    <w:multiLevelType w:val="hybridMultilevel"/>
    <w:tmpl w:val="DDAED5EC"/>
    <w:numStyleLink w:val="Zaimportowanystyl1"/>
  </w:abstractNum>
  <w:abstractNum w:abstractNumId="2" w15:restartNumberingAfterBreak="0">
    <w:nsid w:val="614550BF"/>
    <w:multiLevelType w:val="hybridMultilevel"/>
    <w:tmpl w:val="DDAED5EC"/>
    <w:styleLink w:val="Zaimportowanystyl1"/>
    <w:lvl w:ilvl="0" w:tplc="4E544F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DACA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50EC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05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CDD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F848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0AD3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A67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628E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5D4680"/>
    <w:multiLevelType w:val="multilevel"/>
    <w:tmpl w:val="DD3AA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6881490">
    <w:abstractNumId w:val="2"/>
  </w:num>
  <w:num w:numId="2" w16cid:durableId="1387483725">
    <w:abstractNumId w:val="1"/>
  </w:num>
  <w:num w:numId="3" w16cid:durableId="1231815727">
    <w:abstractNumId w:val="0"/>
  </w:num>
  <w:num w:numId="4" w16cid:durableId="153422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82"/>
    <w:rsid w:val="00015F92"/>
    <w:rsid w:val="000D382B"/>
    <w:rsid w:val="00164963"/>
    <w:rsid w:val="001C4582"/>
    <w:rsid w:val="001D2F57"/>
    <w:rsid w:val="001E7DE9"/>
    <w:rsid w:val="00295B82"/>
    <w:rsid w:val="002A108B"/>
    <w:rsid w:val="002F4984"/>
    <w:rsid w:val="003153BA"/>
    <w:rsid w:val="0034391D"/>
    <w:rsid w:val="004A7378"/>
    <w:rsid w:val="00504BF2"/>
    <w:rsid w:val="0052730B"/>
    <w:rsid w:val="0057425E"/>
    <w:rsid w:val="005A05C1"/>
    <w:rsid w:val="005B65EA"/>
    <w:rsid w:val="005E47EA"/>
    <w:rsid w:val="005F3E29"/>
    <w:rsid w:val="00674860"/>
    <w:rsid w:val="00680FC9"/>
    <w:rsid w:val="00684B70"/>
    <w:rsid w:val="006A63B1"/>
    <w:rsid w:val="006C048D"/>
    <w:rsid w:val="00731548"/>
    <w:rsid w:val="00744C63"/>
    <w:rsid w:val="00755580"/>
    <w:rsid w:val="007C567E"/>
    <w:rsid w:val="00866607"/>
    <w:rsid w:val="009157D5"/>
    <w:rsid w:val="00940107"/>
    <w:rsid w:val="00985A8E"/>
    <w:rsid w:val="00991574"/>
    <w:rsid w:val="00997895"/>
    <w:rsid w:val="00A103E4"/>
    <w:rsid w:val="00A34AD4"/>
    <w:rsid w:val="00AA277E"/>
    <w:rsid w:val="00AE2C8C"/>
    <w:rsid w:val="00AE4DDB"/>
    <w:rsid w:val="00B41C63"/>
    <w:rsid w:val="00B757DE"/>
    <w:rsid w:val="00BA59EE"/>
    <w:rsid w:val="00BF1B6B"/>
    <w:rsid w:val="00C00209"/>
    <w:rsid w:val="00C074F3"/>
    <w:rsid w:val="00C14433"/>
    <w:rsid w:val="00C2493E"/>
    <w:rsid w:val="00C37AED"/>
    <w:rsid w:val="00CD66AF"/>
    <w:rsid w:val="00CF3C62"/>
    <w:rsid w:val="00D67C61"/>
    <w:rsid w:val="00DA7BD8"/>
    <w:rsid w:val="00DD1178"/>
    <w:rsid w:val="00E11B69"/>
    <w:rsid w:val="00E21981"/>
    <w:rsid w:val="00E70F3D"/>
    <w:rsid w:val="00EC52DF"/>
    <w:rsid w:val="00F01C05"/>
    <w:rsid w:val="00F5605B"/>
    <w:rsid w:val="00F6092D"/>
    <w:rsid w:val="00F73877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C205"/>
  <w15:docId w15:val="{392C16AC-E3C9-4CED-BA8F-3E746915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Aptos" w:eastAsia="Aptos" w:hAnsi="Aptos" w:cs="Aptos"/>
      <w:color w:val="000000"/>
      <w:kern w:val="2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Pogrubienie">
    <w:name w:val="Strong"/>
    <w:uiPriority w:val="22"/>
    <w:qFormat/>
    <w:rPr>
      <w:rFonts w:ascii="Aptos" w:eastAsia="Aptos" w:hAnsi="Aptos" w:cs="Aptos"/>
      <w:b/>
      <w:bCs/>
    </w:rPr>
  </w:style>
  <w:style w:type="paragraph" w:styleId="Akapitzlist">
    <w:name w:val="List Paragraph"/>
    <w:pPr>
      <w:spacing w:after="160" w:line="259" w:lineRule="auto"/>
      <w:ind w:left="720"/>
    </w:pPr>
    <w:rPr>
      <w:rFonts w:ascii="Aptos" w:eastAsia="Aptos" w:hAnsi="Aptos" w:cs="Aptos"/>
      <w:color w:val="000000"/>
      <w:kern w:val="2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Poprawka">
    <w:name w:val="Revision"/>
    <w:hidden/>
    <w:uiPriority w:val="99"/>
    <w:semiHidden/>
    <w:rsid w:val="003439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ptos" w:eastAsia="Aptos" w:hAnsi="Aptos" w:cs="Aptos"/>
      <w:color w:val="000000"/>
      <w:kern w:val="2"/>
      <w:sz w:val="22"/>
      <w:szCs w:val="22"/>
      <w:u w:color="000000"/>
    </w:rPr>
  </w:style>
  <w:style w:type="paragraph" w:customStyle="1" w:styleId="text-body">
    <w:name w:val="text-body"/>
    <w:basedOn w:val="Normalny"/>
    <w:rsid w:val="00AE4D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AE4DD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1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Arial" w:hAnsi="Arial" w:cs="Arial"/>
      <w:color w:val="auto"/>
      <w:kern w:val="0"/>
      <w:sz w:val="20"/>
      <w:szCs w:val="20"/>
      <w:bdr w:val="none" w:sz="0" w:space="0" w:color="auto"/>
      <w:lang w:val="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178"/>
    <w:rPr>
      <w:rFonts w:ascii="Arial" w:eastAsia="Arial" w:hAnsi="Arial" w:cs="Arial"/>
      <w:bdr w:val="none" w:sz="0" w:space="0" w:color="auto"/>
      <w:lang w:val="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1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425E"/>
    <w:rPr>
      <w:rFonts w:ascii="Aptos" w:eastAsia="Aptos" w:hAnsi="Aptos" w:cs="Aptos"/>
      <w:color w:val="000000"/>
      <w:kern w:val="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25E"/>
    <w:rPr>
      <w:rFonts w:ascii="Aptos" w:eastAsia="Aptos" w:hAnsi="Aptos" w:cs="Aptos"/>
      <w:b/>
      <w:bCs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Habasiński</cp:lastModifiedBy>
  <cp:revision>22</cp:revision>
  <dcterms:created xsi:type="dcterms:W3CDTF">2024-03-18T11:33:00Z</dcterms:created>
  <dcterms:modified xsi:type="dcterms:W3CDTF">2024-04-09T08:15:00Z</dcterms:modified>
</cp:coreProperties>
</file>