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5D1BCD9C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867175">
        <w:rPr>
          <w:rFonts w:asciiTheme="majorHAnsi" w:hAnsiTheme="majorHAnsi"/>
          <w:sz w:val="18"/>
          <w:szCs w:val="18"/>
          <w:lang w:val="lv-LV"/>
        </w:rPr>
        <w:t xml:space="preserve">Gdańsk, </w:t>
      </w:r>
      <w:r w:rsidR="00867175" w:rsidRPr="00867175">
        <w:rPr>
          <w:rFonts w:asciiTheme="majorHAnsi" w:hAnsiTheme="majorHAnsi"/>
          <w:sz w:val="18"/>
          <w:szCs w:val="18"/>
          <w:lang w:val="lv-LV"/>
        </w:rPr>
        <w:t>2</w:t>
      </w:r>
      <w:r w:rsidR="008F16A7">
        <w:rPr>
          <w:rFonts w:asciiTheme="majorHAnsi" w:hAnsiTheme="majorHAnsi"/>
          <w:sz w:val="18"/>
          <w:szCs w:val="18"/>
          <w:lang w:val="lv-LV"/>
        </w:rPr>
        <w:t>4</w:t>
      </w:r>
      <w:r w:rsidR="005D5807" w:rsidRPr="00867175">
        <w:rPr>
          <w:rFonts w:asciiTheme="majorHAnsi" w:hAnsiTheme="majorHAnsi"/>
          <w:sz w:val="18"/>
          <w:szCs w:val="18"/>
          <w:lang w:val="lv-LV"/>
        </w:rPr>
        <w:t xml:space="preserve"> kwietnia</w:t>
      </w:r>
      <w:r w:rsidRPr="00867175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867175">
        <w:rPr>
          <w:rFonts w:asciiTheme="majorHAnsi" w:hAnsiTheme="majorHAnsi"/>
          <w:sz w:val="18"/>
          <w:szCs w:val="18"/>
          <w:lang w:val="lv-LV"/>
        </w:rPr>
        <w:t>3</w:t>
      </w:r>
      <w:r w:rsidRPr="00867175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867175">
        <w:rPr>
          <w:rFonts w:asciiTheme="majorHAnsi" w:hAnsiTheme="majorHAnsi"/>
          <w:sz w:val="18"/>
          <w:szCs w:val="18"/>
          <w:lang w:val="lv-LV"/>
        </w:rPr>
        <w:t>.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501BEBDC" w:rsidR="00045F40" w:rsidRDefault="00C216A8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C216A8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Rynek odwróconej hipoteki w Polsce. W 2023 r. fundusze wypłaciły klientom prawie 5 mln zł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35B5021B" w14:textId="7866220F" w:rsidR="000460C8" w:rsidRDefault="00684AF0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684AF0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411,6 tys. zł to średnia wartość nieruchomości, którą seniorzy powierzają w zarz</w:t>
      </w:r>
      <w:r w:rsidR="006662D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ą</w:t>
      </w:r>
      <w:r w:rsidRPr="00684AF0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dzanie funduszom hipotecznym w zamian za dożywotnią rentę. Najczęściej z tego rodzaju usługi korzystają mieszkańcy województwa mazowieckiego.</w:t>
      </w:r>
    </w:p>
    <w:p w14:paraId="571FC898" w14:textId="77777777" w:rsidR="000B4E1E" w:rsidRDefault="000B4E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21FE21CD" w14:textId="45BC8DCB" w:rsidR="004F15BA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F15BA">
        <w:rPr>
          <w:rFonts w:asciiTheme="majorHAnsi" w:hAnsiTheme="majorHAnsi"/>
          <w:sz w:val="21"/>
          <w:szCs w:val="21"/>
        </w:rPr>
        <w:t>To wnioski z najnowszej edycji badania rynku odwróconej hipoteki, prowadzonego przez Związek Przedsiębiorstw Finansowych w Polsce (ZPF).</w:t>
      </w:r>
    </w:p>
    <w:p w14:paraId="0DDE366F" w14:textId="77777777" w:rsidR="004F15BA" w:rsidRPr="004F15BA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D637C48" w14:textId="77777777" w:rsidR="004F15BA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F15BA">
        <w:rPr>
          <w:rFonts w:asciiTheme="majorHAnsi" w:hAnsiTheme="majorHAnsi"/>
          <w:sz w:val="21"/>
          <w:szCs w:val="21"/>
        </w:rPr>
        <w:t>Odwrócona hipoteka to nazwa usługi polegającej na tym, że instytucja finansowa wypłaca klientowi dożywotnią rentę w zamian za przeniesienie na nią prawa własności nieruchomości. Jednocześnie klient otrzymuje notarialnie gwarancję dożywotniego zamieszkania we wskazanym lokalu.</w:t>
      </w:r>
    </w:p>
    <w:p w14:paraId="0DDB6DB6" w14:textId="77777777" w:rsidR="004F15BA" w:rsidRPr="004F15BA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CA3A295" w14:textId="360CA7E0" w:rsidR="004F15BA" w:rsidRDefault="004F15BA" w:rsidP="004F15BA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4F15BA">
        <w:rPr>
          <w:rFonts w:asciiTheme="majorHAnsi" w:hAnsiTheme="majorHAnsi"/>
          <w:b/>
          <w:bCs/>
          <w:sz w:val="21"/>
          <w:szCs w:val="21"/>
        </w:rPr>
        <w:t>Wypłaty z funduszy hipotecznych w 2023 r. wzrosły o ponad 50 proc. r/r</w:t>
      </w:r>
    </w:p>
    <w:p w14:paraId="3B73572B" w14:textId="77777777" w:rsidR="004F15BA" w:rsidRPr="004F15BA" w:rsidRDefault="004F15BA" w:rsidP="004F15BA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0CA11276" w14:textId="439BE9B9" w:rsidR="004F15BA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F15BA">
        <w:rPr>
          <w:rFonts w:asciiTheme="majorHAnsi" w:hAnsiTheme="majorHAnsi"/>
          <w:sz w:val="21"/>
          <w:szCs w:val="21"/>
        </w:rPr>
        <w:t>Zrzeszone w ZPF fundusze hipoteczne wypłaciły klientom w 2023 r. renty dożywotnie w łącznej kwocie 4,77 mln zł. To</w:t>
      </w:r>
      <w:r w:rsidR="008C7E22">
        <w:rPr>
          <w:rFonts w:asciiTheme="majorHAnsi" w:hAnsiTheme="majorHAnsi"/>
          <w:sz w:val="21"/>
          <w:szCs w:val="21"/>
        </w:rPr>
        <w:t xml:space="preserve"> o</w:t>
      </w:r>
      <w:r w:rsidRPr="004F15BA">
        <w:rPr>
          <w:rFonts w:asciiTheme="majorHAnsi" w:hAnsiTheme="majorHAnsi"/>
          <w:sz w:val="21"/>
          <w:szCs w:val="21"/>
        </w:rPr>
        <w:t xml:space="preserve"> 53,1 proc. więcej niż w 2022 r.</w:t>
      </w:r>
    </w:p>
    <w:p w14:paraId="09021197" w14:textId="77777777" w:rsidR="004F15BA" w:rsidRPr="004F15BA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A4DF4AA" w14:textId="77777777" w:rsidR="004F15BA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F15BA">
        <w:rPr>
          <w:rFonts w:asciiTheme="majorHAnsi" w:hAnsiTheme="majorHAnsi"/>
          <w:sz w:val="21"/>
          <w:szCs w:val="21"/>
        </w:rPr>
        <w:t>Z danych ZPF wynika również, że w okresie 2010-2023 do seniorów korzystających z odwróconej hipoteki wpłynęły ponad 34 mln zł.</w:t>
      </w:r>
    </w:p>
    <w:p w14:paraId="2AFFBD58" w14:textId="77777777" w:rsidR="006D75B9" w:rsidRDefault="006D75B9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31C61E2" w14:textId="4DEBA3B6" w:rsidR="006D75B9" w:rsidRPr="006D75B9" w:rsidRDefault="006D75B9" w:rsidP="00764652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75B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7200996" wp14:editId="6FA975A6">
            <wp:extent cx="5509260" cy="3239241"/>
            <wp:effectExtent l="0" t="0" r="0" b="0"/>
            <wp:docPr id="14815074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86" cy="324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0CA62" w14:textId="77777777" w:rsidR="006D75B9" w:rsidRDefault="006D75B9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E2604F4" w14:textId="77777777" w:rsidR="004F15BA" w:rsidRPr="004F15BA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79F406C" w14:textId="77777777" w:rsidR="00764652" w:rsidRDefault="00764652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2AFFFD4" w14:textId="5313548B" w:rsidR="004F15BA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F15BA">
        <w:rPr>
          <w:rFonts w:asciiTheme="majorHAnsi" w:hAnsiTheme="majorHAnsi"/>
          <w:sz w:val="21"/>
          <w:szCs w:val="21"/>
        </w:rPr>
        <w:t>W badaniu ZPF fundusze hipoteczne podały również, że na koniec 2023 r. zarządzały nieruchomościami o wartości 158,5 mln zł (+6,2 proc. r/r). Średni metraż nieruchomości, którą klient przekazuje funduszowi w ramach umowy odwróconej hipoteki to 51,</w:t>
      </w:r>
      <w:r w:rsidR="00836BA3">
        <w:rPr>
          <w:rFonts w:asciiTheme="majorHAnsi" w:hAnsiTheme="majorHAnsi"/>
          <w:sz w:val="21"/>
          <w:szCs w:val="21"/>
        </w:rPr>
        <w:t>7</w:t>
      </w:r>
      <w:r w:rsidRPr="004F15BA">
        <w:rPr>
          <w:rFonts w:asciiTheme="majorHAnsi" w:hAnsiTheme="majorHAnsi"/>
          <w:sz w:val="21"/>
          <w:szCs w:val="21"/>
        </w:rPr>
        <w:t xml:space="preserve"> mkw. Jej średnia wartość to 411,6 tys. zł.</w:t>
      </w:r>
    </w:p>
    <w:p w14:paraId="4290D10C" w14:textId="77777777" w:rsidR="003500C8" w:rsidRPr="004F15BA" w:rsidRDefault="003500C8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4F65FD4" w14:textId="48B09512" w:rsidR="004F15BA" w:rsidRDefault="004F15BA" w:rsidP="004F15BA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3500C8">
        <w:rPr>
          <w:rFonts w:asciiTheme="majorHAnsi" w:hAnsiTheme="majorHAnsi"/>
          <w:b/>
          <w:bCs/>
          <w:sz w:val="21"/>
          <w:szCs w:val="21"/>
        </w:rPr>
        <w:t>Kto zwykle korzysta z odwróconej hipoteki?</w:t>
      </w:r>
    </w:p>
    <w:p w14:paraId="5C121E2F" w14:textId="77777777" w:rsidR="003500C8" w:rsidRPr="003500C8" w:rsidRDefault="003500C8" w:rsidP="004F15BA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4AC70C80" w14:textId="7ACD09A4" w:rsidR="004F15BA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F15BA">
        <w:rPr>
          <w:rFonts w:asciiTheme="majorHAnsi" w:hAnsiTheme="majorHAnsi"/>
          <w:sz w:val="21"/>
          <w:szCs w:val="21"/>
        </w:rPr>
        <w:t xml:space="preserve">ZPF zbadał również, kto najczęściej decyduje się na współpracę z funduszami hipotecznymi. </w:t>
      </w:r>
      <w:r w:rsidR="00C05A28">
        <w:rPr>
          <w:rFonts w:asciiTheme="majorHAnsi" w:hAnsiTheme="majorHAnsi"/>
          <w:sz w:val="21"/>
          <w:szCs w:val="21"/>
        </w:rPr>
        <w:br/>
      </w:r>
      <w:r w:rsidRPr="004F15BA">
        <w:rPr>
          <w:rFonts w:asciiTheme="majorHAnsi" w:hAnsiTheme="majorHAnsi"/>
          <w:sz w:val="21"/>
          <w:szCs w:val="21"/>
        </w:rPr>
        <w:t>Z zebranych informacji wynika, że klientami są osoby w wieku 75-80 lat. Uśredniony wiek seniora korzystającego z odwróconej hipoteki w 2023 r. wyniósł 76,6 lat i był zbliżony do wyniku z 2022 r.</w:t>
      </w:r>
    </w:p>
    <w:p w14:paraId="714B088F" w14:textId="77777777" w:rsidR="003500C8" w:rsidRPr="004F15BA" w:rsidRDefault="003500C8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1376516" w14:textId="77777777" w:rsidR="004F15BA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F15BA">
        <w:rPr>
          <w:rFonts w:asciiTheme="majorHAnsi" w:hAnsiTheme="majorHAnsi"/>
          <w:sz w:val="21"/>
          <w:szCs w:val="21"/>
        </w:rPr>
        <w:t>Najwięcej nieruchomości zarządzanych przez fundusze hipoteczne znajduje się w województwie mazowieckim (29,1 proc.). Na drugim miejscu jest województwo pomorskie (11,9 proc.), zaś na trzecim - województwa dolnośląskie i śląskie (po 9,1 proc.).</w:t>
      </w:r>
    </w:p>
    <w:p w14:paraId="5F309C29" w14:textId="77777777" w:rsidR="003500C8" w:rsidRPr="004F15BA" w:rsidRDefault="003500C8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52DEDFC" w14:textId="66E3C089" w:rsidR="004F15BA" w:rsidRDefault="004F15BA" w:rsidP="004F15BA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3500C8">
        <w:rPr>
          <w:rFonts w:asciiTheme="majorHAnsi" w:hAnsiTheme="majorHAnsi"/>
          <w:b/>
          <w:bCs/>
          <w:sz w:val="21"/>
          <w:szCs w:val="21"/>
        </w:rPr>
        <w:t>Wysokość emerytury a poziom życia. Trzy czwarte Polaków obawia się jego pogorszenia</w:t>
      </w:r>
    </w:p>
    <w:p w14:paraId="1BF0C4AB" w14:textId="77777777" w:rsidR="003500C8" w:rsidRPr="003500C8" w:rsidRDefault="003500C8" w:rsidP="004F15BA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E0FB316" w14:textId="77777777" w:rsidR="004F15BA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F15BA">
        <w:rPr>
          <w:rFonts w:asciiTheme="majorHAnsi" w:hAnsiTheme="majorHAnsi"/>
          <w:sz w:val="21"/>
          <w:szCs w:val="21"/>
        </w:rPr>
        <w:t>Renta dożywotnia to jeden ze sposobów na to, by podnieść wysokość comiesięcznych dochodów seniorów.</w:t>
      </w:r>
    </w:p>
    <w:p w14:paraId="6093DDCF" w14:textId="77777777" w:rsidR="00A97E5C" w:rsidRPr="004F15BA" w:rsidRDefault="00A97E5C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8392690" w14:textId="4BFA9876" w:rsidR="003500C8" w:rsidRPr="00515B0D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515B0D">
        <w:rPr>
          <w:rFonts w:asciiTheme="majorHAnsi" w:hAnsiTheme="majorHAnsi"/>
          <w:sz w:val="21"/>
          <w:szCs w:val="21"/>
        </w:rPr>
        <w:t>- Warto pamiętać o tym, że w przyszłości same emerytury nie zapewnią na</w:t>
      </w:r>
      <w:r w:rsidR="005E5453" w:rsidRPr="00515B0D">
        <w:rPr>
          <w:rFonts w:asciiTheme="majorHAnsi" w:hAnsiTheme="majorHAnsi"/>
          <w:sz w:val="21"/>
          <w:szCs w:val="21"/>
        </w:rPr>
        <w:t>m</w:t>
      </w:r>
      <w:r w:rsidRPr="00515B0D">
        <w:rPr>
          <w:rFonts w:asciiTheme="majorHAnsi" w:hAnsiTheme="majorHAnsi"/>
          <w:sz w:val="21"/>
          <w:szCs w:val="21"/>
        </w:rPr>
        <w:t xml:space="preserve"> standardu życia </w:t>
      </w:r>
      <w:r w:rsidR="002610B9">
        <w:rPr>
          <w:rFonts w:asciiTheme="majorHAnsi" w:hAnsiTheme="majorHAnsi"/>
          <w:sz w:val="21"/>
          <w:szCs w:val="21"/>
        </w:rPr>
        <w:br/>
      </w:r>
      <w:r w:rsidRPr="00515B0D">
        <w:rPr>
          <w:rFonts w:asciiTheme="majorHAnsi" w:hAnsiTheme="majorHAnsi"/>
          <w:sz w:val="21"/>
          <w:szCs w:val="21"/>
        </w:rPr>
        <w:t>i dochodów z okresu pracy zawodowej - podkreśla Marcin Czugan, prezes ZPF.</w:t>
      </w:r>
    </w:p>
    <w:p w14:paraId="0EDF788D" w14:textId="77777777" w:rsidR="003500C8" w:rsidRPr="00515B0D" w:rsidRDefault="003500C8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894A46A" w14:textId="648C4F2E" w:rsidR="004F15BA" w:rsidRPr="00515B0D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515B0D">
        <w:rPr>
          <w:rFonts w:asciiTheme="majorHAnsi" w:hAnsiTheme="majorHAnsi"/>
          <w:sz w:val="21"/>
          <w:szCs w:val="21"/>
        </w:rPr>
        <w:t xml:space="preserve">Wskazuje, że chociaż prawie trzy czwarte Polaków ma świadomość, że przyszła emerytura nie </w:t>
      </w:r>
      <w:r w:rsidR="005C38D3" w:rsidRPr="00515B0D">
        <w:rPr>
          <w:rFonts w:asciiTheme="majorHAnsi" w:hAnsiTheme="majorHAnsi"/>
          <w:sz w:val="21"/>
          <w:szCs w:val="21"/>
        </w:rPr>
        <w:t xml:space="preserve">wystarczy </w:t>
      </w:r>
      <w:r w:rsidRPr="00515B0D">
        <w:rPr>
          <w:rFonts w:asciiTheme="majorHAnsi" w:hAnsiTheme="majorHAnsi"/>
          <w:sz w:val="21"/>
          <w:szCs w:val="21"/>
        </w:rPr>
        <w:t xml:space="preserve">im </w:t>
      </w:r>
      <w:r w:rsidR="00606283" w:rsidRPr="00515B0D">
        <w:rPr>
          <w:rFonts w:asciiTheme="majorHAnsi" w:hAnsiTheme="majorHAnsi"/>
          <w:sz w:val="21"/>
          <w:szCs w:val="21"/>
        </w:rPr>
        <w:t xml:space="preserve">na utrzymanie </w:t>
      </w:r>
      <w:r w:rsidRPr="00515B0D">
        <w:rPr>
          <w:rFonts w:asciiTheme="majorHAnsi" w:hAnsiTheme="majorHAnsi"/>
          <w:sz w:val="21"/>
          <w:szCs w:val="21"/>
        </w:rPr>
        <w:t>odpowiedniego poziomu życia, to niepokojące jest to, iż jednocześnie ponad 40 proc. nie podejmuje żadnych kroków, by zapewnić sobie dodatkowe środki na emeryturze (badanie ZPF i IRG SGH Sytuacja na rynku consumer finance).</w:t>
      </w:r>
    </w:p>
    <w:p w14:paraId="2BAF2F72" w14:textId="77777777" w:rsidR="003500C8" w:rsidRPr="00515B0D" w:rsidRDefault="003500C8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9745A9C" w14:textId="5D434EC0" w:rsidR="004F15BA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515B0D">
        <w:rPr>
          <w:rFonts w:asciiTheme="majorHAnsi" w:hAnsiTheme="majorHAnsi"/>
          <w:sz w:val="21"/>
          <w:szCs w:val="21"/>
        </w:rPr>
        <w:t xml:space="preserve">- Świadomość tego, że przyszła emerytura </w:t>
      </w:r>
      <w:r w:rsidR="00CB1CF2" w:rsidRPr="00515B0D">
        <w:rPr>
          <w:rFonts w:asciiTheme="majorHAnsi" w:hAnsiTheme="majorHAnsi"/>
          <w:sz w:val="21"/>
          <w:szCs w:val="21"/>
        </w:rPr>
        <w:t>prawdopodobnie będzie</w:t>
      </w:r>
      <w:r w:rsidRPr="00515B0D">
        <w:rPr>
          <w:rFonts w:asciiTheme="majorHAnsi" w:hAnsiTheme="majorHAnsi"/>
          <w:sz w:val="21"/>
          <w:szCs w:val="21"/>
        </w:rPr>
        <w:t xml:space="preserve"> niska, może być czynnikiem, który spowoduje, że więcej pracowników będzie dobrowolnie dłużej pozostawać na rynku pracy, aby zwiększyć swoją emeryturę albo będą korzystali z innych rozwiązań proponowanych przez instytucje finansowe - uważa Marcin Czugan.</w:t>
      </w:r>
    </w:p>
    <w:p w14:paraId="15487BFC" w14:textId="77777777" w:rsidR="003500C8" w:rsidRPr="004F15BA" w:rsidRDefault="003500C8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E1F2166" w14:textId="77777777" w:rsidR="00482D63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F15BA">
        <w:rPr>
          <w:rFonts w:asciiTheme="majorHAnsi" w:hAnsiTheme="majorHAnsi"/>
          <w:sz w:val="21"/>
          <w:szCs w:val="21"/>
        </w:rPr>
        <w:t>***</w:t>
      </w:r>
    </w:p>
    <w:p w14:paraId="01D9EA86" w14:textId="77777777" w:rsidR="00482D63" w:rsidRDefault="00482D63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48F02C7" w14:textId="4B511D32" w:rsidR="004F15BA" w:rsidRDefault="004F15BA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F15BA">
        <w:rPr>
          <w:rFonts w:asciiTheme="majorHAnsi" w:hAnsiTheme="majorHAnsi"/>
          <w:sz w:val="21"/>
          <w:szCs w:val="21"/>
        </w:rPr>
        <w:t xml:space="preserve">Raport ZPF o rynku odwróconej hipoteki w 2023 r. wraz z komentarzami jest dostępny na stronie: </w:t>
      </w:r>
      <w:hyperlink r:id="rId12" w:history="1">
        <w:r w:rsidR="00482D63" w:rsidRPr="00485B2D">
          <w:rPr>
            <w:rStyle w:val="Hipercze"/>
            <w:rFonts w:asciiTheme="majorHAnsi" w:hAnsiTheme="majorHAnsi" w:cs="Arial"/>
            <w:sz w:val="21"/>
            <w:szCs w:val="21"/>
          </w:rPr>
          <w:t>https://zpf.pl/badania-i-publikacje/raporty/</w:t>
        </w:r>
      </w:hyperlink>
      <w:r w:rsidRPr="004F15BA">
        <w:rPr>
          <w:rFonts w:asciiTheme="majorHAnsi" w:hAnsiTheme="majorHAnsi"/>
          <w:sz w:val="21"/>
          <w:szCs w:val="21"/>
        </w:rPr>
        <w:t>.</w:t>
      </w:r>
    </w:p>
    <w:p w14:paraId="4054675B" w14:textId="77777777" w:rsidR="00482D63" w:rsidRPr="004F15BA" w:rsidRDefault="00482D63" w:rsidP="004F15B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4C80C685" w14:textId="77777777" w:rsidR="00482D63" w:rsidRDefault="004F15BA" w:rsidP="00482D6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F15BA">
        <w:rPr>
          <w:rFonts w:asciiTheme="majorHAnsi" w:hAnsiTheme="majorHAnsi"/>
          <w:sz w:val="21"/>
          <w:szCs w:val="21"/>
        </w:rPr>
        <w:t xml:space="preserve">W przypadku dodatkowych pytań prosimy o kontakt na adres: </w:t>
      </w:r>
      <w:hyperlink r:id="rId13" w:history="1">
        <w:r w:rsidR="00482D63" w:rsidRPr="00485B2D">
          <w:rPr>
            <w:rStyle w:val="Hipercze"/>
            <w:rFonts w:asciiTheme="majorHAnsi" w:hAnsiTheme="majorHAnsi" w:cs="Arial"/>
            <w:sz w:val="21"/>
            <w:szCs w:val="21"/>
          </w:rPr>
          <w:t>media@zpf.pl</w:t>
        </w:r>
      </w:hyperlink>
      <w:r w:rsidRPr="004F15BA">
        <w:rPr>
          <w:rFonts w:asciiTheme="majorHAnsi" w:hAnsiTheme="majorHAnsi"/>
          <w:sz w:val="21"/>
          <w:szCs w:val="21"/>
        </w:rPr>
        <w:t>.</w:t>
      </w:r>
      <w:bookmarkStart w:id="0" w:name="_Hlk120263354"/>
    </w:p>
    <w:p w14:paraId="342DE916" w14:textId="77777777" w:rsidR="00482D63" w:rsidRDefault="00482D63" w:rsidP="00482D6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50827CE" w14:textId="77777777" w:rsidR="00764652" w:rsidRDefault="00764652" w:rsidP="00482D63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E21B530" w14:textId="77777777" w:rsidR="00764652" w:rsidRDefault="00764652" w:rsidP="00482D63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4F944D8" w14:textId="77777777" w:rsidR="00764652" w:rsidRDefault="00764652" w:rsidP="00482D63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118A6D0" w14:textId="77777777" w:rsidR="00764652" w:rsidRDefault="00764652" w:rsidP="00482D63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AEBB1A9" w14:textId="77777777" w:rsidR="00764652" w:rsidRDefault="00764652" w:rsidP="00482D63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601259B" w14:textId="77777777" w:rsidR="00764652" w:rsidRDefault="00764652" w:rsidP="00482D63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96FD8C0" w14:textId="77777777" w:rsidR="00D54B38" w:rsidRDefault="00D54B38" w:rsidP="00482D63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E5F2C38" w14:textId="78156FD3" w:rsidR="009E2E31" w:rsidRPr="00482D63" w:rsidRDefault="009E2E31" w:rsidP="00482D63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9E2E31">
        <w:rPr>
          <w:rFonts w:asciiTheme="majorHAnsi" w:hAnsiTheme="majorHAnsi" w:cstheme="minorHAnsi"/>
          <w:sz w:val="22"/>
          <w:szCs w:val="22"/>
        </w:rPr>
        <w:t>***</w:t>
      </w:r>
    </w:p>
    <w:p w14:paraId="0E1F35CA" w14:textId="77777777" w:rsidR="009E2E31" w:rsidRDefault="009E2E31" w:rsidP="009E2E31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864F6D3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0B4E1E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A" w14:textId="77777777" w:rsidR="00045F40" w:rsidRDefault="00BD43CA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hyperlink r:id="rId15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0"/>
    </w:p>
    <w:p w14:paraId="04A002BB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6"/>
      <w:footerReference w:type="default" r:id="rId17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55A44" w14:textId="77777777" w:rsidR="002D7393" w:rsidRDefault="002D7393">
      <w:r>
        <w:separator/>
      </w:r>
    </w:p>
    <w:p w14:paraId="0704C5B0" w14:textId="77777777" w:rsidR="002D7393" w:rsidRDefault="002D7393"/>
  </w:endnote>
  <w:endnote w:type="continuationSeparator" w:id="0">
    <w:p w14:paraId="48058B8B" w14:textId="77777777" w:rsidR="002D7393" w:rsidRDefault="002D7393">
      <w:r>
        <w:continuationSeparator/>
      </w:r>
    </w:p>
    <w:p w14:paraId="17C724F2" w14:textId="77777777" w:rsidR="002D7393" w:rsidRDefault="002D7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5727A" w14:textId="77777777" w:rsidR="002D7393" w:rsidRDefault="002D7393">
      <w:r>
        <w:separator/>
      </w:r>
    </w:p>
    <w:p w14:paraId="42958305" w14:textId="77777777" w:rsidR="002D7393" w:rsidRDefault="002D7393"/>
  </w:footnote>
  <w:footnote w:type="continuationSeparator" w:id="0">
    <w:p w14:paraId="57C26767" w14:textId="77777777" w:rsidR="002D7393" w:rsidRDefault="002D7393">
      <w:r>
        <w:continuationSeparator/>
      </w:r>
    </w:p>
    <w:p w14:paraId="5805C7BD" w14:textId="77777777" w:rsidR="002D7393" w:rsidRDefault="002D73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0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8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1"/>
  </w:num>
  <w:num w:numId="6" w16cid:durableId="598292792">
    <w:abstractNumId w:val="15"/>
  </w:num>
  <w:num w:numId="7" w16cid:durableId="1972049076">
    <w:abstractNumId w:val="1"/>
  </w:num>
  <w:num w:numId="8" w16cid:durableId="977028122">
    <w:abstractNumId w:val="8"/>
  </w:num>
  <w:num w:numId="9" w16cid:durableId="1994217558">
    <w:abstractNumId w:val="7"/>
  </w:num>
  <w:num w:numId="10" w16cid:durableId="501895109">
    <w:abstractNumId w:val="23"/>
  </w:num>
  <w:num w:numId="11" w16cid:durableId="482158256">
    <w:abstractNumId w:val="10"/>
  </w:num>
  <w:num w:numId="12" w16cid:durableId="1822187499">
    <w:abstractNumId w:val="21"/>
  </w:num>
  <w:num w:numId="13" w16cid:durableId="1256595171">
    <w:abstractNumId w:val="14"/>
  </w:num>
  <w:num w:numId="14" w16cid:durableId="362557525">
    <w:abstractNumId w:val="18"/>
  </w:num>
  <w:num w:numId="15" w16cid:durableId="1500197127">
    <w:abstractNumId w:val="24"/>
  </w:num>
  <w:num w:numId="16" w16cid:durableId="395982433">
    <w:abstractNumId w:val="25"/>
  </w:num>
  <w:num w:numId="17" w16cid:durableId="1426803212">
    <w:abstractNumId w:val="19"/>
  </w:num>
  <w:num w:numId="18" w16cid:durableId="1896617993">
    <w:abstractNumId w:val="9"/>
  </w:num>
  <w:num w:numId="19" w16cid:durableId="432365694">
    <w:abstractNumId w:val="20"/>
  </w:num>
  <w:num w:numId="20" w16cid:durableId="1095058326">
    <w:abstractNumId w:val="13"/>
  </w:num>
  <w:num w:numId="21" w16cid:durableId="193081461">
    <w:abstractNumId w:val="26"/>
  </w:num>
  <w:num w:numId="22" w16cid:durableId="1131940714">
    <w:abstractNumId w:val="2"/>
  </w:num>
  <w:num w:numId="23" w16cid:durableId="1727991563">
    <w:abstractNumId w:val="16"/>
  </w:num>
  <w:num w:numId="24" w16cid:durableId="617488062">
    <w:abstractNumId w:val="29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2"/>
  </w:num>
  <w:num w:numId="28" w16cid:durableId="777801040">
    <w:abstractNumId w:val="27"/>
  </w:num>
  <w:num w:numId="29" w16cid:durableId="1350133745">
    <w:abstractNumId w:val="17"/>
  </w:num>
  <w:num w:numId="30" w16cid:durableId="2193622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45F40"/>
    <w:rsid w:val="000460C8"/>
    <w:rsid w:val="00075527"/>
    <w:rsid w:val="00085921"/>
    <w:rsid w:val="00087092"/>
    <w:rsid w:val="000B4E1E"/>
    <w:rsid w:val="00124A28"/>
    <w:rsid w:val="00167E29"/>
    <w:rsid w:val="001C3BD3"/>
    <w:rsid w:val="001F6B12"/>
    <w:rsid w:val="002610B9"/>
    <w:rsid w:val="002C2F51"/>
    <w:rsid w:val="002D7393"/>
    <w:rsid w:val="0032709E"/>
    <w:rsid w:val="003500C8"/>
    <w:rsid w:val="00385E0B"/>
    <w:rsid w:val="003944E5"/>
    <w:rsid w:val="00482D63"/>
    <w:rsid w:val="004C1C5A"/>
    <w:rsid w:val="004E7FF6"/>
    <w:rsid w:val="004F15BA"/>
    <w:rsid w:val="00502381"/>
    <w:rsid w:val="00515B0D"/>
    <w:rsid w:val="005C38D3"/>
    <w:rsid w:val="005D5807"/>
    <w:rsid w:val="005E5453"/>
    <w:rsid w:val="00606283"/>
    <w:rsid w:val="0064291B"/>
    <w:rsid w:val="006662DB"/>
    <w:rsid w:val="00684AF0"/>
    <w:rsid w:val="006B0455"/>
    <w:rsid w:val="006D75B9"/>
    <w:rsid w:val="00710777"/>
    <w:rsid w:val="00734A7A"/>
    <w:rsid w:val="007431C9"/>
    <w:rsid w:val="007573C1"/>
    <w:rsid w:val="00764652"/>
    <w:rsid w:val="00836BA3"/>
    <w:rsid w:val="00867175"/>
    <w:rsid w:val="008B245F"/>
    <w:rsid w:val="008C7E22"/>
    <w:rsid w:val="008F16A7"/>
    <w:rsid w:val="009E2E31"/>
    <w:rsid w:val="00A63F45"/>
    <w:rsid w:val="00A97E5C"/>
    <w:rsid w:val="00B5272A"/>
    <w:rsid w:val="00B65F52"/>
    <w:rsid w:val="00BA49AA"/>
    <w:rsid w:val="00BD43CA"/>
    <w:rsid w:val="00BF4FCC"/>
    <w:rsid w:val="00C05A28"/>
    <w:rsid w:val="00C216A8"/>
    <w:rsid w:val="00CB1CF2"/>
    <w:rsid w:val="00D000AB"/>
    <w:rsid w:val="00D5152B"/>
    <w:rsid w:val="00D54B38"/>
    <w:rsid w:val="00E4301A"/>
    <w:rsid w:val="00E45140"/>
    <w:rsid w:val="00E87DEC"/>
    <w:rsid w:val="00EE0154"/>
    <w:rsid w:val="00F03137"/>
    <w:rsid w:val="00F9367A"/>
    <w:rsid w:val="00F9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zpf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pf.pl/badania-i-publikacje/raport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zp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612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40</cp:revision>
  <cp:lastPrinted>2020-05-13T19:23:00Z</cp:lastPrinted>
  <dcterms:created xsi:type="dcterms:W3CDTF">2023-05-11T17:53:00Z</dcterms:created>
  <dcterms:modified xsi:type="dcterms:W3CDTF">2024-04-19T06:34:00Z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