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FFC1" w14:textId="77777777" w:rsidR="009211D8" w:rsidRDefault="009211D8" w:rsidP="009211D8">
      <w:r>
        <w:rPr>
          <w:noProof/>
        </w:rPr>
        <w:drawing>
          <wp:inline distT="0" distB="0" distL="0" distR="0" wp14:anchorId="149469FA" wp14:editId="1CB2519F">
            <wp:extent cx="1836420" cy="1002126"/>
            <wp:effectExtent l="0" t="0" r="0" b="7620"/>
            <wp:docPr id="42091724" name="Obraz 2" descr="Obraz zawierający Czcionka, tekst, Grafi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1724" name="Obraz 2" descr="Obraz zawierający Czcionka, tekst, Grafika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7" cy="101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154B9" w14:textId="4DF32654" w:rsidR="009211D8" w:rsidRPr="00146FBC" w:rsidRDefault="009211D8" w:rsidP="009211D8">
      <w:pPr>
        <w:jc w:val="right"/>
        <w:rPr>
          <w:rFonts w:cstheme="minorHAnsi"/>
        </w:rPr>
      </w:pPr>
      <w:proofErr w:type="spellStart"/>
      <w:r w:rsidRPr="00146FBC">
        <w:rPr>
          <w:rFonts w:cstheme="minorHAnsi"/>
        </w:rPr>
        <w:t>Marbella</w:t>
      </w:r>
      <w:proofErr w:type="spellEnd"/>
      <w:r w:rsidRPr="00146FBC">
        <w:rPr>
          <w:rFonts w:cstheme="minorHAnsi"/>
        </w:rPr>
        <w:t xml:space="preserve">, </w:t>
      </w:r>
      <w:r>
        <w:rPr>
          <w:rFonts w:cstheme="minorHAnsi"/>
        </w:rPr>
        <w:t>1</w:t>
      </w:r>
      <w:r w:rsidR="00A717B7">
        <w:rPr>
          <w:rFonts w:cstheme="minorHAnsi"/>
        </w:rPr>
        <w:t>5</w:t>
      </w:r>
      <w:r>
        <w:rPr>
          <w:rFonts w:cstheme="minorHAnsi"/>
        </w:rPr>
        <w:t>.09.</w:t>
      </w:r>
      <w:r w:rsidRPr="00146FBC">
        <w:rPr>
          <w:rFonts w:cstheme="minorHAnsi"/>
        </w:rPr>
        <w:t>202</w:t>
      </w:r>
      <w:r>
        <w:rPr>
          <w:rFonts w:cstheme="minorHAnsi"/>
        </w:rPr>
        <w:t xml:space="preserve">5 </w:t>
      </w:r>
      <w:r w:rsidRPr="00146FBC">
        <w:rPr>
          <w:rFonts w:cstheme="minorHAnsi"/>
        </w:rPr>
        <w:t xml:space="preserve">r. </w:t>
      </w:r>
      <w:r>
        <w:rPr>
          <w:rFonts w:cstheme="minorHAnsi"/>
        </w:rPr>
        <w:br/>
      </w:r>
      <w:r w:rsidRPr="00146FBC">
        <w:rPr>
          <w:rFonts w:cstheme="minorHAnsi"/>
        </w:rPr>
        <w:t>INFORMACJA PRASOWA</w:t>
      </w:r>
    </w:p>
    <w:p w14:paraId="63E4C4ED" w14:textId="7A9D20B0" w:rsidR="00734364" w:rsidRPr="00F866A0" w:rsidRDefault="00734364" w:rsidP="00734364">
      <w:pPr>
        <w:rPr>
          <w:rFonts w:cstheme="minorHAnsi"/>
        </w:rPr>
      </w:pPr>
      <w:r w:rsidRPr="00F866A0">
        <w:rPr>
          <w:rFonts w:cstheme="minorHAnsi"/>
          <w:b/>
          <w:bCs/>
        </w:rPr>
        <w:t xml:space="preserve">Podatki </w:t>
      </w:r>
      <w:r w:rsidR="00203D91" w:rsidRPr="00F866A0">
        <w:rPr>
          <w:rFonts w:cstheme="minorHAnsi"/>
          <w:b/>
          <w:bCs/>
        </w:rPr>
        <w:t>w</w:t>
      </w:r>
      <w:r w:rsidRPr="00F866A0">
        <w:rPr>
          <w:rFonts w:cstheme="minorHAnsi"/>
          <w:b/>
          <w:bCs/>
        </w:rPr>
        <w:t xml:space="preserve"> Hiszpanii. Co </w:t>
      </w:r>
      <w:r w:rsidR="00203D91" w:rsidRPr="00F866A0">
        <w:rPr>
          <w:rFonts w:cstheme="minorHAnsi"/>
          <w:b/>
          <w:bCs/>
        </w:rPr>
        <w:t>powinni wiedzieć nierezydenci</w:t>
      </w:r>
      <w:r w:rsidRPr="00F866A0">
        <w:rPr>
          <w:rFonts w:cstheme="minorHAnsi"/>
          <w:b/>
          <w:bCs/>
        </w:rPr>
        <w:t>?</w:t>
      </w:r>
      <w:r w:rsidRPr="00F866A0">
        <w:rPr>
          <w:rFonts w:cstheme="minorHAnsi"/>
        </w:rPr>
        <w:t xml:space="preserve"> </w:t>
      </w:r>
    </w:p>
    <w:p w14:paraId="3C720421" w14:textId="6AB70E45" w:rsidR="009211D8" w:rsidRPr="00F866A0" w:rsidRDefault="00273C7B" w:rsidP="00273C7B">
      <w:pPr>
        <w:jc w:val="both"/>
        <w:rPr>
          <w:rFonts w:cstheme="minorHAnsi"/>
          <w:b/>
          <w:bCs/>
        </w:rPr>
      </w:pPr>
      <w:r w:rsidRPr="00F866A0">
        <w:rPr>
          <w:rFonts w:cstheme="minorHAnsi"/>
          <w:b/>
          <w:bCs/>
        </w:rPr>
        <w:t>Hiszpański rynek nieruchomości w ostatnich latach przyciąga coraz więcej inwestorów, również z Polski, którzy poszukują bezpiecznych i opłacalnych destynacji na południu Europy. Zanim zdecydujemy się jednak na zakup domu lub mieszkania, warto poznać podstawowe zasady opodatkowania dla nierezydentów. Odpowiednie przygotowanie pozwoli uniknąć nieprzyjemnych niespodzianek i sprawi, że transakcja przebiegnie bezproblemowo.</w:t>
      </w:r>
    </w:p>
    <w:p w14:paraId="6C2C793A" w14:textId="4C702966" w:rsidR="003E5B57" w:rsidRPr="00F866A0" w:rsidRDefault="003E5B57" w:rsidP="00A717B7">
      <w:pPr>
        <w:jc w:val="both"/>
        <w:rPr>
          <w:rFonts w:cstheme="minorHAnsi"/>
          <w:shd w:val="clear" w:color="auto" w:fill="FFFFFF"/>
        </w:rPr>
      </w:pPr>
      <w:r w:rsidRPr="00F866A0">
        <w:rPr>
          <w:rFonts w:cstheme="minorHAnsi"/>
          <w:shd w:val="clear" w:color="auto" w:fill="FFFFFF"/>
        </w:rPr>
        <w:t>IRNR to hiszpański podatek dochodowy od nierezydentów. Dotyczy wszystkich cudzoziemców, którzy posiadają nieruchomości w Hiszpanii, ale nie mają t</w:t>
      </w:r>
      <w:r w:rsidR="000E5394" w:rsidRPr="00F866A0">
        <w:rPr>
          <w:rFonts w:cstheme="minorHAnsi"/>
          <w:shd w:val="clear" w:color="auto" w:fill="FFFFFF"/>
        </w:rPr>
        <w:t>u</w:t>
      </w:r>
      <w:r w:rsidRPr="00F866A0">
        <w:rPr>
          <w:rFonts w:cstheme="minorHAnsi"/>
          <w:shd w:val="clear" w:color="auto" w:fill="FFFFFF"/>
        </w:rPr>
        <w:t xml:space="preserve"> rezydencji podatkowej</w:t>
      </w:r>
      <w:r w:rsidR="00A717B7" w:rsidRPr="00F866A0">
        <w:rPr>
          <w:rFonts w:cstheme="minorHAnsi"/>
          <w:shd w:val="clear" w:color="auto" w:fill="FFFFFF"/>
        </w:rPr>
        <w:t xml:space="preserve">, czyli </w:t>
      </w:r>
      <w:r w:rsidRPr="00F866A0">
        <w:rPr>
          <w:rFonts w:cstheme="minorHAnsi"/>
          <w:shd w:val="clear" w:color="auto" w:fill="FFFFFF"/>
        </w:rPr>
        <w:t xml:space="preserve">nie przebywają w </w:t>
      </w:r>
      <w:r w:rsidR="00A717B7" w:rsidRPr="00F866A0">
        <w:rPr>
          <w:rFonts w:cstheme="minorHAnsi"/>
          <w:shd w:val="clear" w:color="auto" w:fill="FFFFFF"/>
        </w:rPr>
        <w:t xml:space="preserve">tym </w:t>
      </w:r>
      <w:r w:rsidRPr="00F866A0">
        <w:rPr>
          <w:rFonts w:cstheme="minorHAnsi"/>
          <w:shd w:val="clear" w:color="auto" w:fill="FFFFFF"/>
        </w:rPr>
        <w:t>kraju przez co najmniej 183 dni w roku. Co istotne, podatek ten naliczany jest niezależnie od tego, czy nieruchomość jest wynajmowana, czy wykorzystywana wyłącznie na własne potrzeby.</w:t>
      </w:r>
    </w:p>
    <w:p w14:paraId="72DA0FC6" w14:textId="161748E9" w:rsidR="00775B05" w:rsidRPr="00F866A0" w:rsidRDefault="004C19A3" w:rsidP="00FE30D5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  <w:r w:rsidRPr="00F866A0">
        <w:rPr>
          <w:rFonts w:eastAsia="Times New Roman" w:cstheme="minorHAnsi"/>
          <w:kern w:val="0"/>
          <w:lang w:eastAsia="pl-PL"/>
          <w14:ligatures w14:val="none"/>
        </w:rPr>
        <w:t>W przypadku wynajmu właściciel musi zapłacić podatek od uzyskanego dochodu, po odliczeniu kosztów. Jednak największe kontrowersje budzi opodatkowanie tzw. fikcyjnego dochodu</w:t>
      </w:r>
      <w:r w:rsidR="0078465B" w:rsidRPr="00F866A0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  <w:r w:rsidRPr="00F866A0">
        <w:rPr>
          <w:rFonts w:eastAsia="Times New Roman" w:cstheme="minorHAnsi"/>
          <w:kern w:val="0"/>
          <w:lang w:eastAsia="pl-PL"/>
          <w14:ligatures w14:val="none"/>
        </w:rPr>
        <w:t xml:space="preserve"> czyli sytuacji, gdy właściciel nie czerpie żadnych realnych zysków z nieruchomości, a mimo to musi odprowadzić podatek tylko za sam fakt jej posiadania.</w:t>
      </w:r>
      <w:r w:rsidR="00A717B7" w:rsidRPr="00F866A0">
        <w:rPr>
          <w:rFonts w:cstheme="minorHAnsi"/>
        </w:rPr>
        <w:t xml:space="preserve"> </w:t>
      </w:r>
      <w:r w:rsidR="00362C00" w:rsidRPr="00F866A0">
        <w:rPr>
          <w:rFonts w:cstheme="minorHAnsi"/>
        </w:rPr>
        <w:t>Wysokość podatku zależy od kraju rezydencji podatnika oraz rodzaju uzyskiwanego dochodu. Warto pamiętać, że nierezydent nie rozlicza się w Hiszpanii z dochodów uzyskanych poza jej terytorium – opodatkowaniu podlegają wyłącznie dochody hiszpańskie.</w:t>
      </w:r>
    </w:p>
    <w:p w14:paraId="06435499" w14:textId="7137D5FB" w:rsidR="004C19A3" w:rsidRPr="00F866A0" w:rsidRDefault="004C19A3" w:rsidP="00FE30D5">
      <w:pPr>
        <w:pStyle w:val="Normalny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866A0">
        <w:rPr>
          <w:rFonts w:asciiTheme="minorHAnsi" w:hAnsiTheme="minorHAnsi" w:cstheme="minorHAnsi"/>
          <w:sz w:val="22"/>
          <w:szCs w:val="22"/>
        </w:rPr>
        <w:t xml:space="preserve">IRNR jest jednym ze zobowiązań podatkowych dla obcokrajowców posiadających nieruchomości lub uzyskujących dochody na terenie Hiszpanii. </w:t>
      </w:r>
      <w:r w:rsidR="00A717B7" w:rsidRPr="00F866A0">
        <w:rPr>
          <w:rFonts w:asciiTheme="minorHAnsi" w:hAnsiTheme="minorHAnsi" w:cstheme="minorHAnsi"/>
          <w:sz w:val="22"/>
          <w:szCs w:val="22"/>
        </w:rPr>
        <w:t>Aktualnie</w:t>
      </w:r>
      <w:r w:rsidRPr="00F866A0">
        <w:rPr>
          <w:rFonts w:asciiTheme="minorHAnsi" w:hAnsiTheme="minorHAnsi" w:cstheme="minorHAnsi"/>
          <w:sz w:val="22"/>
          <w:szCs w:val="22"/>
        </w:rPr>
        <w:t xml:space="preserve"> jest to </w:t>
      </w:r>
      <w:r w:rsidR="00A30A54" w:rsidRPr="00F866A0">
        <w:rPr>
          <w:rFonts w:asciiTheme="minorHAnsi" w:hAnsiTheme="minorHAnsi" w:cstheme="minorHAnsi"/>
          <w:sz w:val="22"/>
          <w:szCs w:val="22"/>
        </w:rPr>
        <w:t xml:space="preserve">temat </w:t>
      </w:r>
      <w:r w:rsidRPr="00F866A0">
        <w:rPr>
          <w:rFonts w:asciiTheme="minorHAnsi" w:hAnsiTheme="minorHAnsi" w:cstheme="minorHAnsi"/>
          <w:sz w:val="22"/>
          <w:szCs w:val="22"/>
        </w:rPr>
        <w:t>gorący, ponieważ Komisja Europejska uznała</w:t>
      </w:r>
      <w:r w:rsidR="00A30A54" w:rsidRPr="00F866A0">
        <w:rPr>
          <w:rFonts w:asciiTheme="minorHAnsi" w:hAnsiTheme="minorHAnsi" w:cstheme="minorHAnsi"/>
          <w:sz w:val="22"/>
          <w:szCs w:val="22"/>
        </w:rPr>
        <w:t xml:space="preserve"> </w:t>
      </w:r>
      <w:r w:rsidRPr="00F866A0">
        <w:rPr>
          <w:rFonts w:asciiTheme="minorHAnsi" w:hAnsiTheme="minorHAnsi" w:cstheme="minorHAnsi"/>
          <w:sz w:val="22"/>
          <w:szCs w:val="22"/>
        </w:rPr>
        <w:t>obowiązujące prawo za dyskryminujące.</w:t>
      </w:r>
      <w:r w:rsidR="000E5394" w:rsidRPr="00F866A0">
        <w:rPr>
          <w:rFonts w:asciiTheme="minorHAnsi" w:hAnsiTheme="minorHAnsi" w:cstheme="minorHAnsi"/>
          <w:sz w:val="22"/>
          <w:szCs w:val="22"/>
        </w:rPr>
        <w:t xml:space="preserve"> </w:t>
      </w:r>
      <w:r w:rsidRPr="00F866A0">
        <w:rPr>
          <w:rFonts w:asciiTheme="minorHAnsi" w:hAnsiTheme="minorHAnsi" w:cstheme="minorHAnsi"/>
          <w:sz w:val="22"/>
          <w:szCs w:val="22"/>
        </w:rPr>
        <w:t xml:space="preserve">18 czerwca 2025 r. </w:t>
      </w:r>
      <w:r w:rsidR="00A717B7" w:rsidRPr="00F866A0">
        <w:rPr>
          <w:rFonts w:asciiTheme="minorHAnsi" w:hAnsiTheme="minorHAnsi" w:cstheme="minorHAnsi"/>
          <w:sz w:val="22"/>
          <w:szCs w:val="22"/>
        </w:rPr>
        <w:t>KE</w:t>
      </w:r>
      <w:r w:rsidRPr="00F866A0">
        <w:rPr>
          <w:rFonts w:asciiTheme="minorHAnsi" w:hAnsiTheme="minorHAnsi" w:cstheme="minorHAnsi"/>
          <w:sz w:val="22"/>
          <w:szCs w:val="22"/>
        </w:rPr>
        <w:t xml:space="preserve"> wszczęła oficjalne postępowanie przeciwko Hiszpanii, zarzucając jej naruszenie unijnych zasad swobody przepływu kapitału i pracowników. </w:t>
      </w:r>
      <w:r w:rsidR="00A717B7" w:rsidRPr="00F866A0">
        <w:rPr>
          <w:rFonts w:asciiTheme="minorHAnsi" w:hAnsiTheme="minorHAnsi" w:cstheme="minorHAnsi"/>
          <w:sz w:val="22"/>
          <w:szCs w:val="22"/>
        </w:rPr>
        <w:t>U</w:t>
      </w:r>
      <w:r w:rsidRPr="00F866A0">
        <w:rPr>
          <w:rFonts w:asciiTheme="minorHAnsi" w:hAnsiTheme="minorHAnsi" w:cstheme="minorHAnsi"/>
          <w:sz w:val="22"/>
          <w:szCs w:val="22"/>
        </w:rPr>
        <w:t>znała, że obecne przepisy dyskryminują nierezydentów, nakładając na nich obowiązek płacenia podatku od fikcyjnego dochodu, podczas gdy rezydenci są z tego obowiązku zwolnieni. Takie działanie jest niezgodne z art. 45 i 63 Traktatu o Funkcjonowaniu UE oraz art. 28 i 40 Porozumienia o EOG.</w:t>
      </w:r>
    </w:p>
    <w:p w14:paraId="1478E7EC" w14:textId="72065EB4" w:rsidR="00362C00" w:rsidRPr="00F866A0" w:rsidRDefault="00A717B7" w:rsidP="00FE30D5">
      <w:pPr>
        <w:pStyle w:val="NormalnyWeb"/>
        <w:shd w:val="clear" w:color="auto" w:fill="FFFFFF"/>
        <w:jc w:val="both"/>
        <w:rPr>
          <w:rFonts w:cstheme="minorHAnsi"/>
        </w:rPr>
      </w:pPr>
      <w:r w:rsidRPr="00F866A0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4C19A3" w:rsidRPr="00F866A0">
        <w:rPr>
          <w:rFonts w:asciiTheme="minorHAnsi" w:hAnsiTheme="minorHAnsi" w:cstheme="minorHAnsi"/>
          <w:i/>
          <w:iCs/>
          <w:sz w:val="22"/>
          <w:szCs w:val="22"/>
        </w:rPr>
        <w:t>Bruksela dała Madrytowi dwa miesiące na odpowiedź i podjęcie działań naprawczych.</w:t>
      </w:r>
      <w:r w:rsidR="004C19A3" w:rsidRPr="00F866A0">
        <w:rPr>
          <w:rFonts w:asciiTheme="minorHAnsi" w:hAnsiTheme="minorHAnsi" w:cstheme="minorHAnsi"/>
          <w:sz w:val="22"/>
          <w:szCs w:val="22"/>
        </w:rPr>
        <w:t xml:space="preserve"> </w:t>
      </w:r>
      <w:r w:rsidR="008428F5" w:rsidRPr="00F866A0">
        <w:rPr>
          <w:rFonts w:asciiTheme="minorHAnsi" w:hAnsiTheme="minorHAnsi" w:cstheme="minorHAnsi"/>
          <w:i/>
          <w:iCs/>
          <w:sz w:val="22"/>
          <w:szCs w:val="22"/>
        </w:rPr>
        <w:t xml:space="preserve">Mimo że termin upłynął, opinia publiczna nie </w:t>
      </w:r>
      <w:r w:rsidR="00203D91" w:rsidRPr="00F866A0">
        <w:rPr>
          <w:rFonts w:asciiTheme="minorHAnsi" w:hAnsiTheme="minorHAnsi" w:cstheme="minorHAnsi"/>
          <w:i/>
          <w:iCs/>
          <w:sz w:val="22"/>
          <w:szCs w:val="22"/>
        </w:rPr>
        <w:t>uzyskała</w:t>
      </w:r>
      <w:r w:rsidR="008428F5" w:rsidRPr="00F866A0">
        <w:rPr>
          <w:rFonts w:asciiTheme="minorHAnsi" w:hAnsiTheme="minorHAnsi" w:cstheme="minorHAnsi"/>
          <w:i/>
          <w:iCs/>
          <w:sz w:val="22"/>
          <w:szCs w:val="22"/>
        </w:rPr>
        <w:t xml:space="preserve"> jak dotąd informacji co do stanowiska i odpowiedzi hiszpańskich władz</w:t>
      </w:r>
      <w:r w:rsidR="00203D91" w:rsidRPr="00F86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62C00" w:rsidRPr="00F866A0">
        <w:rPr>
          <w:rFonts w:asciiTheme="minorHAnsi" w:hAnsiTheme="minorHAnsi" w:cstheme="minorHAnsi"/>
          <w:sz w:val="22"/>
          <w:szCs w:val="22"/>
        </w:rPr>
        <w:t xml:space="preserve">– tłumaczy </w:t>
      </w:r>
      <w:r w:rsidR="00362C00" w:rsidRPr="00F866A0">
        <w:rPr>
          <w:rFonts w:asciiTheme="minorHAnsi" w:hAnsiTheme="minorHAnsi" w:cstheme="minorHAnsi"/>
          <w:b/>
          <w:bCs/>
          <w:sz w:val="22"/>
          <w:szCs w:val="22"/>
        </w:rPr>
        <w:t>Tatiana Pękala</w:t>
      </w:r>
      <w:r w:rsidR="00362C00" w:rsidRPr="00F866A0">
        <w:rPr>
          <w:rFonts w:asciiTheme="minorHAnsi" w:hAnsiTheme="minorHAnsi" w:cstheme="minorHAnsi"/>
          <w:sz w:val="22"/>
          <w:szCs w:val="22"/>
        </w:rPr>
        <w:t xml:space="preserve">, właścicielka </w:t>
      </w:r>
      <w:hyperlink r:id="rId6" w:history="1">
        <w:proofErr w:type="spellStart"/>
        <w:r w:rsidR="00362C00" w:rsidRPr="00F866A0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Dream</w:t>
        </w:r>
        <w:proofErr w:type="spellEnd"/>
        <w:r w:rsidR="00362C00" w:rsidRPr="00F866A0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 xml:space="preserve"> </w:t>
        </w:r>
        <w:proofErr w:type="spellStart"/>
        <w:r w:rsidR="00362C00" w:rsidRPr="00F866A0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Property</w:t>
        </w:r>
        <w:proofErr w:type="spellEnd"/>
        <w:r w:rsidR="00362C00" w:rsidRPr="00F866A0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 xml:space="preserve"> </w:t>
        </w:r>
        <w:proofErr w:type="spellStart"/>
        <w:r w:rsidR="00362C00" w:rsidRPr="00F866A0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Marbella</w:t>
        </w:r>
        <w:proofErr w:type="spellEnd"/>
      </w:hyperlink>
      <w:r w:rsidR="00362C00" w:rsidRPr="00F866A0">
        <w:rPr>
          <w:rFonts w:asciiTheme="minorHAnsi" w:hAnsiTheme="minorHAnsi" w:cstheme="minorHAnsi"/>
          <w:sz w:val="22"/>
          <w:szCs w:val="22"/>
        </w:rPr>
        <w:t>, polskiego biura obrotu nieruchomościami w Hiszpanii.</w:t>
      </w:r>
    </w:p>
    <w:p w14:paraId="09DC3816" w14:textId="7FDE9595" w:rsidR="006F29F1" w:rsidRPr="00F866A0" w:rsidRDefault="00A717B7" w:rsidP="00A717B7">
      <w:pPr>
        <w:jc w:val="both"/>
        <w:rPr>
          <w:rFonts w:cstheme="minorHAnsi"/>
        </w:rPr>
      </w:pPr>
      <w:r w:rsidRPr="00F866A0">
        <w:rPr>
          <w:rFonts w:cstheme="minorHAnsi"/>
        </w:rPr>
        <w:t>Przy rozliczaniu dochodów</w:t>
      </w:r>
      <w:r w:rsidR="00775B05" w:rsidRPr="00F866A0">
        <w:rPr>
          <w:rFonts w:cstheme="minorHAnsi"/>
        </w:rPr>
        <w:t xml:space="preserve"> z wynajmu nieruchomości obywatel</w:t>
      </w:r>
      <w:r w:rsidRPr="00F866A0">
        <w:rPr>
          <w:rFonts w:cstheme="minorHAnsi"/>
        </w:rPr>
        <w:t>e</w:t>
      </w:r>
      <w:r w:rsidR="00775B05" w:rsidRPr="00F866A0">
        <w:rPr>
          <w:rFonts w:cstheme="minorHAnsi"/>
        </w:rPr>
        <w:t xml:space="preserve"> krajów Unii Europejskiej oraz Europejskiego Obszaru Gospodarczego </w:t>
      </w:r>
      <w:r w:rsidRPr="00F866A0">
        <w:rPr>
          <w:rFonts w:cstheme="minorHAnsi"/>
        </w:rPr>
        <w:t>muszą odprowadzić</w:t>
      </w:r>
      <w:r w:rsidR="006F5261" w:rsidRPr="00F866A0">
        <w:rPr>
          <w:rFonts w:cstheme="minorHAnsi"/>
        </w:rPr>
        <w:t xml:space="preserve"> </w:t>
      </w:r>
      <w:r w:rsidR="00775B05" w:rsidRPr="00F866A0">
        <w:rPr>
          <w:rFonts w:cstheme="minorHAnsi"/>
        </w:rPr>
        <w:t>stawk</w:t>
      </w:r>
      <w:r w:rsidRPr="00F866A0">
        <w:rPr>
          <w:rFonts w:cstheme="minorHAnsi"/>
        </w:rPr>
        <w:t>ę</w:t>
      </w:r>
      <w:r w:rsidR="00775B05" w:rsidRPr="00F866A0">
        <w:rPr>
          <w:rFonts w:cstheme="minorHAnsi"/>
        </w:rPr>
        <w:t xml:space="preserve"> 19 proc., którą oblicza się od dochodu netto. Oznacza to, że można odliczyć koszty uzyskania przychodu, np. </w:t>
      </w:r>
      <w:r w:rsidR="00362C00" w:rsidRPr="00F866A0">
        <w:rPr>
          <w:rFonts w:cstheme="minorHAnsi"/>
        </w:rPr>
        <w:t xml:space="preserve">koszty </w:t>
      </w:r>
      <w:r w:rsidR="00775B05" w:rsidRPr="00F866A0">
        <w:rPr>
          <w:rFonts w:cstheme="minorHAnsi"/>
        </w:rPr>
        <w:t>remont</w:t>
      </w:r>
      <w:r w:rsidR="00362C00" w:rsidRPr="00F866A0">
        <w:rPr>
          <w:rFonts w:cstheme="minorHAnsi"/>
        </w:rPr>
        <w:t>ów</w:t>
      </w:r>
      <w:r w:rsidR="00775B05" w:rsidRPr="00F866A0">
        <w:rPr>
          <w:rFonts w:cstheme="minorHAnsi"/>
        </w:rPr>
        <w:t>, opłaty administracyjne, podatki lokalne. Dla obywateli spoza UE i EOG</w:t>
      </w:r>
      <w:r w:rsidR="006F5261" w:rsidRPr="00F866A0">
        <w:rPr>
          <w:rFonts w:cstheme="minorHAnsi"/>
        </w:rPr>
        <w:t xml:space="preserve"> </w:t>
      </w:r>
      <w:r w:rsidRPr="00F866A0">
        <w:rPr>
          <w:rFonts w:cstheme="minorHAnsi"/>
        </w:rPr>
        <w:t xml:space="preserve">ta </w:t>
      </w:r>
      <w:r w:rsidR="00775B05" w:rsidRPr="00F866A0">
        <w:rPr>
          <w:rFonts w:cstheme="minorHAnsi"/>
        </w:rPr>
        <w:t>stawka</w:t>
      </w:r>
      <w:r w:rsidR="006F5261" w:rsidRPr="00F866A0">
        <w:rPr>
          <w:rFonts w:cstheme="minorHAnsi"/>
        </w:rPr>
        <w:t xml:space="preserve"> </w:t>
      </w:r>
      <w:r w:rsidR="006F29F1" w:rsidRPr="00F866A0">
        <w:rPr>
          <w:rFonts w:cstheme="minorHAnsi"/>
        </w:rPr>
        <w:t xml:space="preserve">jeszcze </w:t>
      </w:r>
      <w:r w:rsidR="00775B05" w:rsidRPr="00F866A0">
        <w:rPr>
          <w:rFonts w:cstheme="minorHAnsi"/>
        </w:rPr>
        <w:t>wynosi 24 proc. od dochodu brutto</w:t>
      </w:r>
      <w:r w:rsidR="006F29F1" w:rsidRPr="00F866A0">
        <w:rPr>
          <w:rFonts w:cstheme="minorHAnsi"/>
        </w:rPr>
        <w:t xml:space="preserve">, ale jest </w:t>
      </w:r>
      <w:r w:rsidR="000E5394" w:rsidRPr="00F866A0">
        <w:rPr>
          <w:rFonts w:cstheme="minorHAnsi"/>
        </w:rPr>
        <w:t xml:space="preserve">realna </w:t>
      </w:r>
      <w:r w:rsidR="006F29F1" w:rsidRPr="00F866A0">
        <w:rPr>
          <w:rFonts w:cstheme="minorHAnsi"/>
        </w:rPr>
        <w:t xml:space="preserve">szansa na wyrównanie stawek podatkowych dla obu grup nierezydentów. 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 xml:space="preserve">Wyrok </w:t>
      </w:r>
      <w:proofErr w:type="spellStart"/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>Audiencia</w:t>
      </w:r>
      <w:proofErr w:type="spellEnd"/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proofErr w:type="spellStart"/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>Nacional</w:t>
      </w:r>
      <w:proofErr w:type="spellEnd"/>
      <w:r w:rsidR="003E5B57" w:rsidRPr="00F866A0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>opublikowany 28 lipca uzna</w:t>
      </w:r>
      <w:r w:rsidR="006F29F1" w:rsidRPr="00F866A0">
        <w:rPr>
          <w:rFonts w:eastAsia="Times New Roman" w:cstheme="minorHAnsi" w:hint="eastAsia"/>
          <w:kern w:val="0"/>
          <w:lang w:eastAsia="pl-PL"/>
          <w14:ligatures w14:val="none"/>
        </w:rPr>
        <w:t>ł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 xml:space="preserve"> obecn</w:t>
      </w:r>
      <w:r w:rsidR="003E5B57" w:rsidRPr="00F866A0">
        <w:rPr>
          <w:rFonts w:eastAsia="Times New Roman" w:cstheme="minorHAnsi" w:hint="eastAsia"/>
          <w:kern w:val="0"/>
          <w:lang w:eastAsia="pl-PL"/>
          <w14:ligatures w14:val="none"/>
        </w:rPr>
        <w:t>ą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3E5B57" w:rsidRPr="00F866A0">
        <w:rPr>
          <w:rFonts w:eastAsia="Times New Roman" w:cstheme="minorHAnsi"/>
          <w:kern w:val="0"/>
          <w:lang w:eastAsia="pl-PL"/>
          <w14:ligatures w14:val="none"/>
        </w:rPr>
        <w:t>sytuacj</w:t>
      </w:r>
      <w:r w:rsidR="003E5B57" w:rsidRPr="00F866A0">
        <w:rPr>
          <w:rFonts w:eastAsia="Times New Roman" w:cstheme="minorHAnsi" w:hint="eastAsia"/>
          <w:kern w:val="0"/>
          <w:lang w:eastAsia="pl-PL"/>
          <w14:ligatures w14:val="none"/>
        </w:rPr>
        <w:t>ę</w:t>
      </w:r>
      <w:r w:rsidR="003E5B57" w:rsidRPr="00F866A0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>nierezydent</w:t>
      </w:r>
      <w:r w:rsidR="006F29F1" w:rsidRPr="00F866A0">
        <w:rPr>
          <w:rFonts w:eastAsia="Times New Roman" w:cstheme="minorHAnsi" w:hint="eastAsia"/>
          <w:kern w:val="0"/>
          <w:lang w:eastAsia="pl-PL"/>
          <w14:ligatures w14:val="none"/>
        </w:rPr>
        <w:t>ó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>w spoza UE za niezgodn</w:t>
      </w:r>
      <w:r w:rsidR="003E5B57" w:rsidRPr="00F866A0">
        <w:rPr>
          <w:rFonts w:eastAsia="Times New Roman" w:cstheme="minorHAnsi" w:hint="eastAsia"/>
          <w:kern w:val="0"/>
          <w:lang w:eastAsia="pl-PL"/>
          <w14:ligatures w14:val="none"/>
        </w:rPr>
        <w:t>ą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 xml:space="preserve"> z prawem. S</w:t>
      </w:r>
      <w:r w:rsidR="006F29F1" w:rsidRPr="00F866A0">
        <w:rPr>
          <w:rFonts w:eastAsia="Times New Roman" w:cstheme="minorHAnsi" w:hint="eastAsia"/>
          <w:kern w:val="0"/>
          <w:lang w:eastAsia="pl-PL"/>
          <w14:ligatures w14:val="none"/>
        </w:rPr>
        <w:t>ą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>d stwierdzi</w:t>
      </w:r>
      <w:r w:rsidR="006F29F1" w:rsidRPr="00F866A0">
        <w:rPr>
          <w:rFonts w:eastAsia="Times New Roman" w:cstheme="minorHAnsi" w:hint="eastAsia"/>
          <w:kern w:val="0"/>
          <w:lang w:eastAsia="pl-PL"/>
          <w14:ligatures w14:val="none"/>
        </w:rPr>
        <w:t>ł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  <w:r w:rsidR="006F29F1" w:rsidRPr="00F866A0">
        <w:rPr>
          <w:rFonts w:eastAsia="Times New Roman" w:cstheme="minorHAnsi" w:hint="eastAsia"/>
          <w:kern w:val="0"/>
          <w:lang w:eastAsia="pl-PL"/>
          <w14:ligatures w14:val="none"/>
        </w:rPr>
        <w:t>ż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 xml:space="preserve">e narusza to prawo unijne, </w:t>
      </w:r>
      <w:r w:rsidR="007D0B36" w:rsidRPr="00F866A0">
        <w:rPr>
          <w:rFonts w:eastAsia="Times New Roman" w:cstheme="minorHAnsi"/>
          <w:kern w:val="0"/>
          <w:lang w:eastAsia="pl-PL"/>
          <w14:ligatures w14:val="none"/>
        </w:rPr>
        <w:t xml:space="preserve">a 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 xml:space="preserve">w 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lastRenderedPageBreak/>
        <w:t>szczeg</w:t>
      </w:r>
      <w:r w:rsidR="006F29F1" w:rsidRPr="00F866A0">
        <w:rPr>
          <w:rFonts w:eastAsia="Times New Roman" w:cstheme="minorHAnsi" w:hint="eastAsia"/>
          <w:kern w:val="0"/>
          <w:lang w:eastAsia="pl-PL"/>
          <w14:ligatures w14:val="none"/>
        </w:rPr>
        <w:t>ó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>lno</w:t>
      </w:r>
      <w:r w:rsidR="006F29F1" w:rsidRPr="00F866A0">
        <w:rPr>
          <w:rFonts w:eastAsia="Times New Roman" w:cstheme="minorHAnsi" w:hint="eastAsia"/>
          <w:kern w:val="0"/>
          <w:lang w:eastAsia="pl-PL"/>
          <w14:ligatures w14:val="none"/>
        </w:rPr>
        <w:t>ś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 xml:space="preserve">ci </w:t>
      </w:r>
      <w:r w:rsidR="007D0B36" w:rsidRPr="00F866A0">
        <w:rPr>
          <w:rFonts w:eastAsia="Times New Roman" w:cstheme="minorHAnsi"/>
          <w:kern w:val="0"/>
          <w:lang w:eastAsia="pl-PL"/>
          <w14:ligatures w14:val="none"/>
        </w:rPr>
        <w:t>art.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 xml:space="preserve"> 63 Traktatu o funkcjonowaniu Unii Europejskiej, kt</w:t>
      </w:r>
      <w:r w:rsidR="006F29F1" w:rsidRPr="00F866A0">
        <w:rPr>
          <w:rFonts w:eastAsia="Times New Roman" w:cstheme="minorHAnsi" w:hint="eastAsia"/>
          <w:kern w:val="0"/>
          <w:lang w:eastAsia="pl-PL"/>
          <w14:ligatures w14:val="none"/>
        </w:rPr>
        <w:t>ó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>ry chroni swobodny przep</w:t>
      </w:r>
      <w:r w:rsidR="006F29F1" w:rsidRPr="00F866A0">
        <w:rPr>
          <w:rFonts w:eastAsia="Times New Roman" w:cstheme="minorHAnsi" w:hint="eastAsia"/>
          <w:kern w:val="0"/>
          <w:lang w:eastAsia="pl-PL"/>
          <w14:ligatures w14:val="none"/>
        </w:rPr>
        <w:t>ł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>yw kapita</w:t>
      </w:r>
      <w:r w:rsidR="006F29F1" w:rsidRPr="00F866A0">
        <w:rPr>
          <w:rFonts w:eastAsia="Times New Roman" w:cstheme="minorHAnsi" w:hint="eastAsia"/>
          <w:kern w:val="0"/>
          <w:lang w:eastAsia="pl-PL"/>
          <w14:ligatures w14:val="none"/>
        </w:rPr>
        <w:t>ł</w:t>
      </w:r>
      <w:r w:rsidR="006F29F1" w:rsidRPr="00F866A0">
        <w:rPr>
          <w:rFonts w:eastAsia="Times New Roman" w:cstheme="minorHAnsi"/>
          <w:kern w:val="0"/>
          <w:lang w:eastAsia="pl-PL"/>
          <w14:ligatures w14:val="none"/>
        </w:rPr>
        <w:t>u.</w:t>
      </w:r>
    </w:p>
    <w:p w14:paraId="538FB5AE" w14:textId="37B413BB" w:rsidR="002802BB" w:rsidRPr="00F866A0" w:rsidRDefault="00362C00" w:rsidP="00A717B7">
      <w:pPr>
        <w:jc w:val="both"/>
        <w:rPr>
          <w:rFonts w:cstheme="minorHAnsi"/>
          <w:b/>
          <w:bCs/>
        </w:rPr>
      </w:pPr>
      <w:r w:rsidRPr="00F866A0">
        <w:rPr>
          <w:rFonts w:cstheme="minorHAnsi"/>
        </w:rPr>
        <w:t>W przypadku d</w:t>
      </w:r>
      <w:r w:rsidR="00775B05" w:rsidRPr="00F866A0">
        <w:rPr>
          <w:rFonts w:cstheme="minorHAnsi"/>
        </w:rPr>
        <w:t>ochod</w:t>
      </w:r>
      <w:r w:rsidRPr="00F866A0">
        <w:rPr>
          <w:rFonts w:cstheme="minorHAnsi"/>
        </w:rPr>
        <w:t>ów</w:t>
      </w:r>
      <w:r w:rsidR="00775B05" w:rsidRPr="00F866A0">
        <w:rPr>
          <w:rFonts w:cstheme="minorHAnsi"/>
        </w:rPr>
        <w:t xml:space="preserve"> z pracy lub działalności gospodarczej</w:t>
      </w:r>
      <w:r w:rsidRPr="00F866A0">
        <w:rPr>
          <w:rFonts w:cstheme="minorHAnsi"/>
        </w:rPr>
        <w:t xml:space="preserve"> </w:t>
      </w:r>
      <w:r w:rsidR="00775B05" w:rsidRPr="00F866A0">
        <w:rPr>
          <w:rFonts w:cstheme="minorHAnsi"/>
        </w:rPr>
        <w:t xml:space="preserve">stawka podatkowa dla </w:t>
      </w:r>
      <w:r w:rsidR="004C19A3" w:rsidRPr="00F866A0">
        <w:rPr>
          <w:rFonts w:cstheme="minorHAnsi"/>
        </w:rPr>
        <w:t xml:space="preserve">nierezydentów, którzy są obywatelami Unii Europejskiej, czyli również Polaków, wynosi 19 proc. Nierezydenci spoza Unii muszą zapłacić </w:t>
      </w:r>
      <w:r w:rsidR="00775B05" w:rsidRPr="00F866A0">
        <w:rPr>
          <w:rFonts w:cstheme="minorHAnsi"/>
        </w:rPr>
        <w:t>24</w:t>
      </w:r>
      <w:r w:rsidRPr="00F866A0">
        <w:rPr>
          <w:rFonts w:cstheme="minorHAnsi"/>
        </w:rPr>
        <w:t xml:space="preserve"> proc. </w:t>
      </w:r>
      <w:r w:rsidR="00775B05" w:rsidRPr="00F866A0">
        <w:rPr>
          <w:rFonts w:cstheme="minorHAnsi"/>
        </w:rPr>
        <w:t>dla podstawy nieprzekraczającej 60</w:t>
      </w:r>
      <w:r w:rsidR="003E5B57" w:rsidRPr="00F866A0">
        <w:rPr>
          <w:rFonts w:cstheme="minorHAnsi"/>
        </w:rPr>
        <w:t>.</w:t>
      </w:r>
      <w:r w:rsidR="00775B05" w:rsidRPr="00F866A0">
        <w:rPr>
          <w:rFonts w:cstheme="minorHAnsi"/>
        </w:rPr>
        <w:t>000</w:t>
      </w:r>
      <w:r w:rsidRPr="00F866A0">
        <w:rPr>
          <w:rFonts w:cstheme="minorHAnsi"/>
        </w:rPr>
        <w:t xml:space="preserve"> </w:t>
      </w:r>
      <w:r w:rsidR="00775B05" w:rsidRPr="00F866A0">
        <w:rPr>
          <w:rFonts w:cstheme="minorHAnsi"/>
        </w:rPr>
        <w:t>€ lub 45</w:t>
      </w:r>
      <w:r w:rsidRPr="00F866A0">
        <w:rPr>
          <w:rFonts w:cstheme="minorHAnsi"/>
        </w:rPr>
        <w:t xml:space="preserve"> proc.</w:t>
      </w:r>
      <w:r w:rsidR="00775B05" w:rsidRPr="00F866A0">
        <w:rPr>
          <w:rFonts w:cstheme="minorHAnsi"/>
        </w:rPr>
        <w:t xml:space="preserve"> w przypadku, gdy podstawa jest równa lub </w:t>
      </w:r>
      <w:r w:rsidRPr="00F866A0">
        <w:rPr>
          <w:rFonts w:cstheme="minorHAnsi"/>
        </w:rPr>
        <w:t>wyższa niż</w:t>
      </w:r>
      <w:r w:rsidR="00775B05" w:rsidRPr="00F866A0">
        <w:rPr>
          <w:rFonts w:cstheme="minorHAnsi"/>
        </w:rPr>
        <w:t xml:space="preserve"> kwot</w:t>
      </w:r>
      <w:r w:rsidRPr="00F866A0">
        <w:rPr>
          <w:rFonts w:cstheme="minorHAnsi"/>
        </w:rPr>
        <w:t>a</w:t>
      </w:r>
      <w:r w:rsidR="00775B05" w:rsidRPr="00F866A0">
        <w:rPr>
          <w:rFonts w:cstheme="minorHAnsi"/>
        </w:rPr>
        <w:t xml:space="preserve"> 60</w:t>
      </w:r>
      <w:r w:rsidR="003E5B57" w:rsidRPr="00F866A0">
        <w:rPr>
          <w:rFonts w:cstheme="minorHAnsi"/>
        </w:rPr>
        <w:t>.</w:t>
      </w:r>
      <w:r w:rsidR="00775B05" w:rsidRPr="00F866A0">
        <w:rPr>
          <w:rFonts w:cstheme="minorHAnsi"/>
        </w:rPr>
        <w:t>000</w:t>
      </w:r>
      <w:r w:rsidRPr="00F866A0">
        <w:rPr>
          <w:rFonts w:cstheme="minorHAnsi"/>
        </w:rPr>
        <w:t xml:space="preserve"> </w:t>
      </w:r>
      <w:r w:rsidR="00775B05" w:rsidRPr="00F866A0">
        <w:rPr>
          <w:rFonts w:cstheme="minorHAnsi"/>
        </w:rPr>
        <w:t xml:space="preserve">€. </w:t>
      </w:r>
    </w:p>
    <w:p w14:paraId="2E409039" w14:textId="2DC75835" w:rsidR="00775B05" w:rsidRPr="00F866A0" w:rsidRDefault="00775B05" w:rsidP="00A717B7">
      <w:pPr>
        <w:jc w:val="both"/>
        <w:rPr>
          <w:rFonts w:cstheme="minorHAnsi"/>
          <w:b/>
          <w:bCs/>
        </w:rPr>
      </w:pPr>
      <w:r w:rsidRPr="00F866A0">
        <w:rPr>
          <w:rFonts w:cstheme="minorHAnsi"/>
          <w:b/>
          <w:bCs/>
        </w:rPr>
        <w:t>Jak rozliczyć się z hiszpańskim fiskusem?</w:t>
      </w:r>
    </w:p>
    <w:p w14:paraId="7C864F16" w14:textId="11720C96" w:rsidR="00775B05" w:rsidRPr="00F866A0" w:rsidRDefault="00775B05" w:rsidP="00A717B7">
      <w:pPr>
        <w:jc w:val="both"/>
        <w:rPr>
          <w:rFonts w:cstheme="minorHAnsi"/>
        </w:rPr>
      </w:pPr>
      <w:r w:rsidRPr="00F866A0">
        <w:rPr>
          <w:rFonts w:cstheme="minorHAnsi"/>
        </w:rPr>
        <w:t xml:space="preserve">Rozliczenie podatków dla nierezydentów w Hiszpanii, podobnie jak w Polsce, odbywa się na podstawie deklaracji podatkowej składanej do hiszpańskiego urzędu skarbowego (hiszp. </w:t>
      </w:r>
      <w:proofErr w:type="spellStart"/>
      <w:r w:rsidRPr="00F866A0">
        <w:rPr>
          <w:rFonts w:cstheme="minorHAnsi"/>
        </w:rPr>
        <w:t>Agencia</w:t>
      </w:r>
      <w:proofErr w:type="spellEnd"/>
      <w:r w:rsidRPr="00F866A0">
        <w:rPr>
          <w:rFonts w:cstheme="minorHAnsi"/>
        </w:rPr>
        <w:t xml:space="preserve"> </w:t>
      </w:r>
      <w:proofErr w:type="spellStart"/>
      <w:r w:rsidRPr="00F866A0">
        <w:rPr>
          <w:rFonts w:cstheme="minorHAnsi"/>
        </w:rPr>
        <w:t>Tributaria</w:t>
      </w:r>
      <w:proofErr w:type="spellEnd"/>
      <w:r w:rsidRPr="00F866A0">
        <w:rPr>
          <w:rFonts w:cstheme="minorHAnsi"/>
        </w:rPr>
        <w:t xml:space="preserve">). Deklaracja IRNR (formularz </w:t>
      </w:r>
      <w:proofErr w:type="spellStart"/>
      <w:r w:rsidRPr="00F866A0">
        <w:rPr>
          <w:rFonts w:cstheme="minorHAnsi"/>
        </w:rPr>
        <w:t>Modelo</w:t>
      </w:r>
      <w:proofErr w:type="spellEnd"/>
      <w:r w:rsidRPr="00F866A0">
        <w:rPr>
          <w:rFonts w:cstheme="minorHAnsi"/>
        </w:rPr>
        <w:t xml:space="preserve"> 210) jest składana raz w roku do 31</w:t>
      </w:r>
      <w:r w:rsidR="000E5394" w:rsidRPr="00F866A0">
        <w:rPr>
          <w:rFonts w:cstheme="minorHAnsi"/>
        </w:rPr>
        <w:t>.</w:t>
      </w:r>
      <w:r w:rsidRPr="00F866A0">
        <w:rPr>
          <w:rFonts w:cstheme="minorHAnsi"/>
        </w:rPr>
        <w:t xml:space="preserve"> grudnia roku następującego po roku podatkowym w przypadku dochodu z wynajmu lub dochodu fikcyjnego. Podatek IBI jest płatny raz w roku, a jego wysokość ustalana przez lokalny urząd gminy (</w:t>
      </w:r>
      <w:proofErr w:type="spellStart"/>
      <w:r w:rsidRPr="00F866A0">
        <w:rPr>
          <w:rFonts w:cstheme="minorHAnsi"/>
        </w:rPr>
        <w:t>Ayuntamiento</w:t>
      </w:r>
      <w:proofErr w:type="spellEnd"/>
      <w:r w:rsidRPr="00F866A0">
        <w:rPr>
          <w:rFonts w:cstheme="minorHAnsi"/>
        </w:rPr>
        <w:t>). Z kolei podatek od zysków kapitałowych rozliczamy tylko przy sprzedaży nieruchomości. Mamy na to 30 dni od momentu dokonania transakcji.</w:t>
      </w:r>
    </w:p>
    <w:p w14:paraId="4794FBBF" w14:textId="65B84967" w:rsidR="00775B05" w:rsidRPr="00F866A0" w:rsidRDefault="00775B05" w:rsidP="00A717B7">
      <w:pPr>
        <w:jc w:val="both"/>
        <w:rPr>
          <w:rFonts w:cstheme="minorHAnsi"/>
        </w:rPr>
      </w:pPr>
      <w:r w:rsidRPr="00F866A0">
        <w:rPr>
          <w:rFonts w:cstheme="minorHAnsi"/>
          <w:i/>
          <w:iCs/>
        </w:rPr>
        <w:t xml:space="preserve">- Warto w tym przypadku skorzystać z usług doradcy podatkowego lub </w:t>
      </w:r>
      <w:proofErr w:type="spellStart"/>
      <w:r w:rsidRPr="00F866A0">
        <w:rPr>
          <w:rFonts w:cstheme="minorHAnsi"/>
          <w:i/>
          <w:iCs/>
        </w:rPr>
        <w:t>gestorii</w:t>
      </w:r>
      <w:proofErr w:type="spellEnd"/>
      <w:r w:rsidRPr="00F866A0">
        <w:rPr>
          <w:rFonts w:cstheme="minorHAnsi"/>
          <w:i/>
          <w:iCs/>
        </w:rPr>
        <w:t xml:space="preserve">, zwłaszcza jeśli nabywca nie </w:t>
      </w:r>
      <w:r w:rsidR="004C19A3" w:rsidRPr="00F866A0">
        <w:rPr>
          <w:rFonts w:cstheme="minorHAnsi"/>
          <w:i/>
          <w:iCs/>
        </w:rPr>
        <w:t xml:space="preserve">mówi po hiszpańsku i </w:t>
      </w:r>
      <w:r w:rsidRPr="00F866A0">
        <w:rPr>
          <w:rFonts w:cstheme="minorHAnsi"/>
          <w:i/>
          <w:iCs/>
        </w:rPr>
        <w:t xml:space="preserve">nie zna lokalnego systemu podatkowego. Wiele biur rachunkowych oferuje obsługę w języku angielskim, a coraz więcej również polskim – </w:t>
      </w:r>
      <w:r w:rsidRPr="00F866A0">
        <w:rPr>
          <w:rFonts w:cstheme="minorHAnsi"/>
        </w:rPr>
        <w:t xml:space="preserve">doradza Tatiana Pękala. </w:t>
      </w:r>
    </w:p>
    <w:p w14:paraId="2423F64F" w14:textId="77777777" w:rsidR="00362C00" w:rsidRPr="00F866A0" w:rsidRDefault="00362C00" w:rsidP="00A717B7">
      <w:pPr>
        <w:jc w:val="both"/>
        <w:rPr>
          <w:rFonts w:cstheme="minorHAnsi"/>
          <w:b/>
          <w:bCs/>
        </w:rPr>
      </w:pPr>
      <w:r w:rsidRPr="00F866A0">
        <w:rPr>
          <w:rFonts w:cstheme="minorHAnsi"/>
          <w:b/>
          <w:bCs/>
        </w:rPr>
        <w:t>Kupujesz nieruchomość w Hiszpanii? Pamiętaj o podatku</w:t>
      </w:r>
    </w:p>
    <w:p w14:paraId="12ACEBA0" w14:textId="54D38D9E" w:rsidR="00362C00" w:rsidRPr="00F866A0" w:rsidRDefault="00362C00" w:rsidP="00A717B7">
      <w:pPr>
        <w:tabs>
          <w:tab w:val="num" w:pos="720"/>
        </w:tabs>
        <w:jc w:val="both"/>
        <w:rPr>
          <w:rFonts w:cstheme="minorHAnsi"/>
        </w:rPr>
      </w:pPr>
      <w:r w:rsidRPr="00F866A0">
        <w:rPr>
          <w:rFonts w:cstheme="minorHAnsi"/>
        </w:rPr>
        <w:t>Prawidłowe oszacowanie budżetu potrzebnego do zakupu nieruchomości w Hiszpanii jest równie ważne, jak wybór jej lokalizacji.</w:t>
      </w:r>
      <w:r w:rsidRPr="00F866A0">
        <w:rPr>
          <w:rFonts w:cstheme="minorHAnsi"/>
          <w:b/>
          <w:bCs/>
        </w:rPr>
        <w:t> </w:t>
      </w:r>
      <w:r w:rsidRPr="00F866A0">
        <w:rPr>
          <w:rFonts w:cstheme="minorHAnsi"/>
        </w:rPr>
        <w:t xml:space="preserve">Kupując mieszkanie lub dom w Hiszpanii trzeba zapłacić podatek VAT w wysokości 10 proc. w przypadku nieruchomości z rynku pierwotnego lub ITP </w:t>
      </w:r>
      <w:r w:rsidR="004C19A3" w:rsidRPr="00F866A0">
        <w:rPr>
          <w:rFonts w:cstheme="minorHAnsi"/>
        </w:rPr>
        <w:t xml:space="preserve">(podatek od przeniesienia własności) </w:t>
      </w:r>
      <w:r w:rsidRPr="00F866A0">
        <w:rPr>
          <w:rFonts w:cstheme="minorHAnsi"/>
        </w:rPr>
        <w:t>w przypadku nieruchomości z rynku wtórnego</w:t>
      </w:r>
      <w:r w:rsidR="004C19A3" w:rsidRPr="00F866A0">
        <w:rPr>
          <w:rFonts w:cstheme="minorHAnsi"/>
        </w:rPr>
        <w:t>.</w:t>
      </w:r>
    </w:p>
    <w:p w14:paraId="0ED81213" w14:textId="59AB1157" w:rsidR="00362C00" w:rsidRPr="00F866A0" w:rsidRDefault="00362C00" w:rsidP="00A717B7">
      <w:pPr>
        <w:jc w:val="both"/>
        <w:rPr>
          <w:rFonts w:cstheme="minorHAnsi"/>
        </w:rPr>
      </w:pPr>
      <w:r w:rsidRPr="00F866A0">
        <w:rPr>
          <w:rFonts w:cstheme="minorHAnsi"/>
          <w:i/>
          <w:iCs/>
        </w:rPr>
        <w:t xml:space="preserve">- Pamiętajmy, że wysokość podatku ITP nie jest jednakowa dla całej Hiszpanii. Różni się ona w zależności od </w:t>
      </w:r>
      <w:r w:rsidR="004C19A3" w:rsidRPr="00F866A0">
        <w:rPr>
          <w:rFonts w:cstheme="minorHAnsi"/>
          <w:i/>
          <w:iCs/>
        </w:rPr>
        <w:t>regionu</w:t>
      </w:r>
      <w:r w:rsidRPr="00F866A0">
        <w:rPr>
          <w:rFonts w:cstheme="minorHAnsi"/>
          <w:i/>
          <w:iCs/>
        </w:rPr>
        <w:t xml:space="preserve">. Przykładowo w Andaluzji podatek ten wynosi 7 proc., a w Alicante: 10 proc. – przypomina Tatiana Pękala. </w:t>
      </w:r>
    </w:p>
    <w:p w14:paraId="123A182E" w14:textId="29967074" w:rsidR="00362C00" w:rsidRPr="00F866A0" w:rsidRDefault="00362C00" w:rsidP="00A717B7">
      <w:pPr>
        <w:jc w:val="both"/>
        <w:rPr>
          <w:rFonts w:cstheme="minorHAnsi"/>
        </w:rPr>
      </w:pPr>
      <w:r w:rsidRPr="00F866A0">
        <w:rPr>
          <w:rFonts w:cstheme="minorHAnsi"/>
        </w:rPr>
        <w:t xml:space="preserve">Na tym jednak nie koniec. </w:t>
      </w:r>
      <w:r w:rsidR="004C19A3" w:rsidRPr="00F866A0">
        <w:rPr>
          <w:rFonts w:cstheme="minorHAnsi"/>
        </w:rPr>
        <w:t xml:space="preserve">Właścicieli </w:t>
      </w:r>
      <w:r w:rsidRPr="00F866A0">
        <w:rPr>
          <w:rFonts w:cstheme="minorHAnsi"/>
        </w:rPr>
        <w:t>nieruchomości o wartości powyżej 3.000.000 € </w:t>
      </w:r>
      <w:r w:rsidR="004C19A3" w:rsidRPr="00F866A0">
        <w:rPr>
          <w:rFonts w:cstheme="minorHAnsi"/>
        </w:rPr>
        <w:t>obowiązuje</w:t>
      </w:r>
      <w:r w:rsidRPr="00F866A0">
        <w:rPr>
          <w:rFonts w:cstheme="minorHAnsi"/>
        </w:rPr>
        <w:t xml:space="preserve">, </w:t>
      </w:r>
      <w:r w:rsidR="000E5394" w:rsidRPr="00F866A0">
        <w:rPr>
          <w:rFonts w:cstheme="minorHAnsi"/>
        </w:rPr>
        <w:t xml:space="preserve">zależnie </w:t>
      </w:r>
      <w:r w:rsidRPr="00F866A0">
        <w:rPr>
          <w:rFonts w:cstheme="minorHAnsi"/>
        </w:rPr>
        <w:t xml:space="preserve">od </w:t>
      </w:r>
      <w:r w:rsidR="004C19A3" w:rsidRPr="00F866A0">
        <w:rPr>
          <w:rFonts w:cstheme="minorHAnsi"/>
        </w:rPr>
        <w:t>regionu</w:t>
      </w:r>
      <w:r w:rsidRPr="00F866A0">
        <w:rPr>
          <w:rFonts w:cstheme="minorHAnsi"/>
        </w:rPr>
        <w:t xml:space="preserve">, podatek </w:t>
      </w:r>
      <w:r w:rsidR="004C19A3" w:rsidRPr="00F866A0">
        <w:rPr>
          <w:rFonts w:cstheme="minorHAnsi"/>
        </w:rPr>
        <w:t xml:space="preserve">majątkowy </w:t>
      </w:r>
      <w:r w:rsidRPr="00F866A0">
        <w:rPr>
          <w:rFonts w:cstheme="minorHAnsi"/>
        </w:rPr>
        <w:t xml:space="preserve">albo podatek solidarnościowy od wielkich fortun. W zależności od wartości nieruchomości </w:t>
      </w:r>
      <w:r w:rsidR="000E5394" w:rsidRPr="00F866A0">
        <w:rPr>
          <w:rFonts w:cstheme="minorHAnsi"/>
        </w:rPr>
        <w:t xml:space="preserve">ten pierwszy </w:t>
      </w:r>
      <w:r w:rsidRPr="00F866A0">
        <w:rPr>
          <w:rFonts w:cstheme="minorHAnsi"/>
        </w:rPr>
        <w:t>wynosi</w:t>
      </w:r>
      <w:r w:rsidR="000E5394" w:rsidRPr="00F866A0">
        <w:rPr>
          <w:rFonts w:cstheme="minorHAnsi"/>
        </w:rPr>
        <w:t xml:space="preserve"> od 0,2 do 3,5 proc., a ten drugi od 1,7 do </w:t>
      </w:r>
      <w:r w:rsidRPr="00F866A0">
        <w:rPr>
          <w:rFonts w:cstheme="minorHAnsi"/>
        </w:rPr>
        <w:t>3,5 proc.</w:t>
      </w:r>
      <w:r w:rsidR="004C19A3" w:rsidRPr="00F866A0">
        <w:rPr>
          <w:rFonts w:cstheme="minorHAnsi"/>
        </w:rPr>
        <w:t xml:space="preserve"> Kwota wolna od podatku to 700.000 EUR. </w:t>
      </w:r>
    </w:p>
    <w:p w14:paraId="092B6E79" w14:textId="77777777" w:rsidR="009211D8" w:rsidRPr="00F866A0" w:rsidRDefault="009211D8" w:rsidP="009211D8">
      <w:pPr>
        <w:pBdr>
          <w:bottom w:val="single" w:sz="6" w:space="1" w:color="auto"/>
        </w:pBdr>
        <w:jc w:val="both"/>
        <w:rPr>
          <w:rFonts w:cstheme="minorHAnsi"/>
        </w:rPr>
      </w:pPr>
    </w:p>
    <w:p w14:paraId="6239D2D9" w14:textId="38626F28" w:rsidR="009211D8" w:rsidRPr="000E5394" w:rsidRDefault="009211D8" w:rsidP="009211D8">
      <w:pPr>
        <w:jc w:val="both"/>
        <w:rPr>
          <w:rFonts w:cstheme="minorHAnsi"/>
        </w:rPr>
      </w:pPr>
      <w:hyperlink r:id="rId7" w:history="1">
        <w:proofErr w:type="spellStart"/>
        <w:r w:rsidRPr="000E5394">
          <w:rPr>
            <w:rStyle w:val="Hipercze"/>
            <w:rFonts w:cstheme="minorHAnsi"/>
          </w:rPr>
          <w:t>Dream</w:t>
        </w:r>
        <w:proofErr w:type="spellEnd"/>
        <w:r w:rsidRPr="000E5394">
          <w:rPr>
            <w:rStyle w:val="Hipercze"/>
            <w:rFonts w:cstheme="minorHAnsi"/>
          </w:rPr>
          <w:t xml:space="preserve"> </w:t>
        </w:r>
        <w:proofErr w:type="spellStart"/>
        <w:r w:rsidRPr="000E5394">
          <w:rPr>
            <w:rStyle w:val="Hipercze"/>
            <w:rFonts w:cstheme="minorHAnsi"/>
          </w:rPr>
          <w:t>Property</w:t>
        </w:r>
        <w:proofErr w:type="spellEnd"/>
        <w:r w:rsidRPr="000E5394">
          <w:rPr>
            <w:rStyle w:val="Hipercze"/>
            <w:rFonts w:cstheme="minorHAnsi"/>
          </w:rPr>
          <w:t> </w:t>
        </w:r>
        <w:proofErr w:type="spellStart"/>
        <w:r w:rsidRPr="000E5394">
          <w:rPr>
            <w:rStyle w:val="Hipercze"/>
            <w:rFonts w:cstheme="minorHAnsi"/>
          </w:rPr>
          <w:t>Marbella</w:t>
        </w:r>
        <w:proofErr w:type="spellEnd"/>
        <w:r w:rsidRPr="000E5394">
          <w:rPr>
            <w:rStyle w:val="Hipercze"/>
            <w:rFonts w:cstheme="minorHAnsi"/>
          </w:rPr>
          <w:t> </w:t>
        </w:r>
      </w:hyperlink>
      <w:r w:rsidRPr="000E5394">
        <w:rPr>
          <w:rFonts w:cstheme="minorHAnsi"/>
        </w:rPr>
        <w:t xml:space="preserve">to polskie biuro obrotu nieruchomościami na Costa del </w:t>
      </w:r>
      <w:proofErr w:type="spellStart"/>
      <w:r w:rsidRPr="000E5394">
        <w:rPr>
          <w:rFonts w:cstheme="minorHAnsi"/>
        </w:rPr>
        <w:t>Sol</w:t>
      </w:r>
      <w:proofErr w:type="spellEnd"/>
      <w:r w:rsidRPr="000E5394">
        <w:rPr>
          <w:rFonts w:cstheme="minorHAnsi"/>
        </w:rPr>
        <w:t xml:space="preserve"> w Hiszpanii. Od ponad 15 lat pomaga spełniać marzenia o życiu w wakacyjnym rytmie, w miejscu, które oferuje niemal 320 słonecznych dni w roku. </w:t>
      </w:r>
      <w:proofErr w:type="spellStart"/>
      <w:r w:rsidRPr="000E5394">
        <w:rPr>
          <w:rFonts w:cstheme="minorHAnsi"/>
        </w:rPr>
        <w:t>Dream</w:t>
      </w:r>
      <w:proofErr w:type="spellEnd"/>
      <w:r w:rsidRPr="000E5394">
        <w:rPr>
          <w:rFonts w:cstheme="minorHAnsi"/>
        </w:rPr>
        <w:t xml:space="preserve"> </w:t>
      </w:r>
      <w:proofErr w:type="spellStart"/>
      <w:r w:rsidRPr="000E5394">
        <w:rPr>
          <w:rFonts w:cstheme="minorHAnsi"/>
        </w:rPr>
        <w:t>Property</w:t>
      </w:r>
      <w:proofErr w:type="spellEnd"/>
      <w:r w:rsidRPr="000E5394">
        <w:rPr>
          <w:rFonts w:cstheme="minorHAnsi"/>
        </w:rPr>
        <w:t xml:space="preserve"> </w:t>
      </w:r>
      <w:proofErr w:type="spellStart"/>
      <w:r w:rsidRPr="000E5394">
        <w:rPr>
          <w:rFonts w:cstheme="minorHAnsi"/>
        </w:rPr>
        <w:t>Marbella</w:t>
      </w:r>
      <w:proofErr w:type="spellEnd"/>
      <w:r w:rsidRPr="000E5394">
        <w:rPr>
          <w:rFonts w:cstheme="minorHAnsi"/>
        </w:rPr>
        <w:t xml:space="preserve"> gwarantuje doskonałą znajomość lokalnego rynku oraz dostęp do szerokiego portfolio najwyższej jakości mieszkań i domów w </w:t>
      </w:r>
      <w:proofErr w:type="spellStart"/>
      <w:r w:rsidRPr="000E5394">
        <w:rPr>
          <w:rFonts w:cstheme="minorHAnsi"/>
        </w:rPr>
        <w:t>Marbelli</w:t>
      </w:r>
      <w:proofErr w:type="spellEnd"/>
      <w:r w:rsidRPr="000E5394">
        <w:rPr>
          <w:rFonts w:cstheme="minorHAnsi"/>
        </w:rPr>
        <w:t xml:space="preserve">, Puerto </w:t>
      </w:r>
      <w:proofErr w:type="spellStart"/>
      <w:r w:rsidRPr="000E5394">
        <w:rPr>
          <w:rFonts w:cstheme="minorHAnsi"/>
        </w:rPr>
        <w:t>Banus</w:t>
      </w:r>
      <w:proofErr w:type="spellEnd"/>
      <w:r w:rsidRPr="000E5394">
        <w:rPr>
          <w:rFonts w:cstheme="minorHAnsi"/>
        </w:rPr>
        <w:t xml:space="preserve">, </w:t>
      </w:r>
      <w:proofErr w:type="spellStart"/>
      <w:r w:rsidRPr="000E5394">
        <w:rPr>
          <w:rFonts w:cstheme="minorHAnsi"/>
        </w:rPr>
        <w:t>Esteponie</w:t>
      </w:r>
      <w:proofErr w:type="spellEnd"/>
      <w:r w:rsidRPr="000E5394">
        <w:rPr>
          <w:rFonts w:cstheme="minorHAnsi"/>
        </w:rPr>
        <w:t xml:space="preserve">, </w:t>
      </w:r>
      <w:proofErr w:type="spellStart"/>
      <w:r w:rsidRPr="000E5394">
        <w:rPr>
          <w:rFonts w:cstheme="minorHAnsi"/>
        </w:rPr>
        <w:t>Benahavis</w:t>
      </w:r>
      <w:proofErr w:type="spellEnd"/>
      <w:r w:rsidRPr="000E5394">
        <w:rPr>
          <w:rFonts w:cstheme="minorHAnsi"/>
        </w:rPr>
        <w:t xml:space="preserve">, </w:t>
      </w:r>
      <w:proofErr w:type="spellStart"/>
      <w:r w:rsidRPr="000E5394">
        <w:rPr>
          <w:rFonts w:cstheme="minorHAnsi"/>
        </w:rPr>
        <w:t>Sotogrande</w:t>
      </w:r>
      <w:proofErr w:type="spellEnd"/>
      <w:r w:rsidRPr="000E5394">
        <w:rPr>
          <w:rFonts w:cstheme="minorHAnsi"/>
        </w:rPr>
        <w:t xml:space="preserve"> i wielu innych atrakcyjnych lokalizacjach. Zespół doświadczonych doradców wspiera klientów w wyborze najlepszej oferty pod inwestycję, przeprowadza ich kompleksowo przez proces kupna i sprzedaży oraz wspomaga w optymalnym zarządzaniu nieruchomością.</w:t>
      </w:r>
    </w:p>
    <w:p w14:paraId="2D494967" w14:textId="77777777" w:rsidR="000E1355" w:rsidRDefault="000E1355" w:rsidP="00734364"/>
    <w:p w14:paraId="124D6026" w14:textId="77777777" w:rsidR="000542D1" w:rsidRDefault="000542D1"/>
    <w:sectPr w:rsidR="0005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8E3"/>
    <w:multiLevelType w:val="multilevel"/>
    <w:tmpl w:val="47B4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16518"/>
    <w:multiLevelType w:val="multilevel"/>
    <w:tmpl w:val="2F96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733952">
    <w:abstractNumId w:val="1"/>
  </w:num>
  <w:num w:numId="2" w16cid:durableId="14647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64"/>
    <w:rsid w:val="0003735A"/>
    <w:rsid w:val="000542D1"/>
    <w:rsid w:val="000E1355"/>
    <w:rsid w:val="000E5394"/>
    <w:rsid w:val="00203D91"/>
    <w:rsid w:val="00273C7B"/>
    <w:rsid w:val="002802BB"/>
    <w:rsid w:val="002C14BB"/>
    <w:rsid w:val="0033066B"/>
    <w:rsid w:val="00362C00"/>
    <w:rsid w:val="003E5B57"/>
    <w:rsid w:val="004C19A3"/>
    <w:rsid w:val="006F29F1"/>
    <w:rsid w:val="006F5261"/>
    <w:rsid w:val="00734364"/>
    <w:rsid w:val="00775B05"/>
    <w:rsid w:val="0078465B"/>
    <w:rsid w:val="007D0B36"/>
    <w:rsid w:val="008428F5"/>
    <w:rsid w:val="009211D8"/>
    <w:rsid w:val="009A0EF6"/>
    <w:rsid w:val="00A30A54"/>
    <w:rsid w:val="00A717B7"/>
    <w:rsid w:val="00B3077B"/>
    <w:rsid w:val="00B3683C"/>
    <w:rsid w:val="00C47963"/>
    <w:rsid w:val="00D21DE0"/>
    <w:rsid w:val="00DD0F88"/>
    <w:rsid w:val="00E70990"/>
    <w:rsid w:val="00F12F5F"/>
    <w:rsid w:val="00F866A0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6D8A"/>
  <w15:chartTrackingRefBased/>
  <w15:docId w15:val="{74B83F7C-37BA-432F-8921-4599B7D8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4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4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3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3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3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3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3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3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3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3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3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3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36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7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73C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C7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F526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C1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eampropert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eamproperty.pl/nieruchomosci-w-hiszpanii/sprzedaz/wszystk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Stolp</dc:creator>
  <cp:keywords/>
  <dc:description/>
  <cp:lastModifiedBy>Joanna Stolp</cp:lastModifiedBy>
  <cp:revision>6</cp:revision>
  <dcterms:created xsi:type="dcterms:W3CDTF">2025-09-15T11:16:00Z</dcterms:created>
  <dcterms:modified xsi:type="dcterms:W3CDTF">2025-09-16T08:39:00Z</dcterms:modified>
</cp:coreProperties>
</file>