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8E8D78" w14:textId="7AFFEED4" w:rsidR="00142FB7" w:rsidRPr="00142FB7" w:rsidRDefault="00142FB7" w:rsidP="00142FB7">
      <w:pPr>
        <w:spacing w:line="259" w:lineRule="auto"/>
        <w:jc w:val="right"/>
        <w:textAlignment w:val="baseline"/>
        <w:rPr>
          <w:rFonts w:ascii="Intrum Sans" w:eastAsia="Times New Roman" w:hAnsi="Intrum Sans" w:cs="Segoe UI"/>
          <w:kern w:val="2"/>
          <w:sz w:val="18"/>
          <w:szCs w:val="18"/>
          <w:lang w:val="pl-PL" w:eastAsia="en-US"/>
          <w14:ligatures w14:val="standardContextual"/>
        </w:rPr>
      </w:pPr>
      <w:bookmarkStart w:id="0" w:name="_xjfiijz24nm9" w:colFirst="0" w:colLast="0"/>
      <w:bookmarkEnd w:id="0"/>
      <w:r w:rsidRPr="00142FB7">
        <w:rPr>
          <w:rFonts w:ascii="Intrum Sans" w:eastAsia="Times New Roman" w:hAnsi="Intrum Sans" w:cs="Segoe UI"/>
          <w:color w:val="000000"/>
          <w:kern w:val="2"/>
          <w:sz w:val="18"/>
          <w:szCs w:val="18"/>
          <w:lang w:val="pl-PL" w:eastAsia="en-US"/>
          <w14:ligatures w14:val="standardContextual"/>
        </w:rPr>
        <w:t xml:space="preserve">Materiał prasowy, </w:t>
      </w:r>
      <w:r w:rsidR="00027F9C">
        <w:rPr>
          <w:rFonts w:ascii="Intrum Sans" w:eastAsia="Times New Roman" w:hAnsi="Intrum Sans" w:cs="Segoe UI"/>
          <w:color w:val="000000"/>
          <w:kern w:val="2"/>
          <w:sz w:val="18"/>
          <w:szCs w:val="18"/>
          <w:lang w:val="pl-PL" w:eastAsia="en-US"/>
          <w14:ligatures w14:val="standardContextual"/>
        </w:rPr>
        <w:t>21</w:t>
      </w:r>
      <w:r w:rsidRPr="00142FB7">
        <w:rPr>
          <w:rFonts w:ascii="Intrum Sans" w:eastAsia="Times New Roman" w:hAnsi="Intrum Sans" w:cs="Segoe UI"/>
          <w:color w:val="000000"/>
          <w:kern w:val="2"/>
          <w:sz w:val="18"/>
          <w:szCs w:val="18"/>
          <w:lang w:val="pl-PL" w:eastAsia="en-US"/>
          <w14:ligatures w14:val="standardContextual"/>
        </w:rPr>
        <w:t>.</w:t>
      </w:r>
      <w:r>
        <w:rPr>
          <w:rFonts w:ascii="Intrum Sans" w:eastAsia="Times New Roman" w:hAnsi="Intrum Sans" w:cs="Segoe UI"/>
          <w:color w:val="000000"/>
          <w:kern w:val="2"/>
          <w:sz w:val="18"/>
          <w:szCs w:val="18"/>
          <w:lang w:val="pl-PL" w:eastAsia="en-US"/>
          <w14:ligatures w14:val="standardContextual"/>
        </w:rPr>
        <w:t>11</w:t>
      </w:r>
      <w:r w:rsidRPr="00142FB7">
        <w:rPr>
          <w:rFonts w:ascii="Intrum Sans" w:eastAsia="Times New Roman" w:hAnsi="Intrum Sans" w:cs="Segoe UI"/>
          <w:color w:val="000000"/>
          <w:kern w:val="2"/>
          <w:sz w:val="18"/>
          <w:szCs w:val="18"/>
          <w:lang w:val="pl-PL" w:eastAsia="en-US"/>
          <w14:ligatures w14:val="standardContextual"/>
        </w:rPr>
        <w:t>.2025 r.</w:t>
      </w:r>
      <w:r w:rsidRPr="00142FB7">
        <w:rPr>
          <w:rFonts w:ascii="Intrum Sans" w:eastAsia="Times New Roman" w:hAnsi="Intrum Sans" w:cs="Times New Roman"/>
          <w:color w:val="000000"/>
          <w:kern w:val="2"/>
          <w:sz w:val="18"/>
          <w:szCs w:val="18"/>
          <w:lang w:val="pl-PL" w:eastAsia="en-US"/>
          <w14:ligatures w14:val="standardContextual"/>
        </w:rPr>
        <w:t> </w:t>
      </w:r>
      <w:r w:rsidRPr="00142FB7">
        <w:rPr>
          <w:rFonts w:ascii="Intrum Sans" w:eastAsia="Times New Roman" w:hAnsi="Intrum Sans" w:cs="Segoe UI"/>
          <w:color w:val="000000"/>
          <w:kern w:val="2"/>
          <w:sz w:val="18"/>
          <w:szCs w:val="18"/>
          <w:lang w:val="pl-PL" w:eastAsia="en-US"/>
          <w14:ligatures w14:val="standardContextual"/>
        </w:rPr>
        <w:t>  </w:t>
      </w:r>
    </w:p>
    <w:p w14:paraId="2C0E47B3" w14:textId="77777777" w:rsidR="009B5312" w:rsidRPr="005B4BF0" w:rsidRDefault="009B5312">
      <w:pPr>
        <w:rPr>
          <w:rFonts w:ascii="Intrum Sans" w:hAnsi="Intrum Sans"/>
          <w:sz w:val="20"/>
          <w:szCs w:val="20"/>
        </w:rPr>
      </w:pPr>
      <w:bookmarkStart w:id="1" w:name="_q41ja12olrhs" w:colFirst="0" w:colLast="0"/>
      <w:bookmarkEnd w:id="1"/>
    </w:p>
    <w:p w14:paraId="60B0082A" w14:textId="77777777" w:rsidR="00A234F3" w:rsidRPr="00027F9C" w:rsidRDefault="00A234F3" w:rsidP="00027F9C">
      <w:pPr>
        <w:pStyle w:val="Tytu"/>
        <w:rPr>
          <w:rFonts w:ascii="Intrum Sans Medium" w:hAnsi="Intrum Sans Medium"/>
          <w:sz w:val="24"/>
          <w:szCs w:val="24"/>
        </w:rPr>
      </w:pPr>
      <w:r w:rsidRPr="00027F9C">
        <w:rPr>
          <w:rFonts w:ascii="Intrum Sans Medium" w:hAnsi="Intrum Sans Medium"/>
          <w:sz w:val="24"/>
          <w:szCs w:val="24"/>
        </w:rPr>
        <w:t xml:space="preserve">76% Europejczyków płaci rachunki na czas. Nowy raport Intrum pokazuje sytuację finansową konsumentów po latach wysokiej inflacji </w:t>
      </w:r>
    </w:p>
    <w:p w14:paraId="5C362CDD" w14:textId="5E8EF1FC" w:rsidR="00A234F3" w:rsidRDefault="00A234F3" w:rsidP="00A234F3">
      <w:pPr>
        <w:rPr>
          <w:rFonts w:ascii="Intrum Sans Medium" w:hAnsi="Intrum Sans Medium"/>
          <w:sz w:val="20"/>
          <w:szCs w:val="20"/>
        </w:rPr>
      </w:pPr>
      <w:r w:rsidRPr="00027F9C">
        <w:rPr>
          <w:rFonts w:ascii="Intrum Sans Medium" w:hAnsi="Intrum Sans Medium"/>
          <w:sz w:val="20"/>
          <w:szCs w:val="20"/>
        </w:rPr>
        <w:t xml:space="preserve">Po kilku latach wyraźnej presji na domowe budżety europejscy konsumenci zaczynają odzyskiwać poczucie finansowej stabilności. Najnowsza edycja Intrum </w:t>
      </w:r>
      <w:proofErr w:type="spellStart"/>
      <w:r w:rsidRPr="00027F9C">
        <w:rPr>
          <w:rFonts w:ascii="Intrum Sans Medium" w:hAnsi="Intrum Sans Medium"/>
          <w:sz w:val="20"/>
          <w:szCs w:val="20"/>
        </w:rPr>
        <w:t>European</w:t>
      </w:r>
      <w:proofErr w:type="spellEnd"/>
      <w:r w:rsidRPr="00027F9C">
        <w:rPr>
          <w:rFonts w:ascii="Intrum Sans Medium" w:hAnsi="Intrum Sans Medium"/>
          <w:sz w:val="20"/>
          <w:szCs w:val="20"/>
        </w:rPr>
        <w:t xml:space="preserve"> Consumer </w:t>
      </w:r>
      <w:proofErr w:type="spellStart"/>
      <w:r w:rsidRPr="00027F9C">
        <w:rPr>
          <w:rFonts w:ascii="Intrum Sans Medium" w:hAnsi="Intrum Sans Medium"/>
          <w:sz w:val="20"/>
          <w:szCs w:val="20"/>
        </w:rPr>
        <w:t>Payment</w:t>
      </w:r>
      <w:proofErr w:type="spellEnd"/>
      <w:r w:rsidRPr="00027F9C">
        <w:rPr>
          <w:rFonts w:ascii="Intrum Sans Medium" w:hAnsi="Intrum Sans Medium"/>
          <w:sz w:val="20"/>
          <w:szCs w:val="20"/>
        </w:rPr>
        <w:t xml:space="preserve"> Report 2025 pokazuje, że coraz więcej gospodarstw domowych deklaruje zdolność do pokrywania bieżących wydatków i regulowania rachunków na czas. Odsetek ten wzrósł z 63% w 2023 do dzisiejszych 76%</w:t>
      </w:r>
      <w:r w:rsidR="00E73E18">
        <w:rPr>
          <w:rStyle w:val="Odwoanieprzypisudolnego"/>
          <w:rFonts w:ascii="Intrum Sans Medium" w:hAnsi="Intrum Sans Medium"/>
          <w:sz w:val="20"/>
          <w:szCs w:val="20"/>
        </w:rPr>
        <w:footnoteReference w:id="1"/>
      </w:r>
      <w:r w:rsidRPr="00027F9C">
        <w:rPr>
          <w:rFonts w:ascii="Intrum Sans Medium" w:hAnsi="Intrum Sans Medium"/>
          <w:sz w:val="20"/>
          <w:szCs w:val="20"/>
        </w:rPr>
        <w:t xml:space="preserve">. Poprawa ta nie jest jednak równomierna – w wielu krajach nadal odczuwalne są skutki spowolnienia gospodarczego, a różnice w poziomie dochodów pogłębiają się mimo stabilnych rynków pracy i łagodzenia polityki monetarnej. </w:t>
      </w:r>
    </w:p>
    <w:p w14:paraId="38751720" w14:textId="77777777" w:rsidR="00027F9C" w:rsidRPr="00027F9C" w:rsidRDefault="00027F9C" w:rsidP="00A234F3">
      <w:pPr>
        <w:rPr>
          <w:rFonts w:ascii="Intrum Sans Medium" w:hAnsi="Intrum Sans Medium"/>
          <w:sz w:val="20"/>
          <w:szCs w:val="20"/>
        </w:rPr>
      </w:pPr>
    </w:p>
    <w:p w14:paraId="779056D2" w14:textId="77777777" w:rsidR="00027F9C" w:rsidRDefault="00A234F3" w:rsidP="00A234F3">
      <w:pPr>
        <w:rPr>
          <w:rFonts w:ascii="Intrum Sans" w:hAnsi="Intrum Sans"/>
          <w:sz w:val="20"/>
          <w:szCs w:val="20"/>
        </w:rPr>
      </w:pPr>
      <w:r w:rsidRPr="23228E25">
        <w:rPr>
          <w:rFonts w:ascii="Intrum Sans" w:hAnsi="Intrum Sans"/>
          <w:sz w:val="20"/>
          <w:szCs w:val="20"/>
        </w:rPr>
        <w:t>Po okresie zawirowań gospodarczych Stary Kontynent wchodzi w fazę stopniowej, choć nadal niepewnej stabilizacji. Europejski rynek pracy jest w dobrej kondycji – rosnąca aktywność zawodowa kobiet, osób powyżej 55. roku życia i migrantów podniosła wskaźnik zatrudnienia w strefie euro do rekordowych 75,8%</w:t>
      </w:r>
      <w:r>
        <w:rPr>
          <w:rStyle w:val="Odwoanieprzypisudolnego"/>
          <w:rFonts w:ascii="Intrum Sans" w:hAnsi="Intrum Sans"/>
          <w:sz w:val="20"/>
          <w:szCs w:val="20"/>
        </w:rPr>
        <w:footnoteReference w:id="2"/>
      </w:r>
      <w:r w:rsidRPr="23228E25">
        <w:rPr>
          <w:rFonts w:ascii="Intrum Sans" w:hAnsi="Intrum Sans"/>
          <w:sz w:val="20"/>
          <w:szCs w:val="20"/>
        </w:rPr>
        <w:t>. Jednocześnie silny wzrost płac w UE i Wielkiej Brytanii pomaga odbudowywać siłę nabywczą wielu gospodarstw domowych. Część krajów korzysta również z łagodzenia polityki monetarnej; Europejski Bank Centralny obniżył stopy procentowe do 2%</w:t>
      </w:r>
      <w:r>
        <w:rPr>
          <w:rStyle w:val="Odwoanieprzypisudolnego"/>
          <w:rFonts w:ascii="Intrum Sans" w:hAnsi="Intrum Sans"/>
          <w:sz w:val="20"/>
          <w:szCs w:val="20"/>
        </w:rPr>
        <w:footnoteReference w:id="3"/>
      </w:r>
      <w:r w:rsidRPr="23228E25">
        <w:rPr>
          <w:rFonts w:ascii="Intrum Sans" w:hAnsi="Intrum Sans"/>
          <w:sz w:val="20"/>
          <w:szCs w:val="20"/>
        </w:rPr>
        <w:t>. Jednak, jak podkreśla</w:t>
      </w:r>
      <w:r w:rsidRPr="23228E25">
        <w:rPr>
          <w:rFonts w:ascii="Intrum Sans" w:hAnsi="Intrum Sans"/>
          <w:b/>
          <w:bCs/>
          <w:sz w:val="20"/>
          <w:szCs w:val="20"/>
        </w:rPr>
        <w:t xml:space="preserve"> </w:t>
      </w:r>
      <w:r w:rsidRPr="00027F9C">
        <w:rPr>
          <w:rFonts w:ascii="Intrum Sans Medium" w:hAnsi="Intrum Sans Medium"/>
          <w:sz w:val="20"/>
          <w:szCs w:val="20"/>
        </w:rPr>
        <w:t xml:space="preserve">Agnieszka </w:t>
      </w:r>
      <w:proofErr w:type="spellStart"/>
      <w:r w:rsidRPr="00027F9C">
        <w:rPr>
          <w:rFonts w:ascii="Intrum Sans Medium" w:hAnsi="Intrum Sans Medium"/>
          <w:sz w:val="20"/>
          <w:szCs w:val="20"/>
        </w:rPr>
        <w:t>Kunkel</w:t>
      </w:r>
      <w:proofErr w:type="spellEnd"/>
      <w:r w:rsidRPr="00027F9C">
        <w:rPr>
          <w:rFonts w:ascii="Intrum Sans Medium" w:hAnsi="Intrum Sans Medium"/>
          <w:sz w:val="20"/>
          <w:szCs w:val="20"/>
        </w:rPr>
        <w:t>, Prezes Zarządu Intrum TFI,</w:t>
      </w:r>
      <w:r w:rsidRPr="23228E25">
        <w:rPr>
          <w:rFonts w:ascii="Intrum Sans" w:hAnsi="Intrum Sans"/>
          <w:sz w:val="20"/>
          <w:szCs w:val="20"/>
        </w:rPr>
        <w:t xml:space="preserve"> proces dezinflacji zatrzymał się w większości gospodarek, a ceny żywności i usług nadal utrzymują się na wysokim poziomie:</w:t>
      </w:r>
    </w:p>
    <w:p w14:paraId="2D78B67E" w14:textId="77777777" w:rsidR="00027F9C" w:rsidRDefault="00027F9C" w:rsidP="00A234F3">
      <w:pPr>
        <w:rPr>
          <w:rFonts w:ascii="Intrum Sans" w:hAnsi="Intrum Sans"/>
          <w:sz w:val="20"/>
          <w:szCs w:val="20"/>
        </w:rPr>
      </w:pPr>
    </w:p>
    <w:p w14:paraId="0B36AC26" w14:textId="775FB391" w:rsidR="00A234F3" w:rsidRDefault="00A234F3" w:rsidP="00A234F3">
      <w:pPr>
        <w:rPr>
          <w:rFonts w:ascii="Intrum Sans" w:hAnsi="Intrum Sans"/>
          <w:sz w:val="20"/>
          <w:szCs w:val="20"/>
        </w:rPr>
      </w:pPr>
      <w:r w:rsidRPr="009E5DBB">
        <w:rPr>
          <w:rFonts w:ascii="Intrum Sans" w:hAnsi="Intrum Sans"/>
          <w:sz w:val="20"/>
          <w:szCs w:val="20"/>
        </w:rPr>
        <w:t xml:space="preserve">- </w:t>
      </w:r>
      <w:r w:rsidRPr="00003BB2">
        <w:rPr>
          <w:rFonts w:ascii="Intrum Sans" w:hAnsi="Intrum Sans"/>
          <w:i/>
          <w:iCs/>
          <w:sz w:val="20"/>
          <w:szCs w:val="20"/>
        </w:rPr>
        <w:t>Zdolność do terminowego regulowania rachunków znacząco wzrosła, co wprowadza poczucie stabilności. Jednocześnie widzimy wyraźny podział między tymi, którzy czują się finansowo bezpieczni, a tymi, którzy wciąż żyją z miesiąca na miesiąc. Wielu konsumentów pozostaje w trybie „przetrwania” – wahają się przed inwestowaniem czy większymi wydatkami, naznaczeni latami gospodarczej niepewności</w:t>
      </w:r>
      <w:r w:rsidRPr="009E5DBB">
        <w:rPr>
          <w:rFonts w:ascii="Intrum Sans" w:hAnsi="Intrum Sans"/>
          <w:sz w:val="20"/>
          <w:szCs w:val="20"/>
        </w:rPr>
        <w:t xml:space="preserve"> – </w:t>
      </w:r>
      <w:r w:rsidRPr="00027F9C">
        <w:rPr>
          <w:rFonts w:ascii="Intrum Sans Medium" w:hAnsi="Intrum Sans Medium"/>
          <w:sz w:val="20"/>
          <w:szCs w:val="20"/>
        </w:rPr>
        <w:t>dodaje</w:t>
      </w:r>
      <w:r w:rsidRPr="009E5DBB">
        <w:rPr>
          <w:rFonts w:ascii="Intrum Sans" w:hAnsi="Intrum Sans"/>
          <w:sz w:val="20"/>
          <w:szCs w:val="20"/>
        </w:rPr>
        <w:t>.</w:t>
      </w:r>
    </w:p>
    <w:p w14:paraId="42DAE406" w14:textId="77777777" w:rsidR="00027F9C" w:rsidRDefault="00027F9C" w:rsidP="00A234F3">
      <w:pPr>
        <w:rPr>
          <w:rFonts w:ascii="Intrum Sans" w:hAnsi="Intrum Sans"/>
          <w:sz w:val="20"/>
          <w:szCs w:val="20"/>
        </w:rPr>
      </w:pPr>
    </w:p>
    <w:p w14:paraId="4B76DB10" w14:textId="77777777" w:rsidR="00A234F3" w:rsidRDefault="00A234F3" w:rsidP="00A234F3">
      <w:pPr>
        <w:rPr>
          <w:rFonts w:ascii="Intrum Sans" w:hAnsi="Intrum Sans"/>
          <w:sz w:val="20"/>
          <w:szCs w:val="20"/>
        </w:rPr>
      </w:pPr>
      <w:r>
        <w:rPr>
          <w:rFonts w:ascii="Intrum Sans" w:hAnsi="Intrum Sans"/>
          <w:sz w:val="20"/>
          <w:szCs w:val="20"/>
        </w:rPr>
        <w:t>A</w:t>
      </w:r>
      <w:r w:rsidRPr="009E5DBB">
        <w:rPr>
          <w:rFonts w:ascii="Intrum Sans" w:hAnsi="Intrum Sans"/>
          <w:sz w:val="20"/>
          <w:szCs w:val="20"/>
        </w:rPr>
        <w:t>ż 43%</w:t>
      </w:r>
      <w:r>
        <w:rPr>
          <w:rStyle w:val="Odwoanieprzypisudolnego"/>
          <w:rFonts w:ascii="Intrum Sans" w:hAnsi="Intrum Sans"/>
          <w:sz w:val="20"/>
          <w:szCs w:val="20"/>
        </w:rPr>
        <w:footnoteReference w:id="4"/>
      </w:r>
      <w:r w:rsidRPr="009E5DBB">
        <w:rPr>
          <w:rFonts w:ascii="Intrum Sans" w:hAnsi="Intrum Sans"/>
          <w:sz w:val="20"/>
          <w:szCs w:val="20"/>
        </w:rPr>
        <w:t xml:space="preserve"> konsumentów </w:t>
      </w:r>
      <w:r>
        <w:rPr>
          <w:rFonts w:ascii="Intrum Sans" w:hAnsi="Intrum Sans"/>
          <w:sz w:val="20"/>
          <w:szCs w:val="20"/>
        </w:rPr>
        <w:t>twierdzi</w:t>
      </w:r>
      <w:r w:rsidRPr="009E5DBB">
        <w:rPr>
          <w:rFonts w:ascii="Intrum Sans" w:hAnsi="Intrum Sans"/>
          <w:sz w:val="20"/>
          <w:szCs w:val="20"/>
        </w:rPr>
        <w:t>, że ostatnie lata trwale pogorszyły ich dobrostan finansowy.</w:t>
      </w:r>
      <w:r w:rsidRPr="004A2682">
        <w:rPr>
          <w:rFonts w:ascii="Intrum Sans" w:hAnsi="Intrum Sans"/>
          <w:sz w:val="20"/>
          <w:szCs w:val="20"/>
        </w:rPr>
        <w:t xml:space="preserve"> To zjawisko szczególnie dotyka młodsze pokolenia oraz osoby o niższych dochodach, które znacznie częściej deklarują problemy z pokrywaniem podstawowych potrzeb. Właśnie ta grupa najwolniej odczuwa efekty stabilizujących się wskaźników makroekonomicznych.</w:t>
      </w:r>
    </w:p>
    <w:p w14:paraId="13CD6C1F" w14:textId="77777777" w:rsidR="00027F9C" w:rsidRDefault="00027F9C" w:rsidP="00A234F3">
      <w:pPr>
        <w:rPr>
          <w:rFonts w:ascii="Intrum Sans" w:hAnsi="Intrum Sans"/>
          <w:sz w:val="20"/>
          <w:szCs w:val="20"/>
        </w:rPr>
      </w:pPr>
    </w:p>
    <w:p w14:paraId="29BEC390" w14:textId="77777777" w:rsidR="00A234F3" w:rsidRPr="00027F9C" w:rsidRDefault="00A234F3" w:rsidP="00A234F3">
      <w:pPr>
        <w:rPr>
          <w:rFonts w:ascii="Intrum Sans Medium" w:hAnsi="Intrum Sans Medium"/>
          <w:sz w:val="20"/>
          <w:szCs w:val="20"/>
        </w:rPr>
      </w:pPr>
      <w:r w:rsidRPr="00027F9C">
        <w:rPr>
          <w:rFonts w:ascii="Intrum Sans Medium" w:hAnsi="Intrum Sans Medium"/>
          <w:sz w:val="20"/>
          <w:szCs w:val="20"/>
        </w:rPr>
        <w:t>Ostrożności nigdy za wiele</w:t>
      </w:r>
    </w:p>
    <w:p w14:paraId="1661417C" w14:textId="165FCBE6" w:rsidR="00A234F3" w:rsidRDefault="00A234F3" w:rsidP="00A234F3">
      <w:pPr>
        <w:rPr>
          <w:rFonts w:ascii="Intrum Sans" w:hAnsi="Intrum Sans"/>
          <w:sz w:val="20"/>
          <w:szCs w:val="20"/>
        </w:rPr>
      </w:pPr>
      <w:r w:rsidRPr="009E5DBB">
        <w:rPr>
          <w:rFonts w:ascii="Intrum Sans" w:hAnsi="Intrum Sans"/>
          <w:sz w:val="20"/>
          <w:szCs w:val="20"/>
        </w:rPr>
        <w:t>Choć c</w:t>
      </w:r>
      <w:r w:rsidRPr="004A2682">
        <w:rPr>
          <w:rFonts w:ascii="Intrum Sans" w:hAnsi="Intrum Sans"/>
          <w:sz w:val="20"/>
          <w:szCs w:val="20"/>
        </w:rPr>
        <w:t xml:space="preserve">oraz więcej konsumentów deklaruje zdolność do terminowego regulowania rachunków, duża część społeczeństwa nadal funkcjonuje „z miesiąca na miesiąc”. </w:t>
      </w:r>
      <w:r>
        <w:rPr>
          <w:rFonts w:ascii="Intrum Sans" w:hAnsi="Intrum Sans"/>
          <w:sz w:val="20"/>
          <w:szCs w:val="20"/>
        </w:rPr>
        <w:t>Rozwagę</w:t>
      </w:r>
      <w:r w:rsidRPr="009E5DBB">
        <w:rPr>
          <w:rFonts w:ascii="Intrum Sans" w:hAnsi="Intrum Sans"/>
          <w:sz w:val="20"/>
          <w:szCs w:val="20"/>
        </w:rPr>
        <w:t xml:space="preserve"> widać również w codziennych decyzjach: sześciu na dziesięciu</w:t>
      </w:r>
      <w:r>
        <w:rPr>
          <w:rStyle w:val="Odwoanieprzypisudolnego"/>
          <w:rFonts w:ascii="Intrum Sans" w:hAnsi="Intrum Sans"/>
          <w:sz w:val="20"/>
          <w:szCs w:val="20"/>
        </w:rPr>
        <w:footnoteReference w:id="5"/>
      </w:r>
      <w:r w:rsidRPr="009E5DBB">
        <w:rPr>
          <w:rFonts w:ascii="Intrum Sans" w:hAnsi="Intrum Sans"/>
          <w:sz w:val="20"/>
          <w:szCs w:val="20"/>
        </w:rPr>
        <w:t xml:space="preserve"> konsumentów regularnie odkłada pieniądze na fundusz awaryjny na wypadek utraty dochodu, a niemal co trzeci (29%)</w:t>
      </w:r>
      <w:r>
        <w:rPr>
          <w:rStyle w:val="Odwoanieprzypisudolnego"/>
          <w:rFonts w:ascii="Intrum Sans" w:hAnsi="Intrum Sans"/>
          <w:sz w:val="20"/>
          <w:szCs w:val="20"/>
        </w:rPr>
        <w:footnoteReference w:id="6"/>
      </w:r>
      <w:r w:rsidRPr="009E5DBB">
        <w:rPr>
          <w:rFonts w:ascii="Intrum Sans" w:hAnsi="Intrum Sans"/>
          <w:sz w:val="20"/>
          <w:szCs w:val="20"/>
        </w:rPr>
        <w:t xml:space="preserve"> przyznaje, że doniesienia o niestabilności gospodarczej wywołują u nich niepokój</w:t>
      </w:r>
      <w:r w:rsidRPr="004A2682">
        <w:rPr>
          <w:rFonts w:ascii="Intrum Sans" w:hAnsi="Intrum Sans"/>
          <w:sz w:val="20"/>
          <w:szCs w:val="20"/>
        </w:rPr>
        <w:t>.</w:t>
      </w:r>
    </w:p>
    <w:p w14:paraId="3BF297B5" w14:textId="77777777" w:rsidR="00027F9C" w:rsidRDefault="00027F9C" w:rsidP="00A234F3">
      <w:pPr>
        <w:rPr>
          <w:rFonts w:ascii="Intrum Sans" w:hAnsi="Intrum Sans"/>
          <w:sz w:val="20"/>
          <w:szCs w:val="20"/>
        </w:rPr>
      </w:pPr>
    </w:p>
    <w:p w14:paraId="2C19E12E" w14:textId="575F3280" w:rsidR="00A234F3" w:rsidRDefault="00A234F3" w:rsidP="00A234F3">
      <w:pPr>
        <w:rPr>
          <w:rFonts w:ascii="Intrum Sans" w:hAnsi="Intrum Sans"/>
          <w:sz w:val="20"/>
          <w:szCs w:val="20"/>
        </w:rPr>
      </w:pPr>
      <w:r w:rsidRPr="00125490">
        <w:rPr>
          <w:rFonts w:ascii="Intrum Sans" w:hAnsi="Intrum Sans"/>
          <w:sz w:val="20"/>
          <w:szCs w:val="20"/>
        </w:rPr>
        <w:t xml:space="preserve">W 2024 roku konsumenci zalegający z płatnościami najczęściej tłumaczyli </w:t>
      </w:r>
      <w:r>
        <w:rPr>
          <w:rFonts w:ascii="Intrum Sans" w:hAnsi="Intrum Sans"/>
          <w:sz w:val="20"/>
          <w:szCs w:val="20"/>
        </w:rPr>
        <w:t>opóźnienia z</w:t>
      </w:r>
      <w:r w:rsidRPr="00125490">
        <w:rPr>
          <w:rFonts w:ascii="Intrum Sans" w:hAnsi="Intrum Sans"/>
          <w:sz w:val="20"/>
          <w:szCs w:val="20"/>
        </w:rPr>
        <w:t xml:space="preserve">wykłym zapomnieniem, mimo że mieli środki na uregulowanie rachunków. Tegoroczne wyniki wskazują jednak, że był </w:t>
      </w:r>
      <w:r w:rsidRPr="00E6395F">
        <w:rPr>
          <w:rFonts w:ascii="Intrum Sans" w:hAnsi="Intrum Sans"/>
          <w:sz w:val="20"/>
          <w:szCs w:val="20"/>
        </w:rPr>
        <w:t>to</w:t>
      </w:r>
      <w:r w:rsidRPr="00125490">
        <w:rPr>
          <w:rFonts w:ascii="Intrum Sans" w:hAnsi="Intrum Sans"/>
          <w:sz w:val="20"/>
          <w:szCs w:val="20"/>
        </w:rPr>
        <w:t xml:space="preserve"> jedynie chwilowy trend</w:t>
      </w:r>
      <w:r>
        <w:rPr>
          <w:rFonts w:ascii="Intrum Sans" w:hAnsi="Intrum Sans"/>
          <w:sz w:val="20"/>
          <w:szCs w:val="20"/>
        </w:rPr>
        <w:t xml:space="preserve">. </w:t>
      </w:r>
      <w:r w:rsidRPr="00125490">
        <w:rPr>
          <w:rFonts w:ascii="Intrum Sans" w:hAnsi="Intrum Sans"/>
          <w:sz w:val="20"/>
          <w:szCs w:val="20"/>
        </w:rPr>
        <w:t xml:space="preserve">Obecnie najczęściej wskazywanym powodem są braki finansowe. Zmiana jest szczególnie widoczna wśród przedstawicieli pokolenia Z: w 2024 roku </w:t>
      </w:r>
      <w:r w:rsidRPr="00763A35">
        <w:rPr>
          <w:rFonts w:ascii="Intrum Sans" w:hAnsi="Intrum Sans"/>
          <w:sz w:val="20"/>
          <w:szCs w:val="20"/>
        </w:rPr>
        <w:t xml:space="preserve">tylko jedna na pięć osób </w:t>
      </w:r>
      <w:r w:rsidRPr="00763A35">
        <w:rPr>
          <w:rFonts w:ascii="Intrum Sans" w:hAnsi="Intrum Sans"/>
          <w:sz w:val="20"/>
          <w:szCs w:val="20"/>
        </w:rPr>
        <w:lastRenderedPageBreak/>
        <w:t>deklarowała, że nie ma pieniędzy na zapłatę rachunków, podczas gdy w 2025 roku odsetek ten wzrósł do 52 procent</w:t>
      </w:r>
      <w:r>
        <w:rPr>
          <w:rStyle w:val="Odwoanieprzypisudolnego"/>
          <w:rFonts w:ascii="Intrum Sans" w:hAnsi="Intrum Sans"/>
          <w:sz w:val="20"/>
          <w:szCs w:val="20"/>
        </w:rPr>
        <w:footnoteReference w:id="7"/>
      </w:r>
      <w:r w:rsidRPr="00763A35">
        <w:rPr>
          <w:rFonts w:ascii="Intrum Sans" w:hAnsi="Intrum Sans"/>
          <w:sz w:val="20"/>
          <w:szCs w:val="20"/>
        </w:rPr>
        <w:t>.</w:t>
      </w:r>
    </w:p>
    <w:p w14:paraId="397BF4F2" w14:textId="77777777" w:rsidR="00027F9C" w:rsidRPr="00125490" w:rsidRDefault="00027F9C" w:rsidP="00A234F3">
      <w:pPr>
        <w:rPr>
          <w:rFonts w:ascii="Intrum Sans" w:hAnsi="Intrum Sans"/>
          <w:sz w:val="20"/>
          <w:szCs w:val="20"/>
        </w:rPr>
      </w:pPr>
    </w:p>
    <w:p w14:paraId="77E05ED9" w14:textId="77777777" w:rsidR="00A234F3" w:rsidRDefault="00A234F3" w:rsidP="00A234F3">
      <w:pPr>
        <w:rPr>
          <w:rFonts w:ascii="Intrum Sans" w:hAnsi="Intrum Sans"/>
          <w:sz w:val="20"/>
          <w:szCs w:val="20"/>
        </w:rPr>
      </w:pPr>
      <w:r w:rsidRPr="23228E25">
        <w:rPr>
          <w:rFonts w:ascii="Intrum Sans" w:hAnsi="Intrum Sans"/>
          <w:sz w:val="20"/>
          <w:szCs w:val="20"/>
        </w:rPr>
        <w:t xml:space="preserve">Do tego dochodzi poczucie niepewności u młodych dorosłych, którzy, jak zauważa </w:t>
      </w:r>
      <w:r w:rsidRPr="00027F9C">
        <w:rPr>
          <w:rFonts w:ascii="Intrum Sans Medium" w:hAnsi="Intrum Sans Medium"/>
          <w:sz w:val="20"/>
          <w:szCs w:val="20"/>
        </w:rPr>
        <w:t xml:space="preserve">Agnieszka </w:t>
      </w:r>
      <w:proofErr w:type="spellStart"/>
      <w:r w:rsidRPr="00027F9C">
        <w:rPr>
          <w:rFonts w:ascii="Intrum Sans Medium" w:hAnsi="Intrum Sans Medium"/>
          <w:sz w:val="20"/>
          <w:szCs w:val="20"/>
        </w:rPr>
        <w:t>Kunkel</w:t>
      </w:r>
      <w:proofErr w:type="spellEnd"/>
      <w:r w:rsidRPr="23228E25">
        <w:rPr>
          <w:rFonts w:ascii="Intrum Sans" w:hAnsi="Intrum Sans"/>
          <w:sz w:val="20"/>
          <w:szCs w:val="20"/>
        </w:rPr>
        <w:t>, nie tylko mierzą się z wysokimi kosztami życia, lecz także z presją aspiracyjną wzmacnianą przez media społecznościowe:</w:t>
      </w:r>
    </w:p>
    <w:p w14:paraId="0CE6D0BE" w14:textId="77777777" w:rsidR="00027F9C" w:rsidRPr="00785FA3" w:rsidRDefault="00027F9C" w:rsidP="00A234F3">
      <w:pPr>
        <w:rPr>
          <w:rFonts w:ascii="Intrum Sans" w:hAnsi="Intrum Sans"/>
          <w:sz w:val="20"/>
          <w:szCs w:val="20"/>
        </w:rPr>
      </w:pPr>
    </w:p>
    <w:p w14:paraId="75A3B36C" w14:textId="77777777" w:rsidR="00A234F3" w:rsidRPr="00027F9C" w:rsidRDefault="00A234F3" w:rsidP="00A234F3">
      <w:pPr>
        <w:rPr>
          <w:rFonts w:ascii="Intrum Sans Medium" w:hAnsi="Intrum Sans Medium"/>
          <w:sz w:val="20"/>
          <w:szCs w:val="20"/>
        </w:rPr>
      </w:pPr>
      <w:r w:rsidRPr="23228E25">
        <w:rPr>
          <w:rFonts w:ascii="Intrum Sans" w:hAnsi="Intrum Sans"/>
          <w:sz w:val="20"/>
          <w:szCs w:val="20"/>
        </w:rPr>
        <w:t xml:space="preserve">- </w:t>
      </w:r>
      <w:r w:rsidRPr="23228E25">
        <w:rPr>
          <w:rFonts w:ascii="Intrum Sans" w:hAnsi="Intrum Sans"/>
          <w:i/>
          <w:iCs/>
          <w:sz w:val="20"/>
          <w:szCs w:val="20"/>
        </w:rPr>
        <w:t xml:space="preserve">Rozbieżność między oczekiwaniami a realnymi możliwościami finansowymi prowadzi u części z nich do </w:t>
      </w:r>
      <w:proofErr w:type="spellStart"/>
      <w:r w:rsidRPr="23228E25">
        <w:rPr>
          <w:rFonts w:ascii="Intrum Sans" w:hAnsi="Intrum Sans"/>
          <w:i/>
          <w:iCs/>
          <w:sz w:val="20"/>
          <w:szCs w:val="20"/>
        </w:rPr>
        <w:t>zachowań</w:t>
      </w:r>
      <w:proofErr w:type="spellEnd"/>
      <w:r w:rsidRPr="23228E25">
        <w:rPr>
          <w:rFonts w:ascii="Intrum Sans" w:hAnsi="Intrum Sans"/>
          <w:i/>
          <w:iCs/>
          <w:sz w:val="20"/>
          <w:szCs w:val="20"/>
        </w:rPr>
        <w:t xml:space="preserve">, które w dłuższej perspektywie </w:t>
      </w:r>
      <w:r w:rsidRPr="00830659">
        <w:rPr>
          <w:rFonts w:ascii="Intrum Sans" w:hAnsi="Intrum Sans"/>
          <w:i/>
          <w:iCs/>
          <w:sz w:val="20"/>
          <w:szCs w:val="20"/>
        </w:rPr>
        <w:t>mogą skutkować pogorszeniem sytuacji finansowej.</w:t>
      </w:r>
      <w:r w:rsidRPr="23228E25">
        <w:rPr>
          <w:rFonts w:ascii="Intrum Sans" w:hAnsi="Intrum Sans"/>
          <w:i/>
          <w:iCs/>
          <w:sz w:val="20"/>
          <w:szCs w:val="20"/>
        </w:rPr>
        <w:t xml:space="preserve"> Według badania, co trzeci Europejczyk</w:t>
      </w:r>
      <w:r>
        <w:rPr>
          <w:rStyle w:val="Odwoanieprzypisudolnego"/>
          <w:rFonts w:ascii="Intrum Sans" w:hAnsi="Intrum Sans"/>
          <w:i/>
          <w:iCs/>
          <w:sz w:val="20"/>
          <w:szCs w:val="20"/>
        </w:rPr>
        <w:footnoteReference w:id="8"/>
      </w:r>
      <w:r w:rsidRPr="23228E25">
        <w:rPr>
          <w:rFonts w:ascii="Intrum Sans" w:hAnsi="Intrum Sans"/>
          <w:i/>
          <w:iCs/>
          <w:sz w:val="20"/>
          <w:szCs w:val="20"/>
        </w:rPr>
        <w:t xml:space="preserve"> przyznaje, że presja dorównania stylowi życia </w:t>
      </w:r>
      <w:proofErr w:type="spellStart"/>
      <w:r w:rsidRPr="23228E25">
        <w:rPr>
          <w:rFonts w:ascii="Intrum Sans" w:hAnsi="Intrum Sans"/>
          <w:i/>
          <w:iCs/>
          <w:sz w:val="20"/>
          <w:szCs w:val="20"/>
        </w:rPr>
        <w:t>influencerów</w:t>
      </w:r>
      <w:proofErr w:type="spellEnd"/>
      <w:r w:rsidRPr="23228E25">
        <w:rPr>
          <w:rFonts w:ascii="Intrum Sans" w:hAnsi="Intrum Sans"/>
          <w:i/>
          <w:iCs/>
          <w:sz w:val="20"/>
          <w:szCs w:val="20"/>
        </w:rPr>
        <w:t xml:space="preserve"> negatywnie wpłynęła na jego zdrowie psychiczne -</w:t>
      </w:r>
      <w:r w:rsidRPr="23228E25">
        <w:rPr>
          <w:rFonts w:ascii="Intrum Sans" w:hAnsi="Intrum Sans"/>
          <w:b/>
          <w:bCs/>
          <w:sz w:val="20"/>
          <w:szCs w:val="20"/>
        </w:rPr>
        <w:t xml:space="preserve"> </w:t>
      </w:r>
      <w:r w:rsidRPr="00027F9C">
        <w:rPr>
          <w:rFonts w:ascii="Intrum Sans Medium" w:hAnsi="Intrum Sans Medium"/>
          <w:sz w:val="20"/>
          <w:szCs w:val="20"/>
        </w:rPr>
        <w:t>wyjaśnia ekspertka Intrum.</w:t>
      </w:r>
    </w:p>
    <w:p w14:paraId="506E94C3" w14:textId="77777777" w:rsidR="00027F9C" w:rsidRPr="00785FA3" w:rsidRDefault="00027F9C" w:rsidP="00A234F3">
      <w:pPr>
        <w:rPr>
          <w:rFonts w:ascii="Intrum Sans" w:hAnsi="Intrum Sans"/>
          <w:b/>
          <w:bCs/>
          <w:sz w:val="20"/>
          <w:szCs w:val="20"/>
        </w:rPr>
      </w:pPr>
    </w:p>
    <w:p w14:paraId="24273B89" w14:textId="4AF418F0" w:rsidR="00A234F3" w:rsidRDefault="00A234F3" w:rsidP="00A234F3">
      <w:pPr>
        <w:rPr>
          <w:rFonts w:ascii="Intrum Sans" w:hAnsi="Intrum Sans"/>
          <w:sz w:val="20"/>
          <w:szCs w:val="20"/>
        </w:rPr>
      </w:pPr>
      <w:r w:rsidRPr="00852070">
        <w:rPr>
          <w:rFonts w:ascii="Intrum Sans" w:hAnsi="Intrum Sans"/>
          <w:sz w:val="20"/>
          <w:szCs w:val="20"/>
        </w:rPr>
        <w:t>Z danych Intrum wynika, że aż 46%</w:t>
      </w:r>
      <w:r>
        <w:rPr>
          <w:rStyle w:val="Odwoanieprzypisudolnego"/>
          <w:rFonts w:ascii="Intrum Sans" w:hAnsi="Intrum Sans"/>
          <w:sz w:val="20"/>
          <w:szCs w:val="20"/>
        </w:rPr>
        <w:footnoteReference w:id="9"/>
      </w:r>
      <w:r w:rsidRPr="00852070">
        <w:rPr>
          <w:rFonts w:ascii="Intrum Sans" w:hAnsi="Intrum Sans"/>
          <w:sz w:val="20"/>
          <w:szCs w:val="20"/>
        </w:rPr>
        <w:t xml:space="preserve"> osób, które obecnie zmagają się z trudnościami finansowymi, pamięta stres lub konflikty związane z pieniędzmi w czasie dorastania. To doświadczenia, które często przekładają się na brak umiejętności planowania wydatków, trudności w kontroli budżetu czy niższe poczucie sprawczości finansowej. Co więcej, jedynie jedna czwarta badanych deklaruje, że świadomie starała się wypracować lepsze nawyki niż te obserwowane w rodzinnym domu</w:t>
      </w:r>
      <w:r w:rsidR="00A8194D">
        <w:rPr>
          <w:rStyle w:val="Odwoanieprzypisudolnego"/>
          <w:rFonts w:ascii="Intrum Sans" w:hAnsi="Intrum Sans"/>
          <w:sz w:val="20"/>
          <w:szCs w:val="20"/>
        </w:rPr>
        <w:footnoteReference w:id="10"/>
      </w:r>
      <w:r w:rsidRPr="00852070">
        <w:rPr>
          <w:rFonts w:ascii="Intrum Sans" w:hAnsi="Intrum Sans"/>
          <w:sz w:val="20"/>
          <w:szCs w:val="20"/>
        </w:rPr>
        <w:t>.</w:t>
      </w:r>
    </w:p>
    <w:p w14:paraId="71539ECC" w14:textId="77777777" w:rsidR="00027F9C" w:rsidRPr="00852070" w:rsidRDefault="00027F9C" w:rsidP="00A234F3">
      <w:pPr>
        <w:rPr>
          <w:rFonts w:ascii="Intrum Sans" w:hAnsi="Intrum Sans"/>
          <w:sz w:val="20"/>
          <w:szCs w:val="20"/>
        </w:rPr>
      </w:pPr>
    </w:p>
    <w:p w14:paraId="1023AFA5" w14:textId="77777777" w:rsidR="00A234F3" w:rsidRPr="009E5DBB" w:rsidRDefault="00A234F3" w:rsidP="00A234F3">
      <w:pPr>
        <w:rPr>
          <w:rFonts w:ascii="Intrum Sans" w:hAnsi="Intrum Sans"/>
          <w:sz w:val="20"/>
          <w:szCs w:val="20"/>
        </w:rPr>
      </w:pPr>
      <w:r w:rsidRPr="003908DC">
        <w:rPr>
          <w:rFonts w:ascii="Intrum Sans" w:hAnsi="Intrum Sans"/>
          <w:sz w:val="20"/>
          <w:szCs w:val="20"/>
        </w:rPr>
        <w:t>W obliczu tych wyzwań</w:t>
      </w:r>
      <w:r>
        <w:rPr>
          <w:rFonts w:ascii="Intrum Sans" w:hAnsi="Intrum Sans"/>
          <w:sz w:val="20"/>
          <w:szCs w:val="20"/>
        </w:rPr>
        <w:t>,</w:t>
      </w:r>
      <w:r w:rsidRPr="003908DC">
        <w:rPr>
          <w:rFonts w:ascii="Intrum Sans" w:hAnsi="Intrum Sans"/>
          <w:sz w:val="20"/>
          <w:szCs w:val="20"/>
        </w:rPr>
        <w:t xml:space="preserve"> tegoroczny </w:t>
      </w:r>
      <w:r>
        <w:rPr>
          <w:rFonts w:ascii="Intrum Sans" w:hAnsi="Intrum Sans"/>
          <w:sz w:val="20"/>
          <w:szCs w:val="20"/>
        </w:rPr>
        <w:t xml:space="preserve">raport </w:t>
      </w:r>
      <w:r w:rsidRPr="003908DC">
        <w:rPr>
          <w:rFonts w:ascii="Intrum Sans" w:hAnsi="Intrum Sans"/>
          <w:sz w:val="20"/>
          <w:szCs w:val="20"/>
        </w:rPr>
        <w:t>ECPR 2025 podkreśla znaczenie wczesnej edukacji finansowej, wzmacniania codziennych nawyków związanych z zarządzaniem pieniędzmi oraz dalszego monitorowania różnic w odporności finansowej między gospodarstwami domowymi. To one w dużej mierze zadecydują o tym, jak szybko europejskie społeczeństwa odzyskają stabilność i zaufanie do własnej sytuacji ekonomicznej.</w:t>
      </w:r>
    </w:p>
    <w:p w14:paraId="4415FB3F" w14:textId="77777777" w:rsidR="00A234F3" w:rsidRDefault="00A234F3" w:rsidP="00A234F3">
      <w:pPr>
        <w:rPr>
          <w:rFonts w:ascii="Intrum Sans" w:hAnsi="Intrum Sans"/>
          <w:b/>
          <w:bCs/>
          <w:sz w:val="20"/>
          <w:szCs w:val="20"/>
        </w:rPr>
      </w:pPr>
    </w:p>
    <w:p w14:paraId="1A548378" w14:textId="77777777" w:rsidR="00A234F3" w:rsidRPr="00A23235" w:rsidRDefault="00A234F3" w:rsidP="00A234F3">
      <w:pPr>
        <w:rPr>
          <w:rFonts w:ascii="Intrum Sans" w:hAnsi="Intrum Sans"/>
          <w:sz w:val="20"/>
          <w:szCs w:val="20"/>
        </w:rPr>
      </w:pPr>
      <w:r w:rsidRPr="006C4233">
        <w:rPr>
          <w:rFonts w:ascii="Intrum Sans" w:hAnsi="Intrum Sans"/>
          <w:b/>
          <w:bCs/>
          <w:sz w:val="20"/>
          <w:szCs w:val="20"/>
        </w:rPr>
        <w:t>O raporcie ECPR</w:t>
      </w:r>
      <w:r w:rsidRPr="006C4233">
        <w:rPr>
          <w:rFonts w:ascii="Intrum Sans" w:hAnsi="Intrum Sans"/>
          <w:sz w:val="20"/>
          <w:szCs w:val="20"/>
        </w:rPr>
        <w:br/>
      </w:r>
      <w:proofErr w:type="spellStart"/>
      <w:r w:rsidRPr="006C4233">
        <w:rPr>
          <w:rFonts w:ascii="Intrum Sans" w:hAnsi="Intrum Sans"/>
          <w:sz w:val="20"/>
          <w:szCs w:val="20"/>
        </w:rPr>
        <w:t>European</w:t>
      </w:r>
      <w:proofErr w:type="spellEnd"/>
      <w:r w:rsidRPr="006C4233">
        <w:rPr>
          <w:rFonts w:ascii="Intrum Sans" w:hAnsi="Intrum Sans"/>
          <w:sz w:val="20"/>
          <w:szCs w:val="20"/>
        </w:rPr>
        <w:t xml:space="preserve"> Consumer </w:t>
      </w:r>
      <w:proofErr w:type="spellStart"/>
      <w:r w:rsidRPr="006C4233">
        <w:rPr>
          <w:rFonts w:ascii="Intrum Sans" w:hAnsi="Intrum Sans"/>
          <w:sz w:val="20"/>
          <w:szCs w:val="20"/>
        </w:rPr>
        <w:t>Payment</w:t>
      </w:r>
      <w:proofErr w:type="spellEnd"/>
      <w:r w:rsidRPr="006C4233">
        <w:rPr>
          <w:rFonts w:ascii="Intrum Sans" w:hAnsi="Intrum Sans"/>
          <w:sz w:val="20"/>
          <w:szCs w:val="20"/>
        </w:rPr>
        <w:t xml:space="preserve"> Report 2025 przedstawia szczegółowy obraz tego, jak mieszkańcy Europy zarządzają swoimi finansami, radzą sobie z rosnącymi kosztami i dostosowują się do zmieniających się warunków gospodarczych. Raport opiera się na badaniu 20 000 konsumentów z 20 krajów europejskich, przeprowadzonym przez FT </w:t>
      </w:r>
      <w:proofErr w:type="spellStart"/>
      <w:r w:rsidRPr="006C4233">
        <w:rPr>
          <w:rFonts w:ascii="Intrum Sans" w:hAnsi="Intrum Sans"/>
          <w:sz w:val="20"/>
          <w:szCs w:val="20"/>
        </w:rPr>
        <w:t>Longitude</w:t>
      </w:r>
      <w:proofErr w:type="spellEnd"/>
      <w:r w:rsidRPr="006C4233">
        <w:rPr>
          <w:rFonts w:ascii="Intrum Sans" w:hAnsi="Intrum Sans"/>
          <w:sz w:val="20"/>
          <w:szCs w:val="20"/>
        </w:rPr>
        <w:t xml:space="preserve"> między lipcem a sierpniem 2025 roku.</w:t>
      </w:r>
    </w:p>
    <w:p w14:paraId="69D14CC0" w14:textId="77777777" w:rsidR="00A8194D" w:rsidRDefault="00A8194D" w:rsidP="00A234F3">
      <w:pPr>
        <w:rPr>
          <w:rFonts w:ascii="Intrum Sans" w:hAnsi="Intrum Sans"/>
          <w:b/>
          <w:bCs/>
          <w:sz w:val="20"/>
          <w:szCs w:val="20"/>
        </w:rPr>
      </w:pPr>
    </w:p>
    <w:p w14:paraId="3744556E" w14:textId="1626CE9E" w:rsidR="00A234F3" w:rsidRPr="00BD79AC" w:rsidRDefault="00A234F3" w:rsidP="00A234F3">
      <w:pPr>
        <w:rPr>
          <w:rFonts w:ascii="Intrum Sans" w:hAnsi="Intrum Sans"/>
          <w:b/>
          <w:bCs/>
          <w:sz w:val="20"/>
          <w:szCs w:val="20"/>
        </w:rPr>
      </w:pPr>
      <w:r w:rsidRPr="00BD79AC">
        <w:rPr>
          <w:rFonts w:ascii="Intrum Sans" w:hAnsi="Intrum Sans"/>
          <w:b/>
          <w:bCs/>
          <w:sz w:val="20"/>
          <w:szCs w:val="20"/>
        </w:rPr>
        <w:t xml:space="preserve">Więcej informacji: </w:t>
      </w:r>
    </w:p>
    <w:p w14:paraId="538E37B3" w14:textId="05EA0B55" w:rsidR="00A234F3" w:rsidRPr="00BD79AC" w:rsidRDefault="00A234F3" w:rsidP="00A234F3">
      <w:pPr>
        <w:rPr>
          <w:rFonts w:ascii="Intrum Sans" w:hAnsi="Intrum Sans"/>
          <w:sz w:val="20"/>
          <w:szCs w:val="20"/>
        </w:rPr>
      </w:pPr>
      <w:r w:rsidRPr="00BD79AC">
        <w:rPr>
          <w:rFonts w:ascii="Intrum Sans" w:hAnsi="Intrum Sans"/>
          <w:b/>
          <w:bCs/>
          <w:sz w:val="20"/>
          <w:szCs w:val="20"/>
        </w:rPr>
        <w:t>Aleksandra Morka</w:t>
      </w:r>
      <w:r w:rsidRPr="00BD79AC">
        <w:rPr>
          <w:rFonts w:ascii="Intrum Sans" w:hAnsi="Intrum Sans"/>
          <w:sz w:val="20"/>
          <w:szCs w:val="20"/>
        </w:rPr>
        <w:t> </w:t>
      </w:r>
      <w:r w:rsidRPr="00BD79AC">
        <w:rPr>
          <w:rFonts w:ascii="Intrum Sans" w:hAnsi="Intrum Sans"/>
          <w:sz w:val="20"/>
          <w:szCs w:val="20"/>
        </w:rPr>
        <w:br/>
        <w:t>a.morka@lightscape.pl</w:t>
      </w:r>
      <w:r w:rsidRPr="00BD79AC">
        <w:rPr>
          <w:rFonts w:ascii="Intrum Sans" w:hAnsi="Intrum Sans"/>
          <w:sz w:val="20"/>
          <w:szCs w:val="20"/>
        </w:rPr>
        <w:br/>
        <w:t>tel. 531 444</w:t>
      </w:r>
      <w:r w:rsidR="00A8194D">
        <w:rPr>
          <w:rFonts w:ascii="Intrum Sans" w:hAnsi="Intrum Sans"/>
          <w:sz w:val="20"/>
          <w:szCs w:val="20"/>
        </w:rPr>
        <w:t> </w:t>
      </w:r>
      <w:r w:rsidRPr="00BD79AC">
        <w:rPr>
          <w:rFonts w:ascii="Intrum Sans" w:hAnsi="Intrum Sans"/>
          <w:sz w:val="20"/>
          <w:szCs w:val="20"/>
        </w:rPr>
        <w:t>469</w:t>
      </w:r>
    </w:p>
    <w:p w14:paraId="11FBA699" w14:textId="57CDC92F" w:rsidR="00A234F3" w:rsidRPr="009E5DBB" w:rsidRDefault="00A234F3" w:rsidP="00A234F3">
      <w:pPr>
        <w:rPr>
          <w:rFonts w:ascii="Intrum Sans" w:hAnsi="Intrum Sans"/>
          <w:sz w:val="20"/>
          <w:szCs w:val="20"/>
        </w:rPr>
      </w:pPr>
      <w:r w:rsidRPr="00B33EA2">
        <w:rPr>
          <w:rFonts w:ascii="Intrum Sans" w:hAnsi="Intrum Sans"/>
          <w:b/>
          <w:bCs/>
          <w:sz w:val="20"/>
          <w:szCs w:val="20"/>
        </w:rPr>
        <w:t>Katarzyna Bil </w:t>
      </w:r>
      <w:r w:rsidRPr="00B33EA2">
        <w:rPr>
          <w:rFonts w:ascii="Intrum Sans" w:hAnsi="Intrum Sans"/>
          <w:b/>
          <w:bCs/>
          <w:sz w:val="20"/>
          <w:szCs w:val="20"/>
        </w:rPr>
        <w:br/>
      </w:r>
      <w:r w:rsidRPr="00B33EA2">
        <w:rPr>
          <w:rFonts w:ascii="Intrum Sans" w:hAnsi="Intrum Sans"/>
          <w:sz w:val="20"/>
          <w:szCs w:val="20"/>
        </w:rPr>
        <w:t>k.bil@lightscape.pl</w:t>
      </w:r>
      <w:r w:rsidRPr="00B33EA2">
        <w:rPr>
          <w:rFonts w:ascii="Intrum Sans" w:hAnsi="Intrum Sans"/>
          <w:b/>
          <w:bCs/>
          <w:sz w:val="20"/>
          <w:szCs w:val="20"/>
        </w:rPr>
        <w:br/>
      </w:r>
      <w:r w:rsidRPr="00B33EA2">
        <w:rPr>
          <w:rFonts w:ascii="Intrum Sans" w:hAnsi="Intrum Sans"/>
          <w:sz w:val="20"/>
          <w:szCs w:val="20"/>
        </w:rPr>
        <w:t>tel. 731 439</w:t>
      </w:r>
      <w:r w:rsidRPr="00B33EA2">
        <w:rPr>
          <w:rFonts w:ascii="Cambria Math" w:hAnsi="Cambria Math" w:cs="Cambria Math"/>
          <w:sz w:val="20"/>
          <w:szCs w:val="20"/>
        </w:rPr>
        <w:t> </w:t>
      </w:r>
      <w:r w:rsidRPr="00B33EA2">
        <w:rPr>
          <w:rFonts w:ascii="Intrum Sans" w:hAnsi="Intrum Sans"/>
          <w:sz w:val="20"/>
          <w:szCs w:val="20"/>
        </w:rPr>
        <w:t>999 </w:t>
      </w:r>
    </w:p>
    <w:p w14:paraId="36D351E1" w14:textId="77777777" w:rsidR="004F7721" w:rsidRPr="005B4BF0" w:rsidRDefault="004F7721">
      <w:pPr>
        <w:rPr>
          <w:rFonts w:ascii="Intrum Sans" w:hAnsi="Intrum Sans"/>
          <w:sz w:val="20"/>
          <w:szCs w:val="20"/>
        </w:rPr>
      </w:pPr>
    </w:p>
    <w:sectPr w:rsidR="004F7721" w:rsidRPr="005B4BF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3B36A1" w14:textId="77777777" w:rsidR="0040647F" w:rsidRDefault="0040647F">
      <w:pPr>
        <w:spacing w:line="240" w:lineRule="auto"/>
      </w:pPr>
      <w:r>
        <w:separator/>
      </w:r>
    </w:p>
  </w:endnote>
  <w:endnote w:type="continuationSeparator" w:id="0">
    <w:p w14:paraId="2E6A526C" w14:textId="77777777" w:rsidR="0040647F" w:rsidRDefault="0040647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trum Sans">
    <w:altName w:val="Calibri"/>
    <w:panose1 w:val="00000500000000000000"/>
    <w:charset w:val="00"/>
    <w:family w:val="modern"/>
    <w:notTrueType/>
    <w:pitch w:val="variable"/>
    <w:sig w:usb0="00000087" w:usb1="00000000" w:usb2="00000000" w:usb3="00000000" w:csb0="0000009B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1" w:fontKey="{38A0358C-1D12-4BA8-A715-67427D202380}"/>
  </w:font>
  <w:font w:name="Intrum Sans Medium">
    <w:panose1 w:val="00000600000000000000"/>
    <w:charset w:val="00"/>
    <w:family w:val="modern"/>
    <w:notTrueType/>
    <w:pitch w:val="variable"/>
    <w:sig w:usb0="00000087" w:usb1="00000000" w:usb2="00000000" w:usb3="00000000" w:csb0="0000009B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2" w:fontKey="{B15FBA44-DC9E-4904-97C8-9FF762821E58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3" w:fontKey="{DD47DF2C-0BAC-49CC-BEC6-2FD3FC605F59}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4" w:fontKey="{FD8A2FE7-1613-4AAC-8C12-B2AA2E4042E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DAA20" w14:textId="77777777" w:rsidR="00BF7422" w:rsidRDefault="00BF742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E6AF0" w14:textId="77777777" w:rsidR="00BF7422" w:rsidRDefault="00BF742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3E095" w14:textId="77777777" w:rsidR="00BF7422" w:rsidRDefault="00BF742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86DAA6" w14:textId="77777777" w:rsidR="0040647F" w:rsidRDefault="0040647F">
      <w:pPr>
        <w:spacing w:line="240" w:lineRule="auto"/>
      </w:pPr>
      <w:r>
        <w:separator/>
      </w:r>
    </w:p>
  </w:footnote>
  <w:footnote w:type="continuationSeparator" w:id="0">
    <w:p w14:paraId="71E5F3C0" w14:textId="77777777" w:rsidR="0040647F" w:rsidRDefault="0040647F">
      <w:pPr>
        <w:spacing w:line="240" w:lineRule="auto"/>
      </w:pPr>
      <w:r>
        <w:continuationSeparator/>
      </w:r>
    </w:p>
  </w:footnote>
  <w:footnote w:id="1">
    <w:p w14:paraId="2CE6316E" w14:textId="1480172F" w:rsidR="00E73E18" w:rsidRPr="00217D51" w:rsidRDefault="00E73E18">
      <w:pPr>
        <w:pStyle w:val="Tekstprzypisudolnego"/>
        <w:rPr>
          <w:rFonts w:ascii="Intrum Sans" w:hAnsi="Intrum Sans"/>
          <w:sz w:val="14"/>
          <w:szCs w:val="14"/>
          <w:lang w:val="en-US"/>
        </w:rPr>
      </w:pPr>
      <w:r w:rsidRPr="00217D51">
        <w:rPr>
          <w:rStyle w:val="Odwoanieprzypisudolnego"/>
          <w:rFonts w:ascii="Intrum Sans" w:hAnsi="Intrum Sans"/>
          <w:sz w:val="14"/>
          <w:szCs w:val="14"/>
        </w:rPr>
        <w:footnoteRef/>
      </w:r>
      <w:r w:rsidRPr="00217D51">
        <w:rPr>
          <w:rFonts w:ascii="Intrum Sans" w:hAnsi="Intrum Sans"/>
          <w:sz w:val="14"/>
          <w:szCs w:val="14"/>
          <w:lang w:val="en-US"/>
        </w:rPr>
        <w:t xml:space="preserve"> Intrum, European Payment Consumer Report 2025.</w:t>
      </w:r>
    </w:p>
  </w:footnote>
  <w:footnote w:id="2">
    <w:p w14:paraId="014F380B" w14:textId="77777777" w:rsidR="00A234F3" w:rsidRPr="00217D51" w:rsidRDefault="00A234F3" w:rsidP="00A234F3">
      <w:pPr>
        <w:pStyle w:val="Tekstprzypisudolnego"/>
        <w:rPr>
          <w:rFonts w:ascii="Intrum Sans" w:hAnsi="Intrum Sans"/>
          <w:sz w:val="14"/>
          <w:szCs w:val="14"/>
        </w:rPr>
      </w:pPr>
      <w:r w:rsidRPr="00217D51">
        <w:rPr>
          <w:rFonts w:ascii="Intrum Sans" w:hAnsi="Intrum Sans"/>
          <w:sz w:val="14"/>
          <w:szCs w:val="14"/>
        </w:rPr>
        <w:footnoteRef/>
      </w:r>
      <w:r w:rsidRPr="00217D51">
        <w:rPr>
          <w:rFonts w:ascii="Intrum Sans" w:hAnsi="Intrum Sans"/>
          <w:sz w:val="14"/>
          <w:szCs w:val="14"/>
        </w:rPr>
        <w:t xml:space="preserve"> Komisja Europejska, https://commission.europa.eu/news-and-media/news/eu-guidance-how-address-europes-socio-economic-challenges-2025-2024-12-18_pl</w:t>
      </w:r>
    </w:p>
  </w:footnote>
  <w:footnote w:id="3">
    <w:p w14:paraId="57259F7D" w14:textId="77777777" w:rsidR="00A234F3" w:rsidRPr="00217D51" w:rsidRDefault="00A234F3" w:rsidP="00A234F3">
      <w:pPr>
        <w:pStyle w:val="Tekstprzypisudolnego"/>
        <w:rPr>
          <w:rFonts w:ascii="Intrum Sans" w:hAnsi="Intrum Sans"/>
          <w:sz w:val="14"/>
          <w:szCs w:val="14"/>
        </w:rPr>
      </w:pPr>
      <w:r w:rsidRPr="00217D51">
        <w:rPr>
          <w:rStyle w:val="Odwoanieprzypisudolnego"/>
          <w:rFonts w:ascii="Intrum Sans" w:hAnsi="Intrum Sans"/>
          <w:sz w:val="14"/>
          <w:szCs w:val="14"/>
        </w:rPr>
        <w:footnoteRef/>
      </w:r>
      <w:r w:rsidRPr="00217D51">
        <w:rPr>
          <w:rFonts w:ascii="Intrum Sans" w:hAnsi="Intrum Sans"/>
          <w:sz w:val="14"/>
          <w:szCs w:val="14"/>
        </w:rPr>
        <w:t xml:space="preserve"> Europejski Bank Centralny, https://www.ecb.europa.eu/press/pr/date/2025/html/ecb.mp250605~3b5f67d007.pl.html</w:t>
      </w:r>
    </w:p>
  </w:footnote>
  <w:footnote w:id="4">
    <w:p w14:paraId="59645FAB" w14:textId="77777777" w:rsidR="00A234F3" w:rsidRPr="00217D51" w:rsidRDefault="00A234F3" w:rsidP="00A234F3">
      <w:pPr>
        <w:pStyle w:val="Tekstprzypisudolnego"/>
        <w:rPr>
          <w:rFonts w:ascii="Intrum Sans" w:hAnsi="Intrum Sans"/>
          <w:sz w:val="14"/>
          <w:szCs w:val="14"/>
          <w:lang w:val="en-US"/>
        </w:rPr>
      </w:pPr>
      <w:r w:rsidRPr="00217D51">
        <w:rPr>
          <w:rStyle w:val="Odwoanieprzypisudolnego"/>
          <w:rFonts w:ascii="Intrum Sans" w:hAnsi="Intrum Sans"/>
          <w:sz w:val="14"/>
          <w:szCs w:val="14"/>
        </w:rPr>
        <w:footnoteRef/>
      </w:r>
      <w:r w:rsidRPr="00217D51">
        <w:rPr>
          <w:rFonts w:ascii="Intrum Sans" w:hAnsi="Intrum Sans"/>
          <w:sz w:val="14"/>
          <w:szCs w:val="14"/>
          <w:lang w:val="en-US"/>
        </w:rPr>
        <w:t xml:space="preserve"> Intrum, European Payment Consumer Report 2025.</w:t>
      </w:r>
    </w:p>
  </w:footnote>
  <w:footnote w:id="5">
    <w:p w14:paraId="7AB6FF94" w14:textId="77777777" w:rsidR="00A234F3" w:rsidRPr="00217D51" w:rsidRDefault="00A234F3" w:rsidP="00A234F3">
      <w:pPr>
        <w:pStyle w:val="Tekstprzypisudolnego"/>
        <w:rPr>
          <w:rFonts w:ascii="Intrum Sans" w:hAnsi="Intrum Sans"/>
          <w:sz w:val="14"/>
          <w:szCs w:val="14"/>
          <w:lang w:val="en-US"/>
        </w:rPr>
      </w:pPr>
      <w:r w:rsidRPr="00217D51">
        <w:rPr>
          <w:rStyle w:val="Odwoanieprzypisudolnego"/>
          <w:rFonts w:ascii="Intrum Sans" w:hAnsi="Intrum Sans"/>
          <w:sz w:val="14"/>
          <w:szCs w:val="14"/>
        </w:rPr>
        <w:footnoteRef/>
      </w:r>
      <w:r w:rsidRPr="00217D51">
        <w:rPr>
          <w:rFonts w:ascii="Intrum Sans" w:hAnsi="Intrum Sans"/>
          <w:sz w:val="14"/>
          <w:szCs w:val="14"/>
          <w:lang w:val="en-US"/>
        </w:rPr>
        <w:t xml:space="preserve"> Intrum, European Payment Consumer Report 2025.</w:t>
      </w:r>
    </w:p>
  </w:footnote>
  <w:footnote w:id="6">
    <w:p w14:paraId="5977D683" w14:textId="77777777" w:rsidR="00A234F3" w:rsidRPr="00217D51" w:rsidRDefault="00A234F3" w:rsidP="00A234F3">
      <w:pPr>
        <w:pStyle w:val="Tekstprzypisudolnego"/>
        <w:rPr>
          <w:rFonts w:ascii="Intrum Sans" w:hAnsi="Intrum Sans"/>
          <w:sz w:val="14"/>
          <w:szCs w:val="14"/>
          <w:lang w:val="en-US"/>
        </w:rPr>
      </w:pPr>
      <w:r w:rsidRPr="00217D51">
        <w:rPr>
          <w:rStyle w:val="Odwoanieprzypisudolnego"/>
          <w:rFonts w:ascii="Intrum Sans" w:hAnsi="Intrum Sans"/>
          <w:sz w:val="14"/>
          <w:szCs w:val="14"/>
        </w:rPr>
        <w:footnoteRef/>
      </w:r>
      <w:r w:rsidRPr="00217D51">
        <w:rPr>
          <w:rFonts w:ascii="Intrum Sans" w:hAnsi="Intrum Sans"/>
          <w:sz w:val="14"/>
          <w:szCs w:val="14"/>
          <w:lang w:val="en-US"/>
        </w:rPr>
        <w:t xml:space="preserve"> Intrum, European Payment Consumer Report 2025.</w:t>
      </w:r>
    </w:p>
  </w:footnote>
  <w:footnote w:id="7">
    <w:p w14:paraId="2B943360" w14:textId="77777777" w:rsidR="00A234F3" w:rsidRPr="00217D51" w:rsidRDefault="00A234F3" w:rsidP="00A234F3">
      <w:pPr>
        <w:pStyle w:val="Tekstprzypisudolnego"/>
        <w:rPr>
          <w:rFonts w:ascii="Intrum Sans" w:hAnsi="Intrum Sans"/>
          <w:sz w:val="14"/>
          <w:szCs w:val="14"/>
          <w:lang w:val="en-US"/>
        </w:rPr>
      </w:pPr>
      <w:r w:rsidRPr="00217D51">
        <w:rPr>
          <w:rStyle w:val="Odwoanieprzypisudolnego"/>
          <w:rFonts w:ascii="Intrum Sans" w:hAnsi="Intrum Sans"/>
          <w:sz w:val="14"/>
          <w:szCs w:val="14"/>
        </w:rPr>
        <w:footnoteRef/>
      </w:r>
      <w:r w:rsidRPr="00217D51">
        <w:rPr>
          <w:rFonts w:ascii="Intrum Sans" w:hAnsi="Intrum Sans"/>
          <w:sz w:val="14"/>
          <w:szCs w:val="14"/>
          <w:lang w:val="en-US"/>
        </w:rPr>
        <w:t xml:space="preserve"> Intrum, European Payment Consumer Report 2025.</w:t>
      </w:r>
    </w:p>
  </w:footnote>
  <w:footnote w:id="8">
    <w:p w14:paraId="6F83A956" w14:textId="77777777" w:rsidR="00A234F3" w:rsidRPr="00217D51" w:rsidRDefault="00A234F3" w:rsidP="00A234F3">
      <w:pPr>
        <w:pStyle w:val="Tekstprzypisudolnego"/>
        <w:rPr>
          <w:rFonts w:ascii="Intrum Sans" w:hAnsi="Intrum Sans"/>
          <w:sz w:val="14"/>
          <w:szCs w:val="14"/>
          <w:lang w:val="en-US"/>
        </w:rPr>
      </w:pPr>
      <w:r w:rsidRPr="00217D51">
        <w:rPr>
          <w:rStyle w:val="Odwoanieprzypisudolnego"/>
          <w:rFonts w:ascii="Intrum Sans" w:hAnsi="Intrum Sans"/>
          <w:sz w:val="14"/>
          <w:szCs w:val="14"/>
        </w:rPr>
        <w:footnoteRef/>
      </w:r>
      <w:r w:rsidRPr="00217D51">
        <w:rPr>
          <w:rFonts w:ascii="Intrum Sans" w:hAnsi="Intrum Sans"/>
          <w:sz w:val="14"/>
          <w:szCs w:val="14"/>
          <w:lang w:val="en-US"/>
        </w:rPr>
        <w:t xml:space="preserve"> Intrum, European Payment Consumer Report 2025.</w:t>
      </w:r>
    </w:p>
  </w:footnote>
  <w:footnote w:id="9">
    <w:p w14:paraId="290442AD" w14:textId="77777777" w:rsidR="00A234F3" w:rsidRPr="00217D51" w:rsidRDefault="00A234F3" w:rsidP="00A234F3">
      <w:pPr>
        <w:pStyle w:val="Tekstprzypisudolnego"/>
        <w:rPr>
          <w:rFonts w:ascii="Intrum Sans" w:hAnsi="Intrum Sans"/>
          <w:sz w:val="14"/>
          <w:szCs w:val="14"/>
          <w:lang w:val="en-US"/>
        </w:rPr>
      </w:pPr>
      <w:r w:rsidRPr="00217D51">
        <w:rPr>
          <w:rStyle w:val="Odwoanieprzypisudolnego"/>
          <w:rFonts w:ascii="Intrum Sans" w:hAnsi="Intrum Sans"/>
          <w:sz w:val="14"/>
          <w:szCs w:val="14"/>
        </w:rPr>
        <w:footnoteRef/>
      </w:r>
      <w:r w:rsidRPr="00217D51">
        <w:rPr>
          <w:rFonts w:ascii="Intrum Sans" w:hAnsi="Intrum Sans"/>
          <w:sz w:val="14"/>
          <w:szCs w:val="14"/>
          <w:lang w:val="en-US"/>
        </w:rPr>
        <w:t xml:space="preserve"> Intrum, European Payment Consumer Report 2025.</w:t>
      </w:r>
    </w:p>
  </w:footnote>
  <w:footnote w:id="10">
    <w:p w14:paraId="0936D4D8" w14:textId="7DB4A4E5" w:rsidR="00A8194D" w:rsidRPr="00217D51" w:rsidRDefault="00A8194D" w:rsidP="00A8194D">
      <w:pPr>
        <w:pStyle w:val="Tekstprzypisudolnego"/>
        <w:rPr>
          <w:rFonts w:ascii="Intrum Sans" w:hAnsi="Intrum Sans"/>
          <w:sz w:val="14"/>
          <w:szCs w:val="14"/>
          <w:lang w:val="en-US"/>
        </w:rPr>
      </w:pPr>
      <w:r w:rsidRPr="00217D51">
        <w:rPr>
          <w:rStyle w:val="Odwoanieprzypisudolnego"/>
          <w:rFonts w:ascii="Intrum Sans" w:hAnsi="Intrum Sans"/>
          <w:sz w:val="14"/>
          <w:szCs w:val="14"/>
        </w:rPr>
        <w:footnoteRef/>
      </w:r>
      <w:r w:rsidRPr="00217D51">
        <w:rPr>
          <w:rFonts w:ascii="Intrum Sans" w:hAnsi="Intrum Sans"/>
          <w:sz w:val="14"/>
          <w:szCs w:val="14"/>
          <w:lang w:val="en-US"/>
        </w:rPr>
        <w:t xml:space="preserve"> Intrum, European Payment Consumer Report 2025.</w:t>
      </w:r>
    </w:p>
    <w:p w14:paraId="116D7B2B" w14:textId="179025C2" w:rsidR="00A8194D" w:rsidRPr="00217D51" w:rsidRDefault="00A8194D">
      <w:pPr>
        <w:pStyle w:val="Tekstprzypisudolnego"/>
        <w:rPr>
          <w:rFonts w:ascii="Intrum Sans" w:hAnsi="Intrum Sans"/>
          <w:sz w:val="14"/>
          <w:szCs w:val="14"/>
          <w:lang w:val="en-US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5DC928" w14:textId="77777777" w:rsidR="00BF7422" w:rsidRDefault="00BF742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316CFC" w14:textId="46AB8BEC" w:rsidR="00142FB7" w:rsidRDefault="00142FB7">
    <w:pPr>
      <w:pStyle w:val="Nagwek"/>
    </w:pPr>
    <w:r>
      <w:rPr>
        <w:noProof/>
      </w:rPr>
      <w:drawing>
        <wp:inline distT="0" distB="0" distL="0" distR="0" wp14:anchorId="577B1062" wp14:editId="02B3CC26">
          <wp:extent cx="951230" cy="213360"/>
          <wp:effectExtent l="0" t="0" r="1270" b="0"/>
          <wp:docPr id="157663399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1230" cy="213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170F81" w14:textId="77777777" w:rsidR="00BF7422" w:rsidRDefault="00BF7422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721"/>
    <w:rsid w:val="00027F9C"/>
    <w:rsid w:val="000C7F21"/>
    <w:rsid w:val="000E4CE1"/>
    <w:rsid w:val="00142FB7"/>
    <w:rsid w:val="00143914"/>
    <w:rsid w:val="001777E8"/>
    <w:rsid w:val="00191BBE"/>
    <w:rsid w:val="00217D51"/>
    <w:rsid w:val="002656DD"/>
    <w:rsid w:val="002C7220"/>
    <w:rsid w:val="0035594D"/>
    <w:rsid w:val="003A328E"/>
    <w:rsid w:val="003B2E4F"/>
    <w:rsid w:val="003C547A"/>
    <w:rsid w:val="0040647F"/>
    <w:rsid w:val="0044785F"/>
    <w:rsid w:val="00452224"/>
    <w:rsid w:val="004C3598"/>
    <w:rsid w:val="004F7721"/>
    <w:rsid w:val="005335B3"/>
    <w:rsid w:val="00575B73"/>
    <w:rsid w:val="005B4BF0"/>
    <w:rsid w:val="005C3401"/>
    <w:rsid w:val="005C380B"/>
    <w:rsid w:val="00682858"/>
    <w:rsid w:val="00690468"/>
    <w:rsid w:val="006974F9"/>
    <w:rsid w:val="006D58E9"/>
    <w:rsid w:val="00743046"/>
    <w:rsid w:val="007A0150"/>
    <w:rsid w:val="007A1ACC"/>
    <w:rsid w:val="007B74FD"/>
    <w:rsid w:val="007F69B4"/>
    <w:rsid w:val="00803055"/>
    <w:rsid w:val="00841D3D"/>
    <w:rsid w:val="008A20C6"/>
    <w:rsid w:val="009B5312"/>
    <w:rsid w:val="009D215C"/>
    <w:rsid w:val="009F16E6"/>
    <w:rsid w:val="009F5662"/>
    <w:rsid w:val="00A06D6C"/>
    <w:rsid w:val="00A234F3"/>
    <w:rsid w:val="00A56F3E"/>
    <w:rsid w:val="00A8194D"/>
    <w:rsid w:val="00A83C38"/>
    <w:rsid w:val="00AB34B6"/>
    <w:rsid w:val="00AD52F5"/>
    <w:rsid w:val="00B37620"/>
    <w:rsid w:val="00B73AEE"/>
    <w:rsid w:val="00BF7422"/>
    <w:rsid w:val="00C46C25"/>
    <w:rsid w:val="00C557F9"/>
    <w:rsid w:val="00DB5D84"/>
    <w:rsid w:val="00DC78F4"/>
    <w:rsid w:val="00DD02D8"/>
    <w:rsid w:val="00E50FFC"/>
    <w:rsid w:val="00E53F0E"/>
    <w:rsid w:val="00E73E18"/>
    <w:rsid w:val="00E91643"/>
    <w:rsid w:val="00EB5E1E"/>
    <w:rsid w:val="00EB793B"/>
    <w:rsid w:val="00EC138F"/>
    <w:rsid w:val="00EE078B"/>
    <w:rsid w:val="01BADA49"/>
    <w:rsid w:val="0351123A"/>
    <w:rsid w:val="03D169FA"/>
    <w:rsid w:val="0571900F"/>
    <w:rsid w:val="0A624113"/>
    <w:rsid w:val="0CAA4591"/>
    <w:rsid w:val="0E2AFBA2"/>
    <w:rsid w:val="0F03B952"/>
    <w:rsid w:val="0F0E374B"/>
    <w:rsid w:val="10944F09"/>
    <w:rsid w:val="1219D8AC"/>
    <w:rsid w:val="13062A80"/>
    <w:rsid w:val="13DF7AD9"/>
    <w:rsid w:val="17270347"/>
    <w:rsid w:val="19700726"/>
    <w:rsid w:val="22AFB1DF"/>
    <w:rsid w:val="2451CE0A"/>
    <w:rsid w:val="272318BD"/>
    <w:rsid w:val="3EE2EFD3"/>
    <w:rsid w:val="3FE00853"/>
    <w:rsid w:val="434F68AB"/>
    <w:rsid w:val="476C3171"/>
    <w:rsid w:val="47FA99E1"/>
    <w:rsid w:val="48281B64"/>
    <w:rsid w:val="4D12B49B"/>
    <w:rsid w:val="4E87DB4D"/>
    <w:rsid w:val="5392CA4B"/>
    <w:rsid w:val="54690028"/>
    <w:rsid w:val="56FE73C1"/>
    <w:rsid w:val="5E2A40FB"/>
    <w:rsid w:val="60D17D5D"/>
    <w:rsid w:val="6133AB1E"/>
    <w:rsid w:val="64C51C18"/>
    <w:rsid w:val="6B8FEE20"/>
    <w:rsid w:val="6C70501E"/>
    <w:rsid w:val="6E40DB3E"/>
    <w:rsid w:val="750406AC"/>
    <w:rsid w:val="7DD54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A355A6"/>
  <w15:docId w15:val="{8318E307-5028-4311-A8D7-B4B537EEA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D02D8"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paragraph" w:styleId="Poprawka">
    <w:name w:val="Revision"/>
    <w:hidden/>
    <w:uiPriority w:val="99"/>
    <w:semiHidden/>
    <w:rsid w:val="00DD02D8"/>
    <w:pPr>
      <w:spacing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EC13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C138F"/>
  </w:style>
  <w:style w:type="paragraph" w:styleId="Stopka">
    <w:name w:val="footer"/>
    <w:basedOn w:val="Normalny"/>
    <w:link w:val="StopkaZnak"/>
    <w:uiPriority w:val="99"/>
    <w:unhideWhenUsed/>
    <w:rsid w:val="00EC13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138F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52224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5222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52224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5335B3"/>
    <w:rPr>
      <w:color w:val="0000FF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335B3"/>
    <w:rPr>
      <w:color w:val="605E5C"/>
      <w:shd w:val="clear" w:color="auto" w:fill="E1DFDD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899B6E-DEFF-4380-809A-A24A3524E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738</Words>
  <Characters>4432</Characters>
  <Application>Microsoft Office Word</Application>
  <DocSecurity>0</DocSecurity>
  <Lines>36</Lines>
  <Paragraphs>10</Paragraphs>
  <ScaleCrop>false</ScaleCrop>
  <Company/>
  <LinksUpToDate>false</LinksUpToDate>
  <CharactersWithSpaces>5160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Jakub Baumgart</dc:creator>
  <cp:lastModifiedBy>Aleksandra Morka</cp:lastModifiedBy>
  <cp:revision>18</cp:revision>
  <cp:lastPrinted>2025-11-12T10:00:00Z</cp:lastPrinted>
  <dcterms:created xsi:type="dcterms:W3CDTF">2025-11-17T08:16:00Z</dcterms:created>
  <dcterms:modified xsi:type="dcterms:W3CDTF">2025-11-21T08:03:00Z</dcterms:modified>
</cp:coreProperties>
</file>