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17.12.2025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Carrefour Polska liderem szybkości obsługi przy kasach - sieć ujawnia wyniki ogólnopolskiego badania Kantar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W okresie przedświątecznym czas oczekiwania do kasy jest jednym z kluczowych elementów wpływających na poziom zadowolenia klientów z zakupów. Carrefour Polska ujawnił właśnie wyniki ogólnopolskiego badania BIC* (Brand Image vs Competitors) realizowanego przez agencję badawczą Kantar. Wyniki pokazują, że od pierwszego kwartału 2024 roku, Carrefour jest liderem w zakresie czasu oczekiwania do kas, osiągając lepsze wyniki w tym zakresie od kluczowych konkurentów takich jak Biedronka, Lidl, Auchan czy Kaufland. Oznacza to, że klienci Carrefour są najbardziej zadowoleni z czasu oczekiwania do kas, znacznie bardziej niż klienci sklepów konkurencji.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Badanie BIC prowadzone jest na grupie ponad 1200 respondentów w trybie ciągłym i obejmuje comiesięczne wywiady z użytkownikami różnych sieci sklepów spożywczych w Polsce. Respondenci oceniają m.in. znajomość i częstotliwość korzystania z poszczególnych marek, ich komunikację, wizerunek oraz gotowość do polecenia danej sieci rodzinie lub znajomym. Jednym z kluczowych elementów badania jest także ocena doświadczenia zakupowego, w tym czasu oczekiwania do kas, obszaru szczególnie istotnego dla klientów w okresach przedświątecznym, kiedy mamy do czynienia ze wzmożonym ruchem zakupowym.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</w:rPr>
        <w:drawing>
          <wp:inline distB="114300" distT="114300" distL="114300" distR="114300">
            <wp:extent cx="5138738" cy="245316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8738" cy="24531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Osiągnięcie pozycji lidera w kategorii czasu oczekiwania do kas przekłada się na wymierne korzyści dla klientów Carrefour, zwłaszcza w okresach największego natężenia ruchu w sklepach. Sprawna obsługa pozwala klientom płynnie przejść przez proces zakupowy, od skompletowania koszyka po finalizację transakcji, niezależnie od pory dnia czy wielkości zakupów. W czasie przedświątecznym, kiedy listy zakupowe są dłuższe, a wizyty w sklepach częstsze, możliwość szybkiego zakończenia zakupów staje się istotnym elementem codziennej wygody.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Na ten efekt składa się szereg działań realizowanych w sklepach Carrefour w całej Polsce. Sieć systematycznie dostosowuje organizację pracy do zmieniających się potrzeb klientów, rozwija infrastrukturę kasową oraz wdraża rozwiązania, które usprawniają przepływ klientów w sklepach różnych formatów. Skala i konsekwencja tych działań znajdują odzwierciedlenie w wynikach badania BIC, które potwierdzają, że Carrefour wyróżnia się na tle konkurencji pod względem sprawności obsługi i komfortu zakupów.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okresie przedświątecznym, gdy zakupy są częstsze i bardziej rozbudowane, Carrefour łączy sprawną obsługę z jedną z najszerszych ofert na rynku. Klienci sieci mają do dyspozycji nawet 50.000 produktów, od artykułów codziennego użytku, przez bogaty wybór produktów świeżych, po dedykowaną ofertę świąteczną, dostępnych w 6 formatach sklepów w całej Polsce. Krótki czas oczekiwania do kas pozwala szybko sfinalizować zakupy, niezależnie od wielkości koszyka, a jednocześnie wygodnie zaplanować świąteczne przygotowania w jednym miejscu. Dzięki temu Carrefour pozostaje naturalnym wyborem dla klientów, którzy przed świętami szukają zarówno szerokiego asortymentu, jak i zakupów realizowanych bez długich kolejek i zbędnego stresu.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1"/>
      <w:spacing w:line="24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*Badanie BIC realizowane jest co miesiąc na próbie 1200 osób odpowiedzialnych lub współodpowiedzialnych za zakupy spożywcze i niespożywcze w gospodarstwie domowym. W trakcie trwającego około 15 minut wywiadu internetowego (realizowanego na komputerze, tablecie lub smartfonie) respondenci odpowiadają na pytania dotyczące 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m.in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. znajomości sklepów oraz ich komunikacji, korzystania ze sklepów, wizerunku marek czy gotowości do polecenia sklepu rodzinie lub znajomym.</w:t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