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C764" w14:textId="77777777" w:rsidR="008E37E0" w:rsidRPr="00595CBD" w:rsidRDefault="008E37E0" w:rsidP="00595CBD">
      <w:pPr>
        <w:spacing w:after="120" w:line="276" w:lineRule="auto"/>
        <w:jc w:val="both"/>
        <w:rPr>
          <w:rFonts w:ascii="Arial" w:eastAsia="Arial" w:hAnsi="Arial" w:cs="Arial"/>
          <w:color w:val="000000"/>
        </w:rPr>
      </w:pPr>
    </w:p>
    <w:p w14:paraId="642D273E" w14:textId="34F8487A" w:rsidR="00AB4D22" w:rsidRPr="00595CBD" w:rsidRDefault="00297D6B" w:rsidP="00595CBD">
      <w:pPr>
        <w:spacing w:after="120" w:line="276" w:lineRule="auto"/>
        <w:jc w:val="right"/>
        <w:rPr>
          <w:rFonts w:ascii="Arial" w:eastAsia="Arial" w:hAnsi="Arial" w:cs="Arial"/>
          <w:color w:val="000000"/>
        </w:rPr>
      </w:pPr>
      <w:r w:rsidRPr="00595CBD">
        <w:rPr>
          <w:rFonts w:ascii="Arial" w:eastAsia="Arial" w:hAnsi="Arial" w:cs="Arial"/>
          <w:color w:val="000000"/>
        </w:rPr>
        <w:t xml:space="preserve">Warszawa, </w:t>
      </w:r>
      <w:r w:rsidR="00171FB1">
        <w:rPr>
          <w:rFonts w:ascii="Arial" w:eastAsia="Arial" w:hAnsi="Arial" w:cs="Arial"/>
          <w:color w:val="000000"/>
        </w:rPr>
        <w:t>19</w:t>
      </w:r>
      <w:r w:rsidR="00456932" w:rsidRPr="00595CBD">
        <w:rPr>
          <w:rFonts w:ascii="Arial" w:eastAsia="Arial" w:hAnsi="Arial" w:cs="Arial"/>
          <w:color w:val="000000"/>
        </w:rPr>
        <w:t xml:space="preserve"> s</w:t>
      </w:r>
      <w:r w:rsidR="00EF0DE9">
        <w:rPr>
          <w:rFonts w:ascii="Arial" w:eastAsia="Arial" w:hAnsi="Arial" w:cs="Arial"/>
          <w:color w:val="000000"/>
        </w:rPr>
        <w:t>tycznia</w:t>
      </w:r>
      <w:r w:rsidR="008579D4" w:rsidRPr="00595CBD">
        <w:rPr>
          <w:rFonts w:ascii="Arial" w:eastAsia="Arial" w:hAnsi="Arial" w:cs="Arial"/>
          <w:color w:val="000000"/>
        </w:rPr>
        <w:t xml:space="preserve"> </w:t>
      </w:r>
      <w:r w:rsidRPr="00595CBD">
        <w:rPr>
          <w:rFonts w:ascii="Arial" w:eastAsia="Arial" w:hAnsi="Arial" w:cs="Arial"/>
          <w:color w:val="000000"/>
        </w:rPr>
        <w:t>202</w:t>
      </w:r>
      <w:r w:rsidR="00EF0DE9">
        <w:rPr>
          <w:rFonts w:ascii="Arial" w:eastAsia="Arial" w:hAnsi="Arial" w:cs="Arial"/>
          <w:color w:val="000000"/>
        </w:rPr>
        <w:t>6</w:t>
      </w:r>
    </w:p>
    <w:p w14:paraId="6D11D7EE" w14:textId="77777777" w:rsidR="00456932" w:rsidRPr="00595CBD" w:rsidRDefault="00456932" w:rsidP="00595CBD">
      <w:pPr>
        <w:spacing w:after="120" w:line="276" w:lineRule="auto"/>
        <w:jc w:val="both"/>
        <w:rPr>
          <w:rFonts w:ascii="Arial" w:hAnsi="Arial" w:cs="Arial"/>
        </w:rPr>
      </w:pPr>
    </w:p>
    <w:p w14:paraId="3AE2955C" w14:textId="77777777" w:rsidR="00EF0DE9" w:rsidRPr="00EF0DE9" w:rsidRDefault="00EF0DE9" w:rsidP="00EF0DE9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F0DE9">
        <w:rPr>
          <w:rFonts w:ascii="Arial" w:hAnsi="Arial" w:cs="Arial"/>
          <w:b/>
          <w:bCs/>
          <w:sz w:val="28"/>
          <w:szCs w:val="28"/>
        </w:rPr>
        <w:t>PPA w nowej odsłonie: krócej, elastyczniej, częściej</w:t>
      </w:r>
    </w:p>
    <w:p w14:paraId="2188CE74" w14:textId="77777777" w:rsidR="00EF0DE9" w:rsidRPr="00D90EA4" w:rsidRDefault="00EF0DE9" w:rsidP="00EF0DE9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D90EA4">
        <w:rPr>
          <w:rFonts w:ascii="Arial" w:hAnsi="Arial" w:cs="Arial"/>
          <w:b/>
          <w:bCs/>
        </w:rPr>
        <w:t xml:space="preserve">Rosnące ceny energii, presja na realizację celów klimatycznych i potrzeba stabilizacji kosztów sprawiają, że umowy PPA i </w:t>
      </w:r>
      <w:proofErr w:type="spellStart"/>
      <w:r w:rsidRPr="00D90EA4">
        <w:rPr>
          <w:rFonts w:ascii="Arial" w:hAnsi="Arial" w:cs="Arial"/>
          <w:b/>
          <w:bCs/>
        </w:rPr>
        <w:t>cPPA</w:t>
      </w:r>
      <w:proofErr w:type="spellEnd"/>
      <w:r w:rsidRPr="00D90EA4">
        <w:rPr>
          <w:rFonts w:ascii="Arial" w:hAnsi="Arial" w:cs="Arial"/>
          <w:b/>
          <w:bCs/>
        </w:rPr>
        <w:t xml:space="preserve"> coraz częściej trafiają do podpisu zarządów polskich firm. Jednocześnie rynek tych kontraktów szybko ewoluuje – zarówno pod względem struktury stron umowy, jak i długości jej obowiązywania.</w:t>
      </w:r>
    </w:p>
    <w:p w14:paraId="1864FE6D" w14:textId="77777777" w:rsidR="00EF0DE9" w:rsidRPr="00D90EA4" w:rsidRDefault="00EF0DE9" w:rsidP="00EF0DE9">
      <w:pPr>
        <w:spacing w:after="120" w:line="276" w:lineRule="auto"/>
        <w:jc w:val="both"/>
        <w:rPr>
          <w:rFonts w:ascii="Arial" w:hAnsi="Arial" w:cs="Arial"/>
        </w:rPr>
      </w:pPr>
      <w:r w:rsidRPr="00D90EA4">
        <w:rPr>
          <w:rFonts w:ascii="Arial" w:hAnsi="Arial" w:cs="Arial"/>
        </w:rPr>
        <w:t>Jeszcze kilka lat temu kontrakty PPA kojarzyły się niemal wyłącznie z długoterminowymi zobowiązaniami zawieranymi na 10–15 lat. Dziś coraz więcej przedsiębiorstw oczekuje większej elastyczności i lepszego dopasowania do realiów swojego biznesu. To zmienia sposób myślenia o tym, kto zawiera umowy PPA i jak długo powinny one obowiązywać.</w:t>
      </w:r>
    </w:p>
    <w:p w14:paraId="75815D9B" w14:textId="77777777" w:rsidR="00EF0DE9" w:rsidRPr="00D90EA4" w:rsidRDefault="00EF0DE9" w:rsidP="00EF0DE9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D90EA4">
        <w:rPr>
          <w:rFonts w:ascii="Arial" w:hAnsi="Arial" w:cs="Arial"/>
          <w:b/>
          <w:bCs/>
        </w:rPr>
        <w:t xml:space="preserve">Kto jest stroną umów PPA i </w:t>
      </w:r>
      <w:proofErr w:type="spellStart"/>
      <w:r w:rsidRPr="00D90EA4">
        <w:rPr>
          <w:rFonts w:ascii="Arial" w:hAnsi="Arial" w:cs="Arial"/>
          <w:b/>
          <w:bCs/>
        </w:rPr>
        <w:t>cPPA</w:t>
      </w:r>
      <w:proofErr w:type="spellEnd"/>
    </w:p>
    <w:p w14:paraId="7EF1047B" w14:textId="77777777" w:rsidR="00EF0DE9" w:rsidRPr="00D90EA4" w:rsidRDefault="00EF0DE9" w:rsidP="00EF0DE9">
      <w:pPr>
        <w:spacing w:after="120" w:line="276" w:lineRule="auto"/>
        <w:jc w:val="both"/>
        <w:rPr>
          <w:rFonts w:ascii="Arial" w:hAnsi="Arial" w:cs="Arial"/>
        </w:rPr>
      </w:pPr>
      <w:r w:rsidRPr="00D90EA4">
        <w:rPr>
          <w:rFonts w:ascii="Arial" w:hAnsi="Arial" w:cs="Arial"/>
        </w:rPr>
        <w:t>W klasycznym modelu PPA stronami kontraktu są: producent energii odnawialnej – najczęściej spółka celowa realizująca projekt farmy wiatrowej lub fotowoltaicznej – oraz sprzedawca energii, który kupuje ją w celu dalszej odsprzedaży odbiorcom końcowym. Taki model dobrze wpisuje się w tradycyjną strukturę rynku energii, w której sprzedawca pełni rolę pośrednika handlowego i technicznego.</w:t>
      </w:r>
    </w:p>
    <w:p w14:paraId="7F45E894" w14:textId="77777777" w:rsidR="00EF0DE9" w:rsidRPr="00D90EA4" w:rsidRDefault="00EF0DE9" w:rsidP="00EF0DE9">
      <w:pPr>
        <w:spacing w:after="120" w:line="276" w:lineRule="auto"/>
        <w:jc w:val="both"/>
        <w:rPr>
          <w:rFonts w:ascii="Arial" w:hAnsi="Arial" w:cs="Arial"/>
        </w:rPr>
      </w:pPr>
      <w:r w:rsidRPr="00D90EA4">
        <w:rPr>
          <w:rFonts w:ascii="Arial" w:hAnsi="Arial" w:cs="Arial"/>
        </w:rPr>
        <w:t xml:space="preserve">Inaczej wygląda to w przypadku kontraktów </w:t>
      </w:r>
      <w:proofErr w:type="spellStart"/>
      <w:r w:rsidRPr="00D90EA4">
        <w:rPr>
          <w:rFonts w:ascii="Arial" w:hAnsi="Arial" w:cs="Arial"/>
        </w:rPr>
        <w:t>cPPA</w:t>
      </w:r>
      <w:proofErr w:type="spellEnd"/>
      <w:r w:rsidRPr="00D90EA4">
        <w:rPr>
          <w:rFonts w:ascii="Arial" w:hAnsi="Arial" w:cs="Arial"/>
        </w:rPr>
        <w:t xml:space="preserve">. Tu umowa zawierana jest bezpośrednio pomiędzy wytwórcą energii a odbiorcą końcowym – firmą zużywającą energię na potrzeby własnej działalności. Najczęściej są to przedsiębiorstwa energochłonne takie jak zakłady przemysłowe, centra logistyczne, firmy technologiczne czy sieci handlowe. Dla nich </w:t>
      </w:r>
      <w:proofErr w:type="spellStart"/>
      <w:r w:rsidRPr="00D90EA4">
        <w:rPr>
          <w:rFonts w:ascii="Arial" w:hAnsi="Arial" w:cs="Arial"/>
        </w:rPr>
        <w:t>cPPA</w:t>
      </w:r>
      <w:proofErr w:type="spellEnd"/>
      <w:r w:rsidRPr="00D90EA4">
        <w:rPr>
          <w:rFonts w:ascii="Arial" w:hAnsi="Arial" w:cs="Arial"/>
        </w:rPr>
        <w:t xml:space="preserve"> staje się narzędziem stabilizacji kosztów oraz realizacji strategii dekarbonizacyjnej.</w:t>
      </w:r>
    </w:p>
    <w:p w14:paraId="37F86662" w14:textId="77777777" w:rsidR="00EF0DE9" w:rsidRPr="00D90EA4" w:rsidRDefault="00EF0DE9" w:rsidP="00EF0DE9">
      <w:pPr>
        <w:spacing w:after="120" w:line="276" w:lineRule="auto"/>
        <w:jc w:val="both"/>
        <w:rPr>
          <w:rFonts w:ascii="Arial" w:hAnsi="Arial" w:cs="Arial"/>
        </w:rPr>
      </w:pPr>
      <w:r w:rsidRPr="00D90EA4">
        <w:rPr>
          <w:rFonts w:ascii="Arial" w:hAnsi="Arial" w:cs="Arial"/>
        </w:rPr>
        <w:t xml:space="preserve">Warto przy tym podkreślić, że choć w realizację dostaw energii zaangażowane są także inne podmioty jak na przykład operatorzy systemów lub podmioty odpowiedzialne za bilansowanie, zwykle nie są one jednak stronami umowy PPA ani </w:t>
      </w:r>
      <w:proofErr w:type="spellStart"/>
      <w:r w:rsidRPr="00D90EA4">
        <w:rPr>
          <w:rFonts w:ascii="Arial" w:hAnsi="Arial" w:cs="Arial"/>
        </w:rPr>
        <w:t>cPPA</w:t>
      </w:r>
      <w:proofErr w:type="spellEnd"/>
      <w:r w:rsidRPr="00D90EA4">
        <w:rPr>
          <w:rFonts w:ascii="Arial" w:hAnsi="Arial" w:cs="Arial"/>
        </w:rPr>
        <w:t>. Z prawnego i handlowego punktu widzenia kontrakt co do zasady opiera się na relacji wytwórca – nabywca energii.</w:t>
      </w:r>
    </w:p>
    <w:p w14:paraId="4F7C97BD" w14:textId="77777777" w:rsidR="00EF0DE9" w:rsidRPr="00D90EA4" w:rsidRDefault="00EF0DE9" w:rsidP="00EF0DE9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D90EA4">
        <w:rPr>
          <w:rFonts w:ascii="Arial" w:hAnsi="Arial" w:cs="Arial"/>
          <w:b/>
          <w:bCs/>
        </w:rPr>
        <w:t>Fizyczne i wirtualne PPA – różne modele, różne role</w:t>
      </w:r>
    </w:p>
    <w:p w14:paraId="79D61B34" w14:textId="77777777" w:rsidR="00EF0DE9" w:rsidRPr="00D90EA4" w:rsidRDefault="00EF0DE9" w:rsidP="00EF0DE9">
      <w:pPr>
        <w:spacing w:after="120" w:line="276" w:lineRule="auto"/>
        <w:jc w:val="both"/>
        <w:rPr>
          <w:rFonts w:ascii="Arial" w:hAnsi="Arial" w:cs="Arial"/>
        </w:rPr>
      </w:pPr>
      <w:r w:rsidRPr="00D90EA4">
        <w:rPr>
          <w:rFonts w:ascii="Arial" w:hAnsi="Arial" w:cs="Arial"/>
        </w:rPr>
        <w:t>Istotnym elementem umów PPA jest sposób ich realizacji. W kontraktach wirtualnych (</w:t>
      </w:r>
      <w:proofErr w:type="spellStart"/>
      <w:r w:rsidRPr="00D90EA4">
        <w:rPr>
          <w:rFonts w:ascii="Arial" w:hAnsi="Arial" w:cs="Arial"/>
        </w:rPr>
        <w:t>vPPA</w:t>
      </w:r>
      <w:proofErr w:type="spellEnd"/>
      <w:r w:rsidRPr="00D90EA4">
        <w:rPr>
          <w:rFonts w:ascii="Arial" w:hAnsi="Arial" w:cs="Arial"/>
        </w:rPr>
        <w:t>) energia fizycznie trafia na rynek hurtowy, a sama umowa pełni funkcję instrumentu finansowego zabezpieczającego cenę. Odbiorca nadal kupuje energię od swojego sprzedawcy, a z wytwórcą rozlicza jedynie różnicę między ceną rynkową a ceną ustaloną w kontrakcie.</w:t>
      </w:r>
    </w:p>
    <w:p w14:paraId="25DE8929" w14:textId="77777777" w:rsidR="00EF0DE9" w:rsidRPr="00D90EA4" w:rsidRDefault="00EF0DE9" w:rsidP="00EF0DE9">
      <w:pPr>
        <w:spacing w:after="120" w:line="276" w:lineRule="auto"/>
        <w:jc w:val="both"/>
        <w:rPr>
          <w:rFonts w:ascii="Arial" w:hAnsi="Arial" w:cs="Arial"/>
        </w:rPr>
      </w:pPr>
      <w:r w:rsidRPr="00D90EA4">
        <w:rPr>
          <w:rFonts w:ascii="Arial" w:hAnsi="Arial" w:cs="Arial"/>
        </w:rPr>
        <w:t xml:space="preserve">W przypadku fizycznych PPA energia jest dostarczana bezpośrednio do odbiorcy. Takie rozwiązanie wymaga zaangażowania sprzedawcy lub podmiotu odpowiedzialnego za bilansowanie, który zarządza ryzykiem odchyleń produkcji i zużycia oraz rozliczeniami rynkowymi. – Dobrze zaprojektowany model PPA powinien być dopasowany nie tylko do profilu zużycia energii, ale także do zdolności organizacyjnych firmy i jej gotowości na ryzyko – podkreśla Joanna </w:t>
      </w:r>
      <w:proofErr w:type="spellStart"/>
      <w:r w:rsidRPr="00D90EA4">
        <w:rPr>
          <w:rFonts w:ascii="Arial" w:hAnsi="Arial" w:cs="Arial"/>
        </w:rPr>
        <w:t>Repko</w:t>
      </w:r>
      <w:proofErr w:type="spellEnd"/>
      <w:r w:rsidRPr="00D90EA4">
        <w:rPr>
          <w:rFonts w:ascii="Arial" w:hAnsi="Arial" w:cs="Arial"/>
        </w:rPr>
        <w:t>, koordynatorka projektów w Zespole Rozwoju i Zarządzania Produktem w E.ON Polska. – Nie ma jednego uniwersalnego rozwiązania. Kluczowe jest świadome przypisanie ról i odpowiedzialności już na etapie tworzenia struktury kontraktu.</w:t>
      </w:r>
    </w:p>
    <w:p w14:paraId="6540B9B1" w14:textId="77777777" w:rsidR="00EF0DE9" w:rsidRPr="00D90EA4" w:rsidRDefault="00EF0DE9" w:rsidP="00EF0DE9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D90EA4">
        <w:rPr>
          <w:rFonts w:ascii="Arial" w:hAnsi="Arial" w:cs="Arial"/>
          <w:b/>
          <w:bCs/>
        </w:rPr>
        <w:t>Jak długo trwają dziś umowy PPA</w:t>
      </w:r>
    </w:p>
    <w:p w14:paraId="7F20A64B" w14:textId="77777777" w:rsidR="00EF0DE9" w:rsidRPr="00D90EA4" w:rsidRDefault="00EF0DE9" w:rsidP="00EF0DE9">
      <w:pPr>
        <w:spacing w:after="120" w:line="276" w:lineRule="auto"/>
        <w:jc w:val="both"/>
        <w:rPr>
          <w:rFonts w:ascii="Arial" w:hAnsi="Arial" w:cs="Arial"/>
        </w:rPr>
      </w:pPr>
      <w:r w:rsidRPr="00D90EA4">
        <w:rPr>
          <w:rFonts w:ascii="Arial" w:hAnsi="Arial" w:cs="Arial"/>
        </w:rPr>
        <w:lastRenderedPageBreak/>
        <w:t>Praktyka rynkowa pokazuje, że od 2025 roku znaczna część korporacyjnych umów PPA w Polsce zawierana jest na okres od 7 do 12 lat, przy czym 10 lat pozostaje nieformalnym standardem. Banki finansujące projekty OZE wciąż oczekują, że kontrakt zapewni stabilne przychody przez co najmniej 8 lat.</w:t>
      </w:r>
    </w:p>
    <w:p w14:paraId="22989A23" w14:textId="77777777" w:rsidR="00EF0DE9" w:rsidRPr="00D90EA4" w:rsidRDefault="00EF0DE9" w:rsidP="00EF0DE9">
      <w:pPr>
        <w:spacing w:after="120" w:line="276" w:lineRule="auto"/>
        <w:jc w:val="both"/>
        <w:rPr>
          <w:rFonts w:ascii="Arial" w:hAnsi="Arial" w:cs="Arial"/>
        </w:rPr>
      </w:pPr>
      <w:r w:rsidRPr="00D90EA4">
        <w:rPr>
          <w:rFonts w:ascii="Arial" w:hAnsi="Arial" w:cs="Arial"/>
        </w:rPr>
        <w:t>Jednocześnie rośnie zainteresowanie krótszymi umowami – zwłaszcza wśród firm działających w branżach o krótszych cyklach koniunkturalnych. Przedsiębiorstwa z sektorów FMCG, telekomunikacji, a także podmioty z segmentu MŚP, coraz częściej rozważają kontrakty na 3–5 lat, a nawet pilotażowe umowy na 1–3 lata.</w:t>
      </w:r>
    </w:p>
    <w:p w14:paraId="535DF32D" w14:textId="1ED76498" w:rsidR="00EF0DE9" w:rsidRPr="00D90EA4" w:rsidRDefault="00EF0DE9" w:rsidP="00EF0DE9">
      <w:pPr>
        <w:spacing w:after="120" w:line="276" w:lineRule="auto"/>
        <w:jc w:val="both"/>
        <w:rPr>
          <w:rFonts w:ascii="Arial" w:hAnsi="Arial" w:cs="Arial"/>
        </w:rPr>
      </w:pPr>
      <w:r w:rsidRPr="00D90EA4">
        <w:rPr>
          <w:rFonts w:ascii="Arial" w:hAnsi="Arial" w:cs="Arial"/>
        </w:rPr>
        <w:t>– Nie każda firma jest w stanie planować zobowiązania energetyczne w perspektywie kilkunastu lat – zauważa Szymon Kowalski, wiceprezes RE-Source Poland Hub. – Z danych rynkowych wynika, że najdłuższe kontrakty</w:t>
      </w:r>
      <w:r w:rsidR="00885ABB">
        <w:rPr>
          <w:rFonts w:ascii="Arial" w:hAnsi="Arial" w:cs="Arial"/>
        </w:rPr>
        <w:t xml:space="preserve"> </w:t>
      </w:r>
      <w:r w:rsidRPr="00D90EA4">
        <w:rPr>
          <w:rFonts w:ascii="Arial" w:hAnsi="Arial" w:cs="Arial"/>
        </w:rPr>
        <w:t>zawierają obecnie przede wszystkim duże podmioty z branży ICT oraz przemysłu ciężkiego, natomiast sektor MŚP oczekuje większej elastyczności.</w:t>
      </w:r>
    </w:p>
    <w:p w14:paraId="5646E39B" w14:textId="77777777" w:rsidR="00EF0DE9" w:rsidRPr="00D90EA4" w:rsidRDefault="00EF0DE9" w:rsidP="00EF0DE9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D90EA4">
        <w:rPr>
          <w:rFonts w:ascii="Arial" w:hAnsi="Arial" w:cs="Arial"/>
          <w:b/>
          <w:bCs/>
        </w:rPr>
        <w:t>Elastyczność jako nowy kierunek rynku</w:t>
      </w:r>
    </w:p>
    <w:p w14:paraId="78969E7A" w14:textId="77777777" w:rsidR="00EF0DE9" w:rsidRPr="00D90EA4" w:rsidRDefault="00EF0DE9" w:rsidP="00EF0DE9">
      <w:pPr>
        <w:spacing w:after="120" w:line="276" w:lineRule="auto"/>
        <w:jc w:val="both"/>
        <w:rPr>
          <w:rFonts w:ascii="Arial" w:hAnsi="Arial" w:cs="Arial"/>
        </w:rPr>
      </w:pPr>
      <w:r w:rsidRPr="00D90EA4">
        <w:rPr>
          <w:rFonts w:ascii="Arial" w:hAnsi="Arial" w:cs="Arial"/>
        </w:rPr>
        <w:t>Zmieniająca się struktura kontraktów PPA pokazuje, że rynek dojrzewa. Obok długoterminowych umów, które zabezpieczają finansowanie projektów OZE, coraz częściej pojawiają się krótsze i bardziej elastyczne rozwiązania. Pozwalają one firmom przetestować model PPA bez konieczności zaciągania wieloletnich zobowiązań.</w:t>
      </w:r>
    </w:p>
    <w:p w14:paraId="454AA11C" w14:textId="77777777" w:rsidR="00EF0DE9" w:rsidRPr="00D90EA4" w:rsidRDefault="00EF0DE9" w:rsidP="00EF0DE9">
      <w:pPr>
        <w:spacing w:after="120" w:line="276" w:lineRule="auto"/>
        <w:jc w:val="both"/>
        <w:rPr>
          <w:rFonts w:ascii="Arial" w:hAnsi="Arial" w:cs="Arial"/>
        </w:rPr>
      </w:pPr>
      <w:r w:rsidRPr="00D90EA4">
        <w:rPr>
          <w:rFonts w:ascii="Arial" w:hAnsi="Arial" w:cs="Arial"/>
        </w:rPr>
        <w:t>W efekcie przedsiębiorstwa zyskują większy wybór – od stabilnych, wieloletnich kontraktów po krótsze umowy dopasowane do dynamicznych realiów biznesowych. Sprawia to, że PPA przestaje być rozwiązaniem zarezerwowanym wyłącznie dla największych graczy i staje się realnym narzędziem także dla średnich firm.</w:t>
      </w:r>
    </w:p>
    <w:p w14:paraId="16FE0514" w14:textId="77777777" w:rsidR="00D90EA4" w:rsidRPr="00EF0DE9" w:rsidRDefault="00D90EA4" w:rsidP="00EF0DE9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B139380" w14:textId="77777777" w:rsidR="00EF0DE9" w:rsidRPr="00EF0DE9" w:rsidRDefault="00EF0DE9" w:rsidP="00EF0DE9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EF0DE9">
        <w:rPr>
          <w:rFonts w:ascii="Arial" w:hAnsi="Arial" w:cs="Arial"/>
          <w:sz w:val="24"/>
          <w:szCs w:val="24"/>
        </w:rPr>
        <w:t>***</w:t>
      </w:r>
    </w:p>
    <w:p w14:paraId="190E77A9" w14:textId="77777777" w:rsidR="00EF0DE9" w:rsidRPr="00D90EA4" w:rsidRDefault="00EF0DE9" w:rsidP="00EF0DE9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90EA4">
        <w:rPr>
          <w:rFonts w:ascii="Arial" w:hAnsi="Arial" w:cs="Arial"/>
          <w:b/>
          <w:bCs/>
          <w:sz w:val="20"/>
          <w:szCs w:val="20"/>
        </w:rPr>
        <w:t xml:space="preserve">Dodatkowe informacje dla mediów: </w:t>
      </w:r>
      <w:r w:rsidRPr="00D90EA4">
        <w:rPr>
          <w:rFonts w:ascii="Arial" w:hAnsi="Arial" w:cs="Arial"/>
          <w:b/>
          <w:bCs/>
          <w:sz w:val="20"/>
          <w:szCs w:val="20"/>
        </w:rPr>
        <w:tab/>
      </w:r>
    </w:p>
    <w:p w14:paraId="5B113FEC" w14:textId="77777777" w:rsidR="00EF0DE9" w:rsidRPr="00D90EA4" w:rsidRDefault="00EF0DE9" w:rsidP="00EF0DE9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90EA4">
        <w:rPr>
          <w:rFonts w:ascii="Arial" w:hAnsi="Arial" w:cs="Arial"/>
          <w:sz w:val="20"/>
          <w:szCs w:val="20"/>
        </w:rPr>
        <w:t xml:space="preserve">Biuro prasowe E.ON: </w:t>
      </w:r>
      <w:r w:rsidRPr="00D90EA4">
        <w:rPr>
          <w:rFonts w:ascii="Arial" w:hAnsi="Arial" w:cs="Arial"/>
          <w:b/>
          <w:bCs/>
          <w:sz w:val="20"/>
          <w:szCs w:val="20"/>
        </w:rPr>
        <w:t>+48 (22) 821 41 51</w:t>
      </w:r>
    </w:p>
    <w:p w14:paraId="3C66E33F" w14:textId="780FBA58" w:rsidR="00456932" w:rsidRPr="00D90EA4" w:rsidRDefault="00EF0DE9" w:rsidP="00EF0DE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90EA4">
        <w:rPr>
          <w:rFonts w:ascii="Arial" w:hAnsi="Arial" w:cs="Arial"/>
          <w:sz w:val="20"/>
          <w:szCs w:val="20"/>
        </w:rPr>
        <w:t xml:space="preserve">Email: </w:t>
      </w:r>
      <w:hyperlink r:id="rId12" w:history="1">
        <w:r w:rsidR="00D90EA4" w:rsidRPr="00D90EA4">
          <w:rPr>
            <w:rStyle w:val="Hipercze"/>
            <w:rFonts w:ascii="Arial" w:hAnsi="Arial" w:cs="Arial"/>
            <w:sz w:val="20"/>
            <w:szCs w:val="20"/>
          </w:rPr>
          <w:t>biuro.prasowe@eon.pl</w:t>
        </w:r>
      </w:hyperlink>
    </w:p>
    <w:p w14:paraId="180F8ED1" w14:textId="77777777" w:rsidR="00D90EA4" w:rsidRPr="00EF0DE9" w:rsidRDefault="00D90EA4" w:rsidP="00EF0DE9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51E5C6F" w14:textId="77777777" w:rsidR="00456932" w:rsidRPr="00EF0DE9" w:rsidRDefault="00456932" w:rsidP="005D54F3">
      <w:pPr>
        <w:spacing w:after="120" w:line="276" w:lineRule="auto"/>
        <w:jc w:val="center"/>
        <w:rPr>
          <w:rFonts w:ascii="Arial" w:hAnsi="Arial" w:cs="Arial"/>
          <w:sz w:val="24"/>
          <w:szCs w:val="24"/>
        </w:rPr>
      </w:pPr>
    </w:p>
    <w:p w14:paraId="386EFF5F" w14:textId="77777777" w:rsidR="00456932" w:rsidRPr="00755D66" w:rsidRDefault="00456932" w:rsidP="005D54F3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FE0D23" w14:textId="77777777" w:rsidR="00456932" w:rsidRPr="00755D66" w:rsidRDefault="00456932" w:rsidP="00BA7B92">
      <w:pPr>
        <w:spacing w:after="120" w:line="276" w:lineRule="auto"/>
        <w:jc w:val="both"/>
        <w:rPr>
          <w:rFonts w:ascii="Arial" w:hAnsi="Arial" w:cs="Arial"/>
          <w:bCs/>
        </w:rPr>
      </w:pPr>
    </w:p>
    <w:sectPr w:rsidR="00456932" w:rsidRPr="00755D66" w:rsidSect="00355DE3">
      <w:headerReference w:type="default" r:id="rId13"/>
      <w:pgSz w:w="11906" w:h="16838"/>
      <w:pgMar w:top="1440" w:right="1440" w:bottom="1135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92F1" w14:textId="77777777" w:rsidR="00704625" w:rsidRDefault="00704625">
      <w:pPr>
        <w:spacing w:line="240" w:lineRule="auto"/>
      </w:pPr>
      <w:r>
        <w:separator/>
      </w:r>
    </w:p>
  </w:endnote>
  <w:endnote w:type="continuationSeparator" w:id="0">
    <w:p w14:paraId="50AC157B" w14:textId="77777777" w:rsidR="00704625" w:rsidRDefault="00704625">
      <w:pPr>
        <w:spacing w:line="240" w:lineRule="auto"/>
      </w:pPr>
      <w:r>
        <w:continuationSeparator/>
      </w:r>
    </w:p>
  </w:endnote>
  <w:endnote w:type="continuationNotice" w:id="1">
    <w:p w14:paraId="267B3A7C" w14:textId="77777777" w:rsidR="00704625" w:rsidRDefault="007046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FF8D" w14:textId="77777777" w:rsidR="00704625" w:rsidRDefault="00704625">
      <w:pPr>
        <w:spacing w:line="240" w:lineRule="auto"/>
      </w:pPr>
      <w:r>
        <w:separator/>
      </w:r>
    </w:p>
  </w:footnote>
  <w:footnote w:type="continuationSeparator" w:id="0">
    <w:p w14:paraId="1F499104" w14:textId="77777777" w:rsidR="00704625" w:rsidRDefault="00704625">
      <w:pPr>
        <w:spacing w:line="240" w:lineRule="auto"/>
      </w:pPr>
      <w:r>
        <w:continuationSeparator/>
      </w:r>
    </w:p>
  </w:footnote>
  <w:footnote w:type="continuationNotice" w:id="1">
    <w:p w14:paraId="7950834B" w14:textId="77777777" w:rsidR="00704625" w:rsidRDefault="0070462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0D61" w14:textId="21F2E2B4" w:rsidR="00E8270A" w:rsidRDefault="008E37E0" w:rsidP="008E37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noProof/>
      </w:rPr>
      <w:drawing>
        <wp:inline distT="0" distB="0" distL="0" distR="0" wp14:anchorId="7DEFDF11" wp14:editId="7B7905E2">
          <wp:extent cx="1266674" cy="374650"/>
          <wp:effectExtent l="0" t="0" r="0" b="6350"/>
          <wp:docPr id="2" name="Obraz 2" descr="Obraz zawierający Grafika, Czcionka, logo, typograf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Grafika, Czcionka, logo, typograf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74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FE2"/>
    <w:multiLevelType w:val="hybridMultilevel"/>
    <w:tmpl w:val="90406FB4"/>
    <w:lvl w:ilvl="0" w:tplc="9E047C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4F5E"/>
    <w:multiLevelType w:val="multilevel"/>
    <w:tmpl w:val="068E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E4EC9"/>
    <w:multiLevelType w:val="hybridMultilevel"/>
    <w:tmpl w:val="79E82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30DE6"/>
    <w:multiLevelType w:val="hybridMultilevel"/>
    <w:tmpl w:val="DD12A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F6DDF"/>
    <w:multiLevelType w:val="hybridMultilevel"/>
    <w:tmpl w:val="C310AEC2"/>
    <w:lvl w:ilvl="0" w:tplc="C9CC43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67666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97E5B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C123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EFE03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BC2AF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90A63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ECC68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4E655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605A3243"/>
    <w:multiLevelType w:val="multilevel"/>
    <w:tmpl w:val="E7BE1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26874969">
    <w:abstractNumId w:val="5"/>
  </w:num>
  <w:num w:numId="2" w16cid:durableId="588150780">
    <w:abstractNumId w:val="1"/>
  </w:num>
  <w:num w:numId="3" w16cid:durableId="1322196850">
    <w:abstractNumId w:val="0"/>
  </w:num>
  <w:num w:numId="4" w16cid:durableId="1607887740">
    <w:abstractNumId w:val="2"/>
  </w:num>
  <w:num w:numId="5" w16cid:durableId="2083673068">
    <w:abstractNumId w:val="3"/>
  </w:num>
  <w:num w:numId="6" w16cid:durableId="709762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70A"/>
    <w:rsid w:val="0000031F"/>
    <w:rsid w:val="0000752E"/>
    <w:rsid w:val="00014495"/>
    <w:rsid w:val="00030D4D"/>
    <w:rsid w:val="00034158"/>
    <w:rsid w:val="0004138D"/>
    <w:rsid w:val="0004220B"/>
    <w:rsid w:val="000434AC"/>
    <w:rsid w:val="00045249"/>
    <w:rsid w:val="000526F2"/>
    <w:rsid w:val="000543B9"/>
    <w:rsid w:val="0005581B"/>
    <w:rsid w:val="00057C3C"/>
    <w:rsid w:val="00060489"/>
    <w:rsid w:val="000619DA"/>
    <w:rsid w:val="000621E0"/>
    <w:rsid w:val="00065E6B"/>
    <w:rsid w:val="00067667"/>
    <w:rsid w:val="000723D3"/>
    <w:rsid w:val="000850A8"/>
    <w:rsid w:val="00086110"/>
    <w:rsid w:val="00086953"/>
    <w:rsid w:val="00092A40"/>
    <w:rsid w:val="00094583"/>
    <w:rsid w:val="0009518E"/>
    <w:rsid w:val="000968F8"/>
    <w:rsid w:val="000A6AC4"/>
    <w:rsid w:val="000A77A0"/>
    <w:rsid w:val="000A7CF7"/>
    <w:rsid w:val="000B62B0"/>
    <w:rsid w:val="000B6A8B"/>
    <w:rsid w:val="000C05E4"/>
    <w:rsid w:val="000C0F23"/>
    <w:rsid w:val="000C71BA"/>
    <w:rsid w:val="000D3D14"/>
    <w:rsid w:val="000D481E"/>
    <w:rsid w:val="000D634E"/>
    <w:rsid w:val="000F2909"/>
    <w:rsid w:val="000F55DA"/>
    <w:rsid w:val="00100752"/>
    <w:rsid w:val="0010283C"/>
    <w:rsid w:val="0010467C"/>
    <w:rsid w:val="00112F73"/>
    <w:rsid w:val="0011300E"/>
    <w:rsid w:val="00117CAB"/>
    <w:rsid w:val="00117F9D"/>
    <w:rsid w:val="00121064"/>
    <w:rsid w:val="00121B2A"/>
    <w:rsid w:val="0012487B"/>
    <w:rsid w:val="0012577C"/>
    <w:rsid w:val="00127344"/>
    <w:rsid w:val="00127A48"/>
    <w:rsid w:val="00130297"/>
    <w:rsid w:val="00130E41"/>
    <w:rsid w:val="001326FE"/>
    <w:rsid w:val="00133880"/>
    <w:rsid w:val="001350BE"/>
    <w:rsid w:val="0013634C"/>
    <w:rsid w:val="00140A48"/>
    <w:rsid w:val="00146BB0"/>
    <w:rsid w:val="00146D9F"/>
    <w:rsid w:val="001507CB"/>
    <w:rsid w:val="0016456C"/>
    <w:rsid w:val="00164A1A"/>
    <w:rsid w:val="00164F04"/>
    <w:rsid w:val="0016604D"/>
    <w:rsid w:val="0016614B"/>
    <w:rsid w:val="00167B56"/>
    <w:rsid w:val="00170D7F"/>
    <w:rsid w:val="00171FB1"/>
    <w:rsid w:val="0017359A"/>
    <w:rsid w:val="00177FA0"/>
    <w:rsid w:val="00180BFD"/>
    <w:rsid w:val="001915B0"/>
    <w:rsid w:val="00193CA0"/>
    <w:rsid w:val="00194357"/>
    <w:rsid w:val="00196322"/>
    <w:rsid w:val="001978C7"/>
    <w:rsid w:val="001A1184"/>
    <w:rsid w:val="001A4EEA"/>
    <w:rsid w:val="001A58C0"/>
    <w:rsid w:val="001A5F46"/>
    <w:rsid w:val="001A6D6E"/>
    <w:rsid w:val="001B046A"/>
    <w:rsid w:val="001B1791"/>
    <w:rsid w:val="001B27A5"/>
    <w:rsid w:val="001B6AD6"/>
    <w:rsid w:val="001C0A2A"/>
    <w:rsid w:val="001C3E85"/>
    <w:rsid w:val="001C5B1F"/>
    <w:rsid w:val="001D1883"/>
    <w:rsid w:val="001D232D"/>
    <w:rsid w:val="001D6BC5"/>
    <w:rsid w:val="001D7BD7"/>
    <w:rsid w:val="001E108C"/>
    <w:rsid w:val="001E1DDC"/>
    <w:rsid w:val="001E1F4A"/>
    <w:rsid w:val="001E230B"/>
    <w:rsid w:val="001E55C8"/>
    <w:rsid w:val="001F0AEA"/>
    <w:rsid w:val="001F2E47"/>
    <w:rsid w:val="001F6C16"/>
    <w:rsid w:val="001F6E71"/>
    <w:rsid w:val="00200F6F"/>
    <w:rsid w:val="00200F71"/>
    <w:rsid w:val="0021720E"/>
    <w:rsid w:val="002204F7"/>
    <w:rsid w:val="00220E86"/>
    <w:rsid w:val="002227B7"/>
    <w:rsid w:val="002228CB"/>
    <w:rsid w:val="0022375E"/>
    <w:rsid w:val="00225065"/>
    <w:rsid w:val="00225EFC"/>
    <w:rsid w:val="00226F6F"/>
    <w:rsid w:val="00226FF9"/>
    <w:rsid w:val="0023128C"/>
    <w:rsid w:val="00233891"/>
    <w:rsid w:val="00233CA2"/>
    <w:rsid w:val="00233E14"/>
    <w:rsid w:val="00240135"/>
    <w:rsid w:val="00240EB9"/>
    <w:rsid w:val="00242EA0"/>
    <w:rsid w:val="00246F64"/>
    <w:rsid w:val="00247853"/>
    <w:rsid w:val="00255599"/>
    <w:rsid w:val="00257C2A"/>
    <w:rsid w:val="00261EC8"/>
    <w:rsid w:val="002629A1"/>
    <w:rsid w:val="00263E3E"/>
    <w:rsid w:val="00265758"/>
    <w:rsid w:val="002719D7"/>
    <w:rsid w:val="002747E5"/>
    <w:rsid w:val="0028031D"/>
    <w:rsid w:val="0028411A"/>
    <w:rsid w:val="0029384B"/>
    <w:rsid w:val="00297D6B"/>
    <w:rsid w:val="002A0714"/>
    <w:rsid w:val="002A1245"/>
    <w:rsid w:val="002A1FC0"/>
    <w:rsid w:val="002B3399"/>
    <w:rsid w:val="002B3831"/>
    <w:rsid w:val="002B51E3"/>
    <w:rsid w:val="002C109F"/>
    <w:rsid w:val="002C117C"/>
    <w:rsid w:val="002C153D"/>
    <w:rsid w:val="002C357F"/>
    <w:rsid w:val="002C743F"/>
    <w:rsid w:val="002D13DB"/>
    <w:rsid w:val="002D1528"/>
    <w:rsid w:val="002D18C6"/>
    <w:rsid w:val="002D2719"/>
    <w:rsid w:val="002D2861"/>
    <w:rsid w:val="002D792F"/>
    <w:rsid w:val="002E4E5B"/>
    <w:rsid w:val="002F0089"/>
    <w:rsid w:val="002F159C"/>
    <w:rsid w:val="002F1E7D"/>
    <w:rsid w:val="002F2E98"/>
    <w:rsid w:val="002F4669"/>
    <w:rsid w:val="002F5CBF"/>
    <w:rsid w:val="002F63F9"/>
    <w:rsid w:val="00313C30"/>
    <w:rsid w:val="00317220"/>
    <w:rsid w:val="00322AA7"/>
    <w:rsid w:val="00324B50"/>
    <w:rsid w:val="00330010"/>
    <w:rsid w:val="003413ED"/>
    <w:rsid w:val="0034161D"/>
    <w:rsid w:val="00344A6A"/>
    <w:rsid w:val="003462F7"/>
    <w:rsid w:val="00347125"/>
    <w:rsid w:val="00353519"/>
    <w:rsid w:val="00355DE3"/>
    <w:rsid w:val="0035621C"/>
    <w:rsid w:val="0036393C"/>
    <w:rsid w:val="00365080"/>
    <w:rsid w:val="00371A82"/>
    <w:rsid w:val="00376E6D"/>
    <w:rsid w:val="003943BA"/>
    <w:rsid w:val="003A471F"/>
    <w:rsid w:val="003B099F"/>
    <w:rsid w:val="003B1447"/>
    <w:rsid w:val="003B59AA"/>
    <w:rsid w:val="003B5E3F"/>
    <w:rsid w:val="003C510F"/>
    <w:rsid w:val="003C6611"/>
    <w:rsid w:val="003D1354"/>
    <w:rsid w:val="003D38BC"/>
    <w:rsid w:val="003F0D91"/>
    <w:rsid w:val="003F4B4F"/>
    <w:rsid w:val="003F7025"/>
    <w:rsid w:val="003F7A7B"/>
    <w:rsid w:val="00400145"/>
    <w:rsid w:val="0040197E"/>
    <w:rsid w:val="00405CB2"/>
    <w:rsid w:val="00405FDD"/>
    <w:rsid w:val="004157F9"/>
    <w:rsid w:val="00424F0A"/>
    <w:rsid w:val="0042678D"/>
    <w:rsid w:val="00432146"/>
    <w:rsid w:val="00432F6F"/>
    <w:rsid w:val="00436DA5"/>
    <w:rsid w:val="00437DDC"/>
    <w:rsid w:val="00445A79"/>
    <w:rsid w:val="004469CB"/>
    <w:rsid w:val="004540A2"/>
    <w:rsid w:val="004567B7"/>
    <w:rsid w:val="00456932"/>
    <w:rsid w:val="0046410D"/>
    <w:rsid w:val="0046766D"/>
    <w:rsid w:val="0047446B"/>
    <w:rsid w:val="00475E70"/>
    <w:rsid w:val="00477544"/>
    <w:rsid w:val="004776D0"/>
    <w:rsid w:val="00481E7A"/>
    <w:rsid w:val="004863E8"/>
    <w:rsid w:val="00486D0C"/>
    <w:rsid w:val="00490EF6"/>
    <w:rsid w:val="004922A8"/>
    <w:rsid w:val="004952D8"/>
    <w:rsid w:val="0049783D"/>
    <w:rsid w:val="004A24C5"/>
    <w:rsid w:val="004A2EA2"/>
    <w:rsid w:val="004A4FF0"/>
    <w:rsid w:val="004A5B90"/>
    <w:rsid w:val="004A5DE5"/>
    <w:rsid w:val="004B4A1A"/>
    <w:rsid w:val="004B5CA7"/>
    <w:rsid w:val="004C3535"/>
    <w:rsid w:val="004C75E9"/>
    <w:rsid w:val="004D0052"/>
    <w:rsid w:val="004D126D"/>
    <w:rsid w:val="004D2C7F"/>
    <w:rsid w:val="004D3254"/>
    <w:rsid w:val="004E1DBB"/>
    <w:rsid w:val="004E3EFD"/>
    <w:rsid w:val="004E478E"/>
    <w:rsid w:val="004E7FA1"/>
    <w:rsid w:val="004F061D"/>
    <w:rsid w:val="00500AC3"/>
    <w:rsid w:val="00501BCA"/>
    <w:rsid w:val="0050461F"/>
    <w:rsid w:val="00510EA3"/>
    <w:rsid w:val="005123EF"/>
    <w:rsid w:val="005127B2"/>
    <w:rsid w:val="00513418"/>
    <w:rsid w:val="00514875"/>
    <w:rsid w:val="00514914"/>
    <w:rsid w:val="00516027"/>
    <w:rsid w:val="005168ED"/>
    <w:rsid w:val="00517A24"/>
    <w:rsid w:val="00520110"/>
    <w:rsid w:val="00524A50"/>
    <w:rsid w:val="00524CCD"/>
    <w:rsid w:val="00525008"/>
    <w:rsid w:val="00527303"/>
    <w:rsid w:val="0053073E"/>
    <w:rsid w:val="0054017B"/>
    <w:rsid w:val="00541645"/>
    <w:rsid w:val="00542E03"/>
    <w:rsid w:val="00546440"/>
    <w:rsid w:val="0055255C"/>
    <w:rsid w:val="00560965"/>
    <w:rsid w:val="005614A5"/>
    <w:rsid w:val="005643D1"/>
    <w:rsid w:val="00570AF8"/>
    <w:rsid w:val="00570B9C"/>
    <w:rsid w:val="0058077E"/>
    <w:rsid w:val="0058394E"/>
    <w:rsid w:val="00583B36"/>
    <w:rsid w:val="005853A5"/>
    <w:rsid w:val="00585EFB"/>
    <w:rsid w:val="00590285"/>
    <w:rsid w:val="00590B35"/>
    <w:rsid w:val="00591585"/>
    <w:rsid w:val="00592195"/>
    <w:rsid w:val="005934DF"/>
    <w:rsid w:val="005946E4"/>
    <w:rsid w:val="005950FE"/>
    <w:rsid w:val="005953E2"/>
    <w:rsid w:val="00595CBD"/>
    <w:rsid w:val="00595D7C"/>
    <w:rsid w:val="005B3CE0"/>
    <w:rsid w:val="005B57B5"/>
    <w:rsid w:val="005B6058"/>
    <w:rsid w:val="005D245E"/>
    <w:rsid w:val="005D4781"/>
    <w:rsid w:val="005D54F3"/>
    <w:rsid w:val="005E026C"/>
    <w:rsid w:val="005E27F7"/>
    <w:rsid w:val="005F0FFD"/>
    <w:rsid w:val="005F381F"/>
    <w:rsid w:val="005F5F11"/>
    <w:rsid w:val="00602613"/>
    <w:rsid w:val="00604F8C"/>
    <w:rsid w:val="006111C5"/>
    <w:rsid w:val="00616427"/>
    <w:rsid w:val="00616B4D"/>
    <w:rsid w:val="00627A0A"/>
    <w:rsid w:val="006300B1"/>
    <w:rsid w:val="006300E8"/>
    <w:rsid w:val="006302EB"/>
    <w:rsid w:val="006329E3"/>
    <w:rsid w:val="00633B80"/>
    <w:rsid w:val="00635C8D"/>
    <w:rsid w:val="00637C49"/>
    <w:rsid w:val="00640A4E"/>
    <w:rsid w:val="00642D19"/>
    <w:rsid w:val="00642FA2"/>
    <w:rsid w:val="00647C95"/>
    <w:rsid w:val="00650031"/>
    <w:rsid w:val="006545F9"/>
    <w:rsid w:val="00656844"/>
    <w:rsid w:val="006577AF"/>
    <w:rsid w:val="00660746"/>
    <w:rsid w:val="00661D93"/>
    <w:rsid w:val="00662971"/>
    <w:rsid w:val="0066338A"/>
    <w:rsid w:val="00664D3D"/>
    <w:rsid w:val="006707D6"/>
    <w:rsid w:val="0067292F"/>
    <w:rsid w:val="00673BAA"/>
    <w:rsid w:val="00680730"/>
    <w:rsid w:val="00682887"/>
    <w:rsid w:val="0068644A"/>
    <w:rsid w:val="006A34FE"/>
    <w:rsid w:val="006A682E"/>
    <w:rsid w:val="006B44A7"/>
    <w:rsid w:val="006B75F9"/>
    <w:rsid w:val="006C60DB"/>
    <w:rsid w:val="006D0B16"/>
    <w:rsid w:val="006D3CB8"/>
    <w:rsid w:val="006D53BB"/>
    <w:rsid w:val="006D5D71"/>
    <w:rsid w:val="006D7F0A"/>
    <w:rsid w:val="006E151D"/>
    <w:rsid w:val="006E3459"/>
    <w:rsid w:val="006E725D"/>
    <w:rsid w:val="006F1D5F"/>
    <w:rsid w:val="006F225B"/>
    <w:rsid w:val="00704625"/>
    <w:rsid w:val="00704A6F"/>
    <w:rsid w:val="007070BA"/>
    <w:rsid w:val="007129ED"/>
    <w:rsid w:val="00714ABD"/>
    <w:rsid w:val="00721A96"/>
    <w:rsid w:val="007231D4"/>
    <w:rsid w:val="00725D0F"/>
    <w:rsid w:val="00726486"/>
    <w:rsid w:val="00726631"/>
    <w:rsid w:val="00737188"/>
    <w:rsid w:val="00741615"/>
    <w:rsid w:val="00741797"/>
    <w:rsid w:val="00743B34"/>
    <w:rsid w:val="00743C43"/>
    <w:rsid w:val="0074717E"/>
    <w:rsid w:val="00750A08"/>
    <w:rsid w:val="007511CB"/>
    <w:rsid w:val="0075358C"/>
    <w:rsid w:val="00755D66"/>
    <w:rsid w:val="007568B8"/>
    <w:rsid w:val="00763B3A"/>
    <w:rsid w:val="007716E4"/>
    <w:rsid w:val="0077208A"/>
    <w:rsid w:val="007805FE"/>
    <w:rsid w:val="00782956"/>
    <w:rsid w:val="00783DA1"/>
    <w:rsid w:val="00790842"/>
    <w:rsid w:val="007A038C"/>
    <w:rsid w:val="007A3620"/>
    <w:rsid w:val="007A5378"/>
    <w:rsid w:val="007A5DDB"/>
    <w:rsid w:val="007B1145"/>
    <w:rsid w:val="007B1193"/>
    <w:rsid w:val="007B462D"/>
    <w:rsid w:val="007B477E"/>
    <w:rsid w:val="007C1C3F"/>
    <w:rsid w:val="007C26C4"/>
    <w:rsid w:val="007C3680"/>
    <w:rsid w:val="007C6438"/>
    <w:rsid w:val="007D2558"/>
    <w:rsid w:val="007D5FF3"/>
    <w:rsid w:val="007D67FD"/>
    <w:rsid w:val="007E27F9"/>
    <w:rsid w:val="007E5114"/>
    <w:rsid w:val="007E72E5"/>
    <w:rsid w:val="007F2225"/>
    <w:rsid w:val="00800AC3"/>
    <w:rsid w:val="0080588D"/>
    <w:rsid w:val="00822056"/>
    <w:rsid w:val="00823398"/>
    <w:rsid w:val="0083065E"/>
    <w:rsid w:val="00833D7C"/>
    <w:rsid w:val="0084105A"/>
    <w:rsid w:val="0084602F"/>
    <w:rsid w:val="00846BCC"/>
    <w:rsid w:val="008472CD"/>
    <w:rsid w:val="00847EBF"/>
    <w:rsid w:val="008502AD"/>
    <w:rsid w:val="00852A37"/>
    <w:rsid w:val="00852D84"/>
    <w:rsid w:val="00853FC6"/>
    <w:rsid w:val="00855A3B"/>
    <w:rsid w:val="00857126"/>
    <w:rsid w:val="008579D4"/>
    <w:rsid w:val="00865FF8"/>
    <w:rsid w:val="008663BD"/>
    <w:rsid w:val="0086648E"/>
    <w:rsid w:val="00870311"/>
    <w:rsid w:val="008710C5"/>
    <w:rsid w:val="00871EB5"/>
    <w:rsid w:val="008745A5"/>
    <w:rsid w:val="0087504A"/>
    <w:rsid w:val="0087556D"/>
    <w:rsid w:val="008762D5"/>
    <w:rsid w:val="0088211F"/>
    <w:rsid w:val="00883331"/>
    <w:rsid w:val="00883B5A"/>
    <w:rsid w:val="008856D8"/>
    <w:rsid w:val="00885ABB"/>
    <w:rsid w:val="0088760F"/>
    <w:rsid w:val="00887A77"/>
    <w:rsid w:val="00890807"/>
    <w:rsid w:val="00891881"/>
    <w:rsid w:val="008A459A"/>
    <w:rsid w:val="008D229D"/>
    <w:rsid w:val="008D3DFD"/>
    <w:rsid w:val="008E1915"/>
    <w:rsid w:val="008E19DE"/>
    <w:rsid w:val="008E1C8B"/>
    <w:rsid w:val="008E2D54"/>
    <w:rsid w:val="008E37E0"/>
    <w:rsid w:val="008E7542"/>
    <w:rsid w:val="008F17C5"/>
    <w:rsid w:val="008F1D09"/>
    <w:rsid w:val="008F463F"/>
    <w:rsid w:val="008F7F44"/>
    <w:rsid w:val="009023D2"/>
    <w:rsid w:val="00903DD0"/>
    <w:rsid w:val="00906FB3"/>
    <w:rsid w:val="0091340B"/>
    <w:rsid w:val="00920DCF"/>
    <w:rsid w:val="00927930"/>
    <w:rsid w:val="00927B6F"/>
    <w:rsid w:val="009309A7"/>
    <w:rsid w:val="00940BB4"/>
    <w:rsid w:val="009411FB"/>
    <w:rsid w:val="00945EE9"/>
    <w:rsid w:val="00950A5E"/>
    <w:rsid w:val="009528D6"/>
    <w:rsid w:val="00956FC3"/>
    <w:rsid w:val="00963D72"/>
    <w:rsid w:val="00967800"/>
    <w:rsid w:val="009703E3"/>
    <w:rsid w:val="00972C48"/>
    <w:rsid w:val="009733F3"/>
    <w:rsid w:val="00974A70"/>
    <w:rsid w:val="00975D78"/>
    <w:rsid w:val="00980185"/>
    <w:rsid w:val="009805BB"/>
    <w:rsid w:val="00982A42"/>
    <w:rsid w:val="00982C3C"/>
    <w:rsid w:val="00997597"/>
    <w:rsid w:val="009A2784"/>
    <w:rsid w:val="009A30CC"/>
    <w:rsid w:val="009A4625"/>
    <w:rsid w:val="009A6DAF"/>
    <w:rsid w:val="009B2BA4"/>
    <w:rsid w:val="009C1D42"/>
    <w:rsid w:val="009C2A43"/>
    <w:rsid w:val="009C4499"/>
    <w:rsid w:val="009C5985"/>
    <w:rsid w:val="009C6E5A"/>
    <w:rsid w:val="009D0A8B"/>
    <w:rsid w:val="009D225F"/>
    <w:rsid w:val="009D24E1"/>
    <w:rsid w:val="009D4FA0"/>
    <w:rsid w:val="009E0D1B"/>
    <w:rsid w:val="009E3781"/>
    <w:rsid w:val="009E68E0"/>
    <w:rsid w:val="009F4466"/>
    <w:rsid w:val="009F5D18"/>
    <w:rsid w:val="009F6013"/>
    <w:rsid w:val="00A00417"/>
    <w:rsid w:val="00A03D48"/>
    <w:rsid w:val="00A05DF7"/>
    <w:rsid w:val="00A0697E"/>
    <w:rsid w:val="00A116DC"/>
    <w:rsid w:val="00A14A52"/>
    <w:rsid w:val="00A21FF0"/>
    <w:rsid w:val="00A2712A"/>
    <w:rsid w:val="00A30AAF"/>
    <w:rsid w:val="00A3146F"/>
    <w:rsid w:val="00A35DDB"/>
    <w:rsid w:val="00A40DB0"/>
    <w:rsid w:val="00A54F71"/>
    <w:rsid w:val="00A554E0"/>
    <w:rsid w:val="00A57620"/>
    <w:rsid w:val="00A60D8A"/>
    <w:rsid w:val="00A61E16"/>
    <w:rsid w:val="00A656FA"/>
    <w:rsid w:val="00A65DBC"/>
    <w:rsid w:val="00A6640B"/>
    <w:rsid w:val="00A74765"/>
    <w:rsid w:val="00A810CF"/>
    <w:rsid w:val="00A813E9"/>
    <w:rsid w:val="00A8322F"/>
    <w:rsid w:val="00A85466"/>
    <w:rsid w:val="00A8636A"/>
    <w:rsid w:val="00A8751B"/>
    <w:rsid w:val="00A94763"/>
    <w:rsid w:val="00A95C5E"/>
    <w:rsid w:val="00A96EBF"/>
    <w:rsid w:val="00AA00B5"/>
    <w:rsid w:val="00AA19D6"/>
    <w:rsid w:val="00AA22E0"/>
    <w:rsid w:val="00AB00CB"/>
    <w:rsid w:val="00AB4D22"/>
    <w:rsid w:val="00AC0632"/>
    <w:rsid w:val="00AC0BAA"/>
    <w:rsid w:val="00AC3F20"/>
    <w:rsid w:val="00AD6A39"/>
    <w:rsid w:val="00AD6E42"/>
    <w:rsid w:val="00AE003B"/>
    <w:rsid w:val="00AE3FBC"/>
    <w:rsid w:val="00AF040C"/>
    <w:rsid w:val="00AF0C71"/>
    <w:rsid w:val="00AF2060"/>
    <w:rsid w:val="00AF6667"/>
    <w:rsid w:val="00AF76D2"/>
    <w:rsid w:val="00B01AFF"/>
    <w:rsid w:val="00B02B29"/>
    <w:rsid w:val="00B046F2"/>
    <w:rsid w:val="00B04DC9"/>
    <w:rsid w:val="00B10E4A"/>
    <w:rsid w:val="00B13FBA"/>
    <w:rsid w:val="00B15889"/>
    <w:rsid w:val="00B20310"/>
    <w:rsid w:val="00B2736E"/>
    <w:rsid w:val="00B33C96"/>
    <w:rsid w:val="00B37D18"/>
    <w:rsid w:val="00B40417"/>
    <w:rsid w:val="00B41F8A"/>
    <w:rsid w:val="00B56544"/>
    <w:rsid w:val="00B57AB0"/>
    <w:rsid w:val="00B60969"/>
    <w:rsid w:val="00B65309"/>
    <w:rsid w:val="00B72D26"/>
    <w:rsid w:val="00B77B86"/>
    <w:rsid w:val="00B8083F"/>
    <w:rsid w:val="00B827D8"/>
    <w:rsid w:val="00B856E3"/>
    <w:rsid w:val="00B85C27"/>
    <w:rsid w:val="00B9078B"/>
    <w:rsid w:val="00B91DC9"/>
    <w:rsid w:val="00B92FFD"/>
    <w:rsid w:val="00B9435C"/>
    <w:rsid w:val="00BA05D7"/>
    <w:rsid w:val="00BA2614"/>
    <w:rsid w:val="00BA3C5C"/>
    <w:rsid w:val="00BA5CA4"/>
    <w:rsid w:val="00BA61AF"/>
    <w:rsid w:val="00BA7171"/>
    <w:rsid w:val="00BA71CA"/>
    <w:rsid w:val="00BA7B92"/>
    <w:rsid w:val="00BB18FE"/>
    <w:rsid w:val="00BB2A5C"/>
    <w:rsid w:val="00BB5386"/>
    <w:rsid w:val="00BB5A68"/>
    <w:rsid w:val="00BC0C9D"/>
    <w:rsid w:val="00BC4293"/>
    <w:rsid w:val="00BD1F2D"/>
    <w:rsid w:val="00BD4747"/>
    <w:rsid w:val="00BD72AF"/>
    <w:rsid w:val="00BF16A2"/>
    <w:rsid w:val="00BF2FF4"/>
    <w:rsid w:val="00C0089B"/>
    <w:rsid w:val="00C0159C"/>
    <w:rsid w:val="00C06583"/>
    <w:rsid w:val="00C07FF8"/>
    <w:rsid w:val="00C110D7"/>
    <w:rsid w:val="00C13F13"/>
    <w:rsid w:val="00C14E85"/>
    <w:rsid w:val="00C2067D"/>
    <w:rsid w:val="00C22E4D"/>
    <w:rsid w:val="00C23A3F"/>
    <w:rsid w:val="00C240E5"/>
    <w:rsid w:val="00C24328"/>
    <w:rsid w:val="00C31C74"/>
    <w:rsid w:val="00C352C5"/>
    <w:rsid w:val="00C35827"/>
    <w:rsid w:val="00C3762F"/>
    <w:rsid w:val="00C50C21"/>
    <w:rsid w:val="00C53F68"/>
    <w:rsid w:val="00C548C4"/>
    <w:rsid w:val="00C61E8A"/>
    <w:rsid w:val="00C624C8"/>
    <w:rsid w:val="00C647F2"/>
    <w:rsid w:val="00C7491E"/>
    <w:rsid w:val="00C7791C"/>
    <w:rsid w:val="00C80B0C"/>
    <w:rsid w:val="00C819CC"/>
    <w:rsid w:val="00C8213F"/>
    <w:rsid w:val="00C82454"/>
    <w:rsid w:val="00C87C1B"/>
    <w:rsid w:val="00C9312D"/>
    <w:rsid w:val="00CA11C5"/>
    <w:rsid w:val="00CB2F8D"/>
    <w:rsid w:val="00CB32C6"/>
    <w:rsid w:val="00CB5B91"/>
    <w:rsid w:val="00CB65EB"/>
    <w:rsid w:val="00CB75C3"/>
    <w:rsid w:val="00CB7DBE"/>
    <w:rsid w:val="00CC1F91"/>
    <w:rsid w:val="00CD05B5"/>
    <w:rsid w:val="00CE2FC6"/>
    <w:rsid w:val="00CE57CF"/>
    <w:rsid w:val="00CE7F77"/>
    <w:rsid w:val="00CF3A1A"/>
    <w:rsid w:val="00D0607C"/>
    <w:rsid w:val="00D062DE"/>
    <w:rsid w:val="00D07635"/>
    <w:rsid w:val="00D10A2F"/>
    <w:rsid w:val="00D10D7E"/>
    <w:rsid w:val="00D11CA5"/>
    <w:rsid w:val="00D16209"/>
    <w:rsid w:val="00D20D0E"/>
    <w:rsid w:val="00D2742E"/>
    <w:rsid w:val="00D3199A"/>
    <w:rsid w:val="00D323C8"/>
    <w:rsid w:val="00D3265B"/>
    <w:rsid w:val="00D33198"/>
    <w:rsid w:val="00D34B1A"/>
    <w:rsid w:val="00D36373"/>
    <w:rsid w:val="00D4297C"/>
    <w:rsid w:val="00D460E9"/>
    <w:rsid w:val="00D46C27"/>
    <w:rsid w:val="00D477CB"/>
    <w:rsid w:val="00D67FB0"/>
    <w:rsid w:val="00D710D0"/>
    <w:rsid w:val="00D71BDC"/>
    <w:rsid w:val="00D754B7"/>
    <w:rsid w:val="00D76BF2"/>
    <w:rsid w:val="00D8232A"/>
    <w:rsid w:val="00D83203"/>
    <w:rsid w:val="00D84C29"/>
    <w:rsid w:val="00D8667A"/>
    <w:rsid w:val="00D90EA4"/>
    <w:rsid w:val="00D919C5"/>
    <w:rsid w:val="00DA0E5E"/>
    <w:rsid w:val="00DA4122"/>
    <w:rsid w:val="00DA5496"/>
    <w:rsid w:val="00DA618B"/>
    <w:rsid w:val="00DB266C"/>
    <w:rsid w:val="00DB2E1C"/>
    <w:rsid w:val="00DC0FBD"/>
    <w:rsid w:val="00DC41F3"/>
    <w:rsid w:val="00DC5C79"/>
    <w:rsid w:val="00DC774B"/>
    <w:rsid w:val="00DC7AC7"/>
    <w:rsid w:val="00DD6539"/>
    <w:rsid w:val="00DE0948"/>
    <w:rsid w:val="00DE7216"/>
    <w:rsid w:val="00DF3471"/>
    <w:rsid w:val="00E03920"/>
    <w:rsid w:val="00E1471D"/>
    <w:rsid w:val="00E15850"/>
    <w:rsid w:val="00E163B7"/>
    <w:rsid w:val="00E20072"/>
    <w:rsid w:val="00E23944"/>
    <w:rsid w:val="00E31DA2"/>
    <w:rsid w:val="00E33A35"/>
    <w:rsid w:val="00E33B1D"/>
    <w:rsid w:val="00E344BA"/>
    <w:rsid w:val="00E34FF8"/>
    <w:rsid w:val="00E370AB"/>
    <w:rsid w:val="00E422DE"/>
    <w:rsid w:val="00E552B1"/>
    <w:rsid w:val="00E57140"/>
    <w:rsid w:val="00E64CCE"/>
    <w:rsid w:val="00E65AC7"/>
    <w:rsid w:val="00E66CEF"/>
    <w:rsid w:val="00E7140B"/>
    <w:rsid w:val="00E7685D"/>
    <w:rsid w:val="00E800E2"/>
    <w:rsid w:val="00E8270A"/>
    <w:rsid w:val="00E850C5"/>
    <w:rsid w:val="00E867D9"/>
    <w:rsid w:val="00E91533"/>
    <w:rsid w:val="00E92B54"/>
    <w:rsid w:val="00E9377A"/>
    <w:rsid w:val="00E9463F"/>
    <w:rsid w:val="00E9617B"/>
    <w:rsid w:val="00EA2779"/>
    <w:rsid w:val="00EA6401"/>
    <w:rsid w:val="00EB157D"/>
    <w:rsid w:val="00EB2107"/>
    <w:rsid w:val="00EB231B"/>
    <w:rsid w:val="00EB2D08"/>
    <w:rsid w:val="00EB7452"/>
    <w:rsid w:val="00EC2991"/>
    <w:rsid w:val="00EC41CF"/>
    <w:rsid w:val="00EC52A0"/>
    <w:rsid w:val="00ED37BD"/>
    <w:rsid w:val="00ED7A63"/>
    <w:rsid w:val="00EE69F4"/>
    <w:rsid w:val="00EF0DE9"/>
    <w:rsid w:val="00EF60F2"/>
    <w:rsid w:val="00F02AA7"/>
    <w:rsid w:val="00F037F4"/>
    <w:rsid w:val="00F04817"/>
    <w:rsid w:val="00F111A4"/>
    <w:rsid w:val="00F12087"/>
    <w:rsid w:val="00F232E6"/>
    <w:rsid w:val="00F31479"/>
    <w:rsid w:val="00F353E3"/>
    <w:rsid w:val="00F36CB4"/>
    <w:rsid w:val="00F42785"/>
    <w:rsid w:val="00F451A3"/>
    <w:rsid w:val="00F50F80"/>
    <w:rsid w:val="00F520FA"/>
    <w:rsid w:val="00F552AB"/>
    <w:rsid w:val="00F56F74"/>
    <w:rsid w:val="00F656DD"/>
    <w:rsid w:val="00F67D22"/>
    <w:rsid w:val="00F77771"/>
    <w:rsid w:val="00F801B0"/>
    <w:rsid w:val="00F81ECC"/>
    <w:rsid w:val="00F84990"/>
    <w:rsid w:val="00F85940"/>
    <w:rsid w:val="00F85ED8"/>
    <w:rsid w:val="00F8745D"/>
    <w:rsid w:val="00F87FDB"/>
    <w:rsid w:val="00F9042C"/>
    <w:rsid w:val="00F906E2"/>
    <w:rsid w:val="00F90815"/>
    <w:rsid w:val="00F93188"/>
    <w:rsid w:val="00F938E5"/>
    <w:rsid w:val="00F96161"/>
    <w:rsid w:val="00FA16FC"/>
    <w:rsid w:val="00FA2591"/>
    <w:rsid w:val="00FA2939"/>
    <w:rsid w:val="00FA6079"/>
    <w:rsid w:val="00FB0066"/>
    <w:rsid w:val="00FB00F3"/>
    <w:rsid w:val="00FB0CF0"/>
    <w:rsid w:val="00FB0F72"/>
    <w:rsid w:val="00FB1738"/>
    <w:rsid w:val="00FB2D04"/>
    <w:rsid w:val="00FB3FA2"/>
    <w:rsid w:val="00FC1CC6"/>
    <w:rsid w:val="00FC7E83"/>
    <w:rsid w:val="00FD03C9"/>
    <w:rsid w:val="00FD294D"/>
    <w:rsid w:val="00FE0199"/>
    <w:rsid w:val="00FE19C5"/>
    <w:rsid w:val="00FE41A4"/>
    <w:rsid w:val="00FE672C"/>
    <w:rsid w:val="00FF009F"/>
    <w:rsid w:val="019A26C3"/>
    <w:rsid w:val="0E63C74A"/>
    <w:rsid w:val="2CFC8D20"/>
    <w:rsid w:val="349D358F"/>
    <w:rsid w:val="3BF98472"/>
    <w:rsid w:val="465309B6"/>
    <w:rsid w:val="47A27CDA"/>
    <w:rsid w:val="4B7F83D9"/>
    <w:rsid w:val="4C7F1B28"/>
    <w:rsid w:val="500B93CA"/>
    <w:rsid w:val="5DF2F887"/>
    <w:rsid w:val="6179FDD2"/>
    <w:rsid w:val="6348C9D4"/>
    <w:rsid w:val="6662BB29"/>
    <w:rsid w:val="6D2C51E3"/>
    <w:rsid w:val="6E59FE3F"/>
    <w:rsid w:val="719CA802"/>
    <w:rsid w:val="75BFC0A6"/>
    <w:rsid w:val="7C3C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33BAF"/>
  <w15:docId w15:val="{4BCB78C5-E9BE-42EE-A74A-CCDF612A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3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5E7"/>
  </w:style>
  <w:style w:type="paragraph" w:styleId="Nagwek1">
    <w:name w:val="heading 1"/>
    <w:basedOn w:val="Normalny"/>
    <w:next w:val="Normalny"/>
    <w:link w:val="Nagwek1Znak"/>
    <w:uiPriority w:val="9"/>
    <w:qFormat/>
    <w:rsid w:val="00A525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639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4D35E7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5E7"/>
  </w:style>
  <w:style w:type="paragraph" w:styleId="Stopka">
    <w:name w:val="footer"/>
    <w:basedOn w:val="Normalny"/>
    <w:link w:val="StopkaZnak"/>
    <w:uiPriority w:val="99"/>
    <w:unhideWhenUsed/>
    <w:rsid w:val="004D35E7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5E7"/>
  </w:style>
  <w:style w:type="paragraph" w:styleId="Akapitzlist">
    <w:name w:val="List Paragraph"/>
    <w:basedOn w:val="Normalny"/>
    <w:link w:val="AkapitzlistZnak"/>
    <w:uiPriority w:val="34"/>
    <w:qFormat/>
    <w:rsid w:val="004D35E7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Normalny"/>
    <w:rsid w:val="004D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6394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0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05E"/>
    <w:rPr>
      <w:rFonts w:ascii="Tahoma" w:hAnsi="Tahoma" w:cs="Tahoma"/>
      <w:sz w:val="16"/>
      <w:szCs w:val="16"/>
      <w:lang w:val="de-DE"/>
    </w:rPr>
  </w:style>
  <w:style w:type="character" w:customStyle="1" w:styleId="AkapitzlistZnak">
    <w:name w:val="Akapit z listą Znak"/>
    <w:link w:val="Akapitzlist"/>
    <w:uiPriority w:val="34"/>
    <w:rsid w:val="000D27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6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61B8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09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09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093E"/>
    <w:rPr>
      <w:sz w:val="20"/>
      <w:szCs w:val="20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09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093E"/>
    <w:rPr>
      <w:b/>
      <w:bCs/>
      <w:sz w:val="20"/>
      <w:szCs w:val="20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3E9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3E92"/>
    <w:rPr>
      <w:sz w:val="20"/>
      <w:szCs w:val="20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3E92"/>
    <w:rPr>
      <w:vertAlign w:val="superscript"/>
    </w:rPr>
  </w:style>
  <w:style w:type="paragraph" w:styleId="Poprawka">
    <w:name w:val="Revision"/>
    <w:hidden/>
    <w:uiPriority w:val="99"/>
    <w:semiHidden/>
    <w:rsid w:val="0017261B"/>
    <w:pPr>
      <w:spacing w:line="240" w:lineRule="auto"/>
    </w:pPr>
    <w:rPr>
      <w:lang w:val="de-DE"/>
    </w:rPr>
  </w:style>
  <w:style w:type="character" w:styleId="Hipercze">
    <w:name w:val="Hyperlink"/>
    <w:basedOn w:val="Domylnaczcionkaakapitu"/>
    <w:uiPriority w:val="99"/>
    <w:unhideWhenUsed/>
    <w:rsid w:val="00F81F0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1F02"/>
    <w:rPr>
      <w:color w:val="605E5C"/>
      <w:shd w:val="clear" w:color="auto" w:fill="E1DFDD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B0AE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525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character" w:styleId="UyteHipercze">
    <w:name w:val="FollowedHyperlink"/>
    <w:basedOn w:val="Domylnaczcionkaakapitu"/>
    <w:uiPriority w:val="99"/>
    <w:semiHidden/>
    <w:unhideWhenUsed/>
    <w:rsid w:val="002D6CA8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F963A8"/>
    <w:rPr>
      <w:b/>
      <w:bCs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msolistparagraph">
    <w:name w:val="x_msolistparagraph"/>
    <w:basedOn w:val="Normalny"/>
    <w:rsid w:val="00F11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25D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04F8C"/>
    <w:rPr>
      <w:rFonts w:ascii="Segoe UI" w:hAnsi="Segoe UI" w:cs="Segoe UI" w:hint="default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D37BD"/>
    <w:pPr>
      <w:spacing w:line="240" w:lineRule="auto"/>
    </w:pPr>
    <w:rPr>
      <w:rFonts w:eastAsiaTheme="minorHAnsi" w:cstheme="minorBidi"/>
      <w:kern w:val="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D37BD"/>
    <w:rPr>
      <w:rFonts w:eastAsiaTheme="minorHAnsi" w:cstheme="minorBidi"/>
      <w:kern w:val="2"/>
      <w:szCs w:val="21"/>
      <w:lang w:eastAsia="en-US"/>
      <w14:ligatures w14:val="standardContextual"/>
    </w:rPr>
  </w:style>
  <w:style w:type="character" w:customStyle="1" w:styleId="ui-provider">
    <w:name w:val="ui-provider"/>
    <w:basedOn w:val="Domylnaczcionkaakapitu"/>
    <w:rsid w:val="00D710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4C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4C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4CCD"/>
    <w:rPr>
      <w:vertAlign w:val="superscript"/>
    </w:rPr>
  </w:style>
  <w:style w:type="table" w:customStyle="1" w:styleId="TableNormal1">
    <w:name w:val="Table Normal1"/>
    <w:rsid w:val="00BA5CA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4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iuro.prasowe@eon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d4d3f-de7d-41d3-a24e-fad2a4ae4921">
      <Terms xmlns="http://schemas.microsoft.com/office/infopath/2007/PartnerControls"/>
    </lcf76f155ced4ddcb4097134ff3c332f>
    <TaxCatchAll xmlns="eb585914-d546-41d5-863f-24e9809e723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DB95D3A81CC4B9D0A6E3C8F3AB5D0" ma:contentTypeVersion="15" ma:contentTypeDescription="Create a new document." ma:contentTypeScope="" ma:versionID="59d7d46e0db391735d02a58fba4e5bca">
  <xsd:schema xmlns:xsd="http://www.w3.org/2001/XMLSchema" xmlns:xs="http://www.w3.org/2001/XMLSchema" xmlns:p="http://schemas.microsoft.com/office/2006/metadata/properties" xmlns:ns2="af4d4d3f-de7d-41d3-a24e-fad2a4ae4921" xmlns:ns3="eb585914-d546-41d5-863f-24e9809e7239" targetNamespace="http://schemas.microsoft.com/office/2006/metadata/properties" ma:root="true" ma:fieldsID="81c1de184be33cd88afe07bc6e9e5f53" ns2:_="" ns3:_="">
    <xsd:import namespace="af4d4d3f-de7d-41d3-a24e-fad2a4ae4921"/>
    <xsd:import namespace="eb585914-d546-41d5-863f-24e9809e7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4d3f-de7d-41d3-a24e-fad2a4ae4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5914-d546-41d5-863f-24e9809e72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15ab87-a3c6-4158-8867-36bbac7f67c9}" ma:internalName="TaxCatchAll" ma:showField="CatchAllData" ma:web="eb585914-d546-41d5-863f-24e9809e7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6pm8bTsafgtvAyy3hXnqPlJSwA==">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</go:docsCustomData>
</go:gDocsCustomXmlDataStorage>
</file>

<file path=customXml/itemProps1.xml><?xml version="1.0" encoding="utf-8"?>
<ds:datastoreItem xmlns:ds="http://schemas.openxmlformats.org/officeDocument/2006/customXml" ds:itemID="{210A03CB-E5DF-420D-8AD7-1AF953EEC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D444E-86F2-455B-9D85-8CAB17AC65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04BF4-2AFC-4E00-B8B6-60B526201D03}">
  <ds:schemaRefs>
    <ds:schemaRef ds:uri="http://schemas.microsoft.com/office/2006/metadata/properties"/>
    <ds:schemaRef ds:uri="http://schemas.microsoft.com/office/infopath/2007/PartnerControls"/>
    <ds:schemaRef ds:uri="af4d4d3f-de7d-41d3-a24e-fad2a4ae4921"/>
    <ds:schemaRef ds:uri="eb585914-d546-41d5-863f-24e9809e7239"/>
  </ds:schemaRefs>
</ds:datastoreItem>
</file>

<file path=customXml/itemProps4.xml><?xml version="1.0" encoding="utf-8"?>
<ds:datastoreItem xmlns:ds="http://schemas.openxmlformats.org/officeDocument/2006/customXml" ds:itemID="{B437CBE6-94A7-44BA-8345-58E7A62BC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d4d3f-de7d-41d3-a24e-fad2a4ae4921"/>
    <ds:schemaRef ds:uri="eb585914-d546-41d5-863f-24e9809e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641</Words>
  <Characters>4110</Characters>
  <Application>Microsoft Office Word</Application>
  <DocSecurity>0</DocSecurity>
  <Lines>72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Blados, Paweł</dc:creator>
  <cp:keywords/>
  <cp:lastModifiedBy>Roza Lorenc</cp:lastModifiedBy>
  <cp:revision>11</cp:revision>
  <dcterms:created xsi:type="dcterms:W3CDTF">2025-08-18T09:14:00Z</dcterms:created>
  <dcterms:modified xsi:type="dcterms:W3CDTF">2026-01-19T07:40:00Z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43b072f0-0f82-4aac-be1e-8abeffc32f66">
    <vt:bool>false</vt:bool>
  </property>
  <property fmtid="{D5CDD505-2E9C-101B-9397-08002B2CF9AE}" pid="4" name="ContentTypeId">
    <vt:lpwstr>0x01010052EDB95D3A81CC4B9D0A6E3C8F3AB5D0</vt:lpwstr>
  </property>
</Properties>
</file>