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2CDE6" w14:textId="6F08C0B9" w:rsidR="004D23DD" w:rsidRPr="004D23DD" w:rsidRDefault="004D23DD" w:rsidP="004D23DD">
      <w:pPr>
        <w:spacing w:before="0" w:after="0"/>
        <w:jc w:val="right"/>
        <w:rPr>
          <w:rFonts w:ascii="Intrum Sans" w:eastAsia="Calibri" w:hAnsi="Intrum Sans" w:cs="Times New Roman"/>
          <w:sz w:val="20"/>
          <w:szCs w:val="20"/>
          <w:lang w:val="pl-PL" w:eastAsia="en-US"/>
        </w:rPr>
      </w:pPr>
      <w:r w:rsidRPr="00CC2CD7">
        <w:rPr>
          <w:rFonts w:ascii="Intrum Sans" w:eastAsia="Calibri" w:hAnsi="Intrum Sans" w:cs="Times New Roman"/>
          <w:sz w:val="20"/>
          <w:szCs w:val="20"/>
          <w:lang w:val="pl-PL" w:eastAsia="en-US"/>
        </w:rPr>
        <w:t xml:space="preserve">Materiał prasowy, </w:t>
      </w:r>
      <w:r w:rsidR="0094116F">
        <w:rPr>
          <w:rFonts w:ascii="Intrum Sans" w:eastAsia="Calibri" w:hAnsi="Intrum Sans" w:cs="Times New Roman"/>
          <w:sz w:val="20"/>
          <w:szCs w:val="20"/>
          <w:lang w:val="pl-PL" w:eastAsia="en-US"/>
        </w:rPr>
        <w:t>19</w:t>
      </w:r>
      <w:r w:rsidRPr="004D23DD">
        <w:rPr>
          <w:rFonts w:ascii="Intrum Sans" w:eastAsia="Calibri" w:hAnsi="Intrum Sans" w:cs="Times New Roman"/>
          <w:sz w:val="20"/>
          <w:szCs w:val="20"/>
          <w:lang w:val="pl-PL" w:eastAsia="en-US"/>
        </w:rPr>
        <w:t>.</w:t>
      </w:r>
      <w:r w:rsidR="00B43596">
        <w:rPr>
          <w:rFonts w:ascii="Intrum Sans" w:eastAsia="Calibri" w:hAnsi="Intrum Sans" w:cs="Times New Roman"/>
          <w:sz w:val="20"/>
          <w:szCs w:val="20"/>
          <w:lang w:val="pl-PL" w:eastAsia="en-US"/>
        </w:rPr>
        <w:t>01</w:t>
      </w:r>
      <w:r w:rsidRPr="004D23DD">
        <w:rPr>
          <w:rFonts w:ascii="Intrum Sans" w:eastAsia="Calibri" w:hAnsi="Intrum Sans" w:cs="Times New Roman"/>
          <w:sz w:val="20"/>
          <w:szCs w:val="20"/>
          <w:lang w:val="pl-PL" w:eastAsia="en-US"/>
        </w:rPr>
        <w:t>.202</w:t>
      </w:r>
      <w:r w:rsidR="00B43596">
        <w:rPr>
          <w:rFonts w:ascii="Intrum Sans" w:eastAsia="Calibri" w:hAnsi="Intrum Sans" w:cs="Times New Roman"/>
          <w:sz w:val="20"/>
          <w:szCs w:val="20"/>
          <w:lang w:val="pl-PL" w:eastAsia="en-US"/>
        </w:rPr>
        <w:t>6</w:t>
      </w:r>
    </w:p>
    <w:p w14:paraId="0FF97D48" w14:textId="77777777" w:rsidR="004D23DD" w:rsidRPr="004D23DD" w:rsidRDefault="004D23DD" w:rsidP="004D23DD">
      <w:pPr>
        <w:spacing w:before="0" w:after="0"/>
        <w:jc w:val="right"/>
        <w:rPr>
          <w:rFonts w:ascii="Intrum Sans" w:eastAsia="Calibri" w:hAnsi="Intrum Sans" w:cs="Times New Roman"/>
          <w:sz w:val="20"/>
          <w:szCs w:val="20"/>
          <w:lang w:val="pl-PL" w:eastAsia="en-US"/>
        </w:rPr>
      </w:pPr>
    </w:p>
    <w:p w14:paraId="223CFFF5" w14:textId="77777777" w:rsidR="00B43596" w:rsidRPr="00B43596" w:rsidRDefault="00B43596" w:rsidP="00B43596">
      <w:pPr>
        <w:keepNext/>
        <w:keepLines/>
        <w:spacing w:before="0" w:after="60"/>
        <w:jc w:val="left"/>
        <w:rPr>
          <w:rFonts w:ascii="Intrum Sans" w:hAnsi="Intrum Sans"/>
          <w:b/>
          <w:bCs/>
          <w:sz w:val="18"/>
          <w:szCs w:val="18"/>
        </w:rPr>
      </w:pPr>
      <w:bookmarkStart w:id="0" w:name="_jmk1djhygp4t" w:colFirst="0" w:colLast="0"/>
      <w:bookmarkEnd w:id="0"/>
      <w:r w:rsidRPr="00B43596">
        <w:rPr>
          <w:rFonts w:ascii="Intrum Sans" w:hAnsi="Intrum Sans"/>
          <w:b/>
          <w:bCs/>
          <w:sz w:val="18"/>
          <w:szCs w:val="18"/>
        </w:rPr>
        <w:t>Sytuacja finansowa seniorów. Z jakimi wyzwaniami mierzą się nasi dziadkowie?</w:t>
      </w:r>
    </w:p>
    <w:p w14:paraId="19342C47" w14:textId="77777777" w:rsidR="00B43596" w:rsidRPr="00B43596" w:rsidRDefault="00B43596" w:rsidP="00B43596">
      <w:pPr>
        <w:spacing w:before="0" w:after="0"/>
        <w:jc w:val="left"/>
        <w:rPr>
          <w:rFonts w:ascii="Intrum Sans" w:hAnsi="Intrum Sans"/>
          <w:b/>
          <w:bCs/>
          <w:sz w:val="18"/>
          <w:szCs w:val="18"/>
          <w:highlight w:val="white"/>
        </w:rPr>
      </w:pPr>
      <w:r w:rsidRPr="00B43596">
        <w:rPr>
          <w:rFonts w:ascii="Intrum Sans" w:hAnsi="Intrum Sans"/>
          <w:b/>
          <w:bCs/>
          <w:sz w:val="18"/>
          <w:szCs w:val="18"/>
        </w:rPr>
        <w:t xml:space="preserve">Dzień Babci i Dziadka to dobra okazja, aby przyjrzeć się sytuacji finansowej seniorów. Rosnące koszty życia coraz częściej rozmijają się z wysokością świadczeń emerytalnych, co sprawia, że stabilność finansowa tej grupy bywa krucha. Potwierdzają to dane z najnowszego raportu Intrum European Consumer Payment Report 2025. 38 proc. przedstawicieli pokolenia boomers, czyli osób w wieku 62-80 lat deklaruje, że roczny dochód ich gospodarstwa domowego znajduje się poniżej średniej. Mimo ograniczonych możliwości finansowych pozostają oni jednak wyjątkowo zdyscyplinowani płatniczo: rachunki traktują priorytetowo i zadłużają się w ostateczności. </w:t>
      </w:r>
    </w:p>
    <w:p w14:paraId="01936435" w14:textId="77777777" w:rsidR="00B43596" w:rsidRPr="00B43596" w:rsidRDefault="00B43596" w:rsidP="00B43596">
      <w:pPr>
        <w:keepNext/>
        <w:keepLines/>
        <w:spacing w:before="360" w:after="120"/>
        <w:jc w:val="left"/>
        <w:outlineLvl w:val="1"/>
        <w:rPr>
          <w:rFonts w:ascii="Intrum Sans" w:hAnsi="Intrum Sans"/>
          <w:b/>
          <w:bCs/>
          <w:sz w:val="18"/>
          <w:szCs w:val="18"/>
          <w:highlight w:val="white"/>
        </w:rPr>
      </w:pPr>
      <w:bookmarkStart w:id="1" w:name="_lshbhk1bx7i2" w:colFirst="0" w:colLast="0"/>
      <w:bookmarkEnd w:id="1"/>
      <w:r w:rsidRPr="00B43596">
        <w:rPr>
          <w:rFonts w:ascii="Intrum Sans" w:hAnsi="Intrum Sans"/>
          <w:b/>
          <w:bCs/>
          <w:sz w:val="18"/>
          <w:szCs w:val="18"/>
          <w:highlight w:val="white"/>
        </w:rPr>
        <w:t>Seniorzy w realiach polskich dochodów</w:t>
      </w:r>
    </w:p>
    <w:p w14:paraId="0E77F284"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lang w:val="pl-PL"/>
        </w:rPr>
        <w:t>Według ostatnich danych ZUS, przeciętna emerytura w Polsce od stycznia do października 2025 r. wyniosła 4 167,48 zł netto</w:t>
      </w:r>
      <w:r w:rsidRPr="00B43596">
        <w:rPr>
          <w:rFonts w:ascii="Intrum Sans" w:hAnsi="Intrum Sans"/>
          <w:b/>
          <w:bCs/>
          <w:sz w:val="18"/>
          <w:szCs w:val="18"/>
          <w:highlight w:val="white"/>
          <w:vertAlign w:val="superscript"/>
        </w:rPr>
        <w:footnoteReference w:id="1"/>
      </w:r>
      <w:r w:rsidRPr="00B43596">
        <w:rPr>
          <w:rFonts w:ascii="Intrum Sans" w:hAnsi="Intrum Sans"/>
          <w:sz w:val="18"/>
          <w:szCs w:val="18"/>
          <w:highlight w:val="white"/>
          <w:lang w:val="pl-PL"/>
        </w:rPr>
        <w:t>. Jednocześnie gospodarstwa domowe seniorów przeznaczają znaczną część swojego budżetu (blisko połowę) na podstawowe wydatki, takie jak mieszkanie, energia czy żywność</w:t>
      </w:r>
      <w:r w:rsidRPr="00B43596">
        <w:rPr>
          <w:rFonts w:ascii="Intrum Sans" w:hAnsi="Intrum Sans"/>
          <w:sz w:val="18"/>
          <w:szCs w:val="18"/>
          <w:highlight w:val="white"/>
          <w:vertAlign w:val="superscript"/>
        </w:rPr>
        <w:footnoteReference w:id="2"/>
      </w:r>
      <w:r w:rsidRPr="00B43596">
        <w:rPr>
          <w:rFonts w:ascii="Intrum Sans" w:hAnsi="Intrum Sans"/>
          <w:sz w:val="18"/>
          <w:szCs w:val="18"/>
          <w:highlight w:val="white"/>
          <w:lang w:val="pl-PL"/>
        </w:rPr>
        <w:t xml:space="preserve">. Trzeba jednak pamiętać, że kwota ta jest średnią – rzeczywiście tak wysoką lub wyższą emeryturę otrzymuje tylko część seniorów, np. osoby z górnictwa czy innych branż z dodatkowymi uprawnieniami, podczas gdy większość emerytów dysponuje znacznie mniejszymi świadczeniami. </w:t>
      </w:r>
    </w:p>
    <w:p w14:paraId="2A9F5A58" w14:textId="280601B1" w:rsidR="00B43596" w:rsidRPr="00B43596" w:rsidRDefault="00B43596" w:rsidP="00B43596">
      <w:pPr>
        <w:keepNext/>
        <w:keepLines/>
        <w:spacing w:before="360" w:after="120"/>
        <w:jc w:val="left"/>
        <w:outlineLvl w:val="1"/>
        <w:rPr>
          <w:rFonts w:ascii="Intrum Sans" w:hAnsi="Intrum Sans"/>
          <w:sz w:val="18"/>
          <w:szCs w:val="18"/>
          <w:highlight w:val="white"/>
        </w:rPr>
      </w:pPr>
      <w:r w:rsidRPr="00B43596">
        <w:rPr>
          <w:rFonts w:ascii="Intrum Sans" w:hAnsi="Intrum Sans"/>
          <w:sz w:val="18"/>
          <w:szCs w:val="18"/>
          <w:highlight w:val="white"/>
        </w:rPr>
        <w:t>–</w:t>
      </w:r>
      <w:r w:rsidRPr="00B43596">
        <w:rPr>
          <w:rFonts w:ascii="Intrum Sans" w:hAnsi="Intrum Sans"/>
          <w:i/>
          <w:iCs/>
          <w:sz w:val="18"/>
          <w:szCs w:val="18"/>
          <w:highlight w:val="white"/>
        </w:rPr>
        <w:t xml:space="preserve">O ile seniorzy nie muszą się martwić o regularny przypływ gotówki, o tyle wysokość ich emerytur sprawia, że często nie mogą pozwolić sobie na nic więcej niż zaspokojenie podstawowych potrzeb </w:t>
      </w:r>
      <w:r w:rsidRPr="00B43596">
        <w:rPr>
          <w:rFonts w:ascii="Intrum Sans" w:hAnsi="Intrum Sans"/>
          <w:sz w:val="18"/>
          <w:szCs w:val="18"/>
          <w:highlight w:val="white"/>
        </w:rPr>
        <w:t xml:space="preserve">– </w:t>
      </w:r>
      <w:r w:rsidRPr="00B43596">
        <w:rPr>
          <w:rFonts w:ascii="Intrum Sans" w:hAnsi="Intrum Sans"/>
          <w:b/>
          <w:bCs/>
          <w:sz w:val="18"/>
          <w:szCs w:val="18"/>
          <w:highlight w:val="white"/>
        </w:rPr>
        <w:t xml:space="preserve">podkreśla </w:t>
      </w:r>
      <w:r w:rsidR="006E3AE4">
        <w:rPr>
          <w:rFonts w:ascii="Intrum Sans" w:hAnsi="Intrum Sans"/>
          <w:b/>
          <w:bCs/>
          <w:sz w:val="18"/>
          <w:szCs w:val="18"/>
          <w:highlight w:val="white"/>
        </w:rPr>
        <w:t>Barbara Sajewicz</w:t>
      </w:r>
      <w:r w:rsidRPr="00B43596">
        <w:rPr>
          <w:rFonts w:ascii="Intrum Sans" w:hAnsi="Intrum Sans"/>
          <w:b/>
          <w:bCs/>
          <w:sz w:val="18"/>
          <w:szCs w:val="18"/>
          <w:highlight w:val="white"/>
        </w:rPr>
        <w:t>, ekspert</w:t>
      </w:r>
      <w:r w:rsidR="006E3AE4">
        <w:rPr>
          <w:rFonts w:ascii="Intrum Sans" w:hAnsi="Intrum Sans"/>
          <w:b/>
          <w:bCs/>
          <w:sz w:val="18"/>
          <w:szCs w:val="18"/>
          <w:highlight w:val="white"/>
        </w:rPr>
        <w:t>ka</w:t>
      </w:r>
      <w:r w:rsidRPr="00B43596">
        <w:rPr>
          <w:rFonts w:ascii="Intrum Sans" w:hAnsi="Intrum Sans"/>
          <w:b/>
          <w:bCs/>
          <w:sz w:val="18"/>
          <w:szCs w:val="18"/>
          <w:highlight w:val="white"/>
        </w:rPr>
        <w:t xml:space="preserve"> Intrum</w:t>
      </w:r>
      <w:r w:rsidRPr="00B43596">
        <w:rPr>
          <w:rFonts w:ascii="Intrum Sans" w:hAnsi="Intrum Sans"/>
          <w:sz w:val="18"/>
          <w:szCs w:val="18"/>
          <w:highlight w:val="white"/>
        </w:rPr>
        <w:t xml:space="preserve">. – </w:t>
      </w:r>
      <w:r w:rsidRPr="00B43596">
        <w:rPr>
          <w:rFonts w:ascii="Intrum Sans" w:hAnsi="Intrum Sans"/>
          <w:i/>
          <w:iCs/>
          <w:sz w:val="18"/>
          <w:szCs w:val="18"/>
          <w:highlight w:val="white"/>
        </w:rPr>
        <w:t>Warto jednak zwrócić uwagę na seniorską odpowiedzialność, zarówno pod względem terminowości opłat, jak wygospodarowania środków na zaspokojenie potrzeb rodziny</w:t>
      </w:r>
      <w:r w:rsidRPr="00B43596">
        <w:rPr>
          <w:rFonts w:ascii="Intrum Sans" w:hAnsi="Intrum Sans"/>
          <w:i/>
          <w:iCs/>
          <w:sz w:val="18"/>
          <w:szCs w:val="18"/>
        </w:rPr>
        <w:t>.</w:t>
      </w:r>
      <w:r w:rsidRPr="00B43596">
        <w:rPr>
          <w:rFonts w:ascii="Intrum Sans" w:hAnsi="Intrum Sans"/>
          <w:sz w:val="18"/>
          <w:szCs w:val="18"/>
        </w:rPr>
        <w:t xml:space="preserve"> </w:t>
      </w:r>
      <w:r w:rsidRPr="00B43596">
        <w:rPr>
          <w:rFonts w:ascii="Intrum Sans" w:hAnsi="Intrum Sans"/>
          <w:i/>
          <w:iCs/>
          <w:sz w:val="18"/>
          <w:szCs w:val="18"/>
          <w:highlight w:val="white"/>
        </w:rPr>
        <w:t xml:space="preserve">W tym kontekście dane z raportu Intrum ECPR 2025 pozwalają lepiej zrozumieć, jak seniorzy radzą sobie z codziennymi finansami i gdzie przebiega granica ich stabilności </w:t>
      </w:r>
      <w:r w:rsidRPr="00B43596">
        <w:rPr>
          <w:rFonts w:ascii="Intrum Sans" w:hAnsi="Intrum Sans"/>
          <w:sz w:val="18"/>
          <w:szCs w:val="18"/>
          <w:highlight w:val="white"/>
        </w:rPr>
        <w:t xml:space="preserve">– </w:t>
      </w:r>
      <w:r w:rsidRPr="00B43596">
        <w:rPr>
          <w:rFonts w:ascii="Intrum Sans" w:hAnsi="Intrum Sans"/>
          <w:b/>
          <w:bCs/>
          <w:sz w:val="18"/>
          <w:szCs w:val="18"/>
          <w:highlight w:val="white"/>
        </w:rPr>
        <w:t>dodaje</w:t>
      </w:r>
      <w:bookmarkStart w:id="2" w:name="_t1nbbms2lag" w:colFirst="0" w:colLast="0"/>
      <w:bookmarkEnd w:id="2"/>
      <w:r w:rsidR="009315A1" w:rsidRPr="009315A1">
        <w:rPr>
          <w:rFonts w:ascii="Intrum Sans" w:hAnsi="Intrum Sans"/>
          <w:b/>
          <w:bCs/>
          <w:sz w:val="18"/>
          <w:szCs w:val="18"/>
          <w:highlight w:val="white"/>
        </w:rPr>
        <w:t xml:space="preserve"> </w:t>
      </w:r>
      <w:r w:rsidR="006E3AE4">
        <w:rPr>
          <w:rFonts w:ascii="Intrum Sans" w:hAnsi="Intrum Sans"/>
          <w:b/>
          <w:bCs/>
          <w:sz w:val="18"/>
          <w:szCs w:val="18"/>
          <w:highlight w:val="white"/>
        </w:rPr>
        <w:t>Barbara Sajewicz</w:t>
      </w:r>
      <w:r w:rsidR="009315A1" w:rsidRPr="009315A1">
        <w:rPr>
          <w:rFonts w:ascii="Intrum Sans" w:hAnsi="Intrum Sans"/>
          <w:b/>
          <w:bCs/>
          <w:sz w:val="18"/>
          <w:szCs w:val="18"/>
          <w:highlight w:val="white"/>
        </w:rPr>
        <w:t>, ekspert</w:t>
      </w:r>
      <w:r w:rsidR="006E3AE4">
        <w:rPr>
          <w:rFonts w:ascii="Intrum Sans" w:hAnsi="Intrum Sans"/>
          <w:b/>
          <w:bCs/>
          <w:sz w:val="18"/>
          <w:szCs w:val="18"/>
          <w:highlight w:val="white"/>
        </w:rPr>
        <w:t>ka</w:t>
      </w:r>
      <w:r w:rsidR="009315A1" w:rsidRPr="009315A1">
        <w:rPr>
          <w:rFonts w:ascii="Intrum Sans" w:hAnsi="Intrum Sans"/>
          <w:b/>
          <w:bCs/>
          <w:sz w:val="18"/>
          <w:szCs w:val="18"/>
          <w:highlight w:val="white"/>
        </w:rPr>
        <w:t xml:space="preserve"> Intrum</w:t>
      </w:r>
    </w:p>
    <w:p w14:paraId="3E599D46" w14:textId="77777777" w:rsidR="00B43596" w:rsidRPr="00B43596" w:rsidRDefault="00B43596" w:rsidP="00B43596">
      <w:pPr>
        <w:keepNext/>
        <w:keepLines/>
        <w:spacing w:before="360" w:after="120"/>
        <w:jc w:val="left"/>
        <w:outlineLvl w:val="1"/>
        <w:rPr>
          <w:rFonts w:ascii="Intrum Sans" w:hAnsi="Intrum Sans"/>
          <w:b/>
          <w:bCs/>
          <w:sz w:val="18"/>
          <w:szCs w:val="18"/>
          <w:highlight w:val="white"/>
        </w:rPr>
      </w:pPr>
      <w:r w:rsidRPr="00B43596">
        <w:rPr>
          <w:rFonts w:ascii="Intrum Sans" w:hAnsi="Intrum Sans"/>
          <w:b/>
          <w:bCs/>
          <w:sz w:val="18"/>
          <w:szCs w:val="18"/>
          <w:highlight w:val="white"/>
        </w:rPr>
        <w:t>Pewność w podstawach - fundament finansowej odpowiedzialności seniorów</w:t>
      </w:r>
    </w:p>
    <w:p w14:paraId="0EF36A93"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Seniorzy czują się najpewniej na gruncie zaspokojenia swoich podstawowych potrzeb. Aż 90 proc. z nich jest przekonanych, że co miesiąc opłaci wszystkie rachunki. Prawie tyle samo deklaruje, że nie miało z tym problemów w ciągu ostatniego roku </w:t>
      </w:r>
      <w:r w:rsidRPr="00B43596">
        <w:rPr>
          <w:rFonts w:ascii="Intrum Sans" w:hAnsi="Intrum Sans"/>
          <w:sz w:val="18"/>
          <w:szCs w:val="18"/>
          <w:highlight w:val="white"/>
          <w:vertAlign w:val="superscript"/>
        </w:rPr>
        <w:footnoteReference w:id="3"/>
      </w:r>
      <w:r w:rsidRPr="00B43596">
        <w:rPr>
          <w:rFonts w:ascii="Intrum Sans" w:hAnsi="Intrum Sans"/>
          <w:sz w:val="18"/>
          <w:szCs w:val="18"/>
          <w:highlight w:val="white"/>
        </w:rPr>
        <w:t xml:space="preserve">. </w:t>
      </w:r>
    </w:p>
    <w:p w14:paraId="2B4C46FF" w14:textId="77777777" w:rsidR="00B43596" w:rsidRPr="00B43596" w:rsidRDefault="00B43596" w:rsidP="00B43596">
      <w:pPr>
        <w:spacing w:before="0" w:after="0"/>
        <w:jc w:val="left"/>
        <w:rPr>
          <w:rFonts w:ascii="Intrum Sans" w:hAnsi="Intrum Sans"/>
          <w:sz w:val="18"/>
          <w:szCs w:val="18"/>
          <w:highlight w:val="white"/>
        </w:rPr>
      </w:pPr>
    </w:p>
    <w:p w14:paraId="284C63F4"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A co z nagłymi wydatkami? 80 proc. z nich deklaruje, że poradziłoby sobie z ekstra kosztami na poziomie 1700 zł, a nieco ponad połowa, że może zapewnić swojej rodzinie to, czego się od nich oczekuje</w:t>
      </w:r>
      <w:r w:rsidRPr="00B43596">
        <w:rPr>
          <w:rFonts w:ascii="Intrum Sans" w:hAnsi="Intrum Sans"/>
          <w:sz w:val="18"/>
          <w:szCs w:val="18"/>
          <w:highlight w:val="white"/>
          <w:vertAlign w:val="superscript"/>
        </w:rPr>
        <w:footnoteReference w:id="4"/>
      </w:r>
      <w:r w:rsidRPr="00B43596">
        <w:rPr>
          <w:rFonts w:ascii="Intrum Sans" w:hAnsi="Intrum Sans"/>
          <w:sz w:val="18"/>
          <w:szCs w:val="18"/>
          <w:highlight w:val="white"/>
        </w:rPr>
        <w:t xml:space="preserve">. </w:t>
      </w:r>
    </w:p>
    <w:p w14:paraId="15A34DC7" w14:textId="77777777" w:rsidR="00B43596" w:rsidRPr="00B43596" w:rsidRDefault="00B43596" w:rsidP="00B43596">
      <w:pPr>
        <w:spacing w:before="0" w:after="0"/>
        <w:jc w:val="left"/>
        <w:rPr>
          <w:rFonts w:ascii="Intrum Sans" w:hAnsi="Intrum Sans"/>
          <w:sz w:val="18"/>
          <w:szCs w:val="18"/>
          <w:highlight w:val="white"/>
        </w:rPr>
      </w:pPr>
    </w:p>
    <w:p w14:paraId="34EB7F5E" w14:textId="5AFA7ED8" w:rsidR="00B43596" w:rsidRPr="00B43596" w:rsidRDefault="00B43596" w:rsidP="00B43596">
      <w:pPr>
        <w:spacing w:before="0" w:after="0"/>
        <w:jc w:val="left"/>
        <w:rPr>
          <w:rFonts w:ascii="Intrum Sans" w:hAnsi="Intrum Sans"/>
          <w:b/>
          <w:bCs/>
          <w:sz w:val="18"/>
          <w:szCs w:val="18"/>
          <w:highlight w:val="white"/>
        </w:rPr>
      </w:pPr>
      <w:r w:rsidRPr="00B43596">
        <w:rPr>
          <w:rFonts w:ascii="Intrum Sans" w:hAnsi="Intrum Sans"/>
          <w:color w:val="222222"/>
          <w:sz w:val="18"/>
          <w:szCs w:val="18"/>
          <w:highlight w:val="white"/>
        </w:rPr>
        <w:t xml:space="preserve">– </w:t>
      </w:r>
      <w:r w:rsidRPr="00B43596">
        <w:rPr>
          <w:rFonts w:ascii="Intrum Sans" w:hAnsi="Intrum Sans"/>
          <w:i/>
          <w:iCs/>
          <w:color w:val="222222"/>
          <w:sz w:val="18"/>
          <w:szCs w:val="18"/>
          <w:highlight w:val="white"/>
        </w:rPr>
        <w:t>Przez lata seniorzy nabyli ogromne doświadczenie życiowe, które nauczyło ich, żeby na pierwszym miejscu stawiać najważniejsze potrzeby. To przekłada się na ich stabilność w podstawowych obszarach finansowych</w:t>
      </w:r>
      <w:r w:rsidRPr="00B43596">
        <w:rPr>
          <w:rFonts w:ascii="Intrum Sans" w:hAnsi="Intrum Sans"/>
          <w:color w:val="222222"/>
          <w:sz w:val="18"/>
          <w:szCs w:val="18"/>
          <w:highlight w:val="white"/>
        </w:rPr>
        <w:t xml:space="preserve"> – </w:t>
      </w:r>
      <w:r w:rsidRPr="00B43596">
        <w:rPr>
          <w:rFonts w:ascii="Intrum Sans" w:hAnsi="Intrum Sans"/>
          <w:b/>
          <w:bCs/>
          <w:color w:val="222222"/>
          <w:sz w:val="18"/>
          <w:szCs w:val="18"/>
          <w:highlight w:val="white"/>
        </w:rPr>
        <w:t xml:space="preserve">uważa </w:t>
      </w:r>
      <w:r w:rsidR="006E3AE4">
        <w:rPr>
          <w:rFonts w:ascii="Intrum Sans" w:hAnsi="Intrum Sans"/>
          <w:b/>
          <w:bCs/>
          <w:color w:val="222222"/>
          <w:sz w:val="18"/>
          <w:szCs w:val="18"/>
          <w:highlight w:val="white"/>
        </w:rPr>
        <w:t>Barbara Sajewcz</w:t>
      </w:r>
      <w:r w:rsidRPr="00B43596">
        <w:rPr>
          <w:rFonts w:ascii="Intrum Sans" w:hAnsi="Intrum Sans"/>
          <w:b/>
          <w:bCs/>
          <w:color w:val="222222"/>
          <w:sz w:val="18"/>
          <w:szCs w:val="18"/>
          <w:highlight w:val="white"/>
        </w:rPr>
        <w:t>, ekspert</w:t>
      </w:r>
      <w:r w:rsidR="006E3AE4">
        <w:rPr>
          <w:rFonts w:ascii="Intrum Sans" w:hAnsi="Intrum Sans"/>
          <w:b/>
          <w:bCs/>
          <w:color w:val="222222"/>
          <w:sz w:val="18"/>
          <w:szCs w:val="18"/>
          <w:highlight w:val="white"/>
        </w:rPr>
        <w:t>ka</w:t>
      </w:r>
      <w:r w:rsidRPr="00B43596">
        <w:rPr>
          <w:rFonts w:ascii="Intrum Sans" w:hAnsi="Intrum Sans"/>
          <w:b/>
          <w:bCs/>
          <w:color w:val="222222"/>
          <w:sz w:val="18"/>
          <w:szCs w:val="18"/>
          <w:highlight w:val="white"/>
        </w:rPr>
        <w:t xml:space="preserve"> Intrum. </w:t>
      </w:r>
    </w:p>
    <w:p w14:paraId="49821C34" w14:textId="77777777" w:rsidR="00B43596" w:rsidRPr="00B43596" w:rsidRDefault="00B43596" w:rsidP="00B43596">
      <w:pPr>
        <w:keepNext/>
        <w:keepLines/>
        <w:spacing w:before="360" w:after="120"/>
        <w:jc w:val="left"/>
        <w:outlineLvl w:val="1"/>
        <w:rPr>
          <w:rFonts w:ascii="Intrum Sans" w:hAnsi="Intrum Sans"/>
          <w:b/>
          <w:bCs/>
          <w:sz w:val="18"/>
          <w:szCs w:val="18"/>
          <w:highlight w:val="white"/>
        </w:rPr>
      </w:pPr>
      <w:bookmarkStart w:id="3" w:name="_fviu94l2rcao" w:colFirst="0" w:colLast="0"/>
      <w:bookmarkEnd w:id="3"/>
      <w:r w:rsidRPr="00B43596">
        <w:rPr>
          <w:rFonts w:ascii="Intrum Sans" w:hAnsi="Intrum Sans"/>
          <w:b/>
          <w:bCs/>
          <w:sz w:val="18"/>
          <w:szCs w:val="18"/>
          <w:highlight w:val="white"/>
        </w:rPr>
        <w:t>Luksusy? Tu kończy się komfort seniorów</w:t>
      </w:r>
    </w:p>
    <w:p w14:paraId="1F80D5AD"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Pokolenie boomerów nie lubi obciążać swojego budżetu niepotrzebnymi luksusami. Zaledwie 23 proc. z nich czuje się pewnie, wydając pieniądze na produkty i usługi premium. Nieco więcej, bo niecała połowa np. na wakacje czy koncerty.</w:t>
      </w:r>
    </w:p>
    <w:p w14:paraId="2C921F12" w14:textId="77777777" w:rsidR="00B43596" w:rsidRPr="00B43596" w:rsidRDefault="00B43596" w:rsidP="00B43596">
      <w:pPr>
        <w:spacing w:before="0" w:after="0"/>
        <w:jc w:val="left"/>
        <w:rPr>
          <w:rFonts w:ascii="Intrum Sans" w:hAnsi="Intrum Sans"/>
          <w:sz w:val="18"/>
          <w:szCs w:val="18"/>
          <w:highlight w:val="white"/>
        </w:rPr>
      </w:pPr>
    </w:p>
    <w:p w14:paraId="7CBECB7A"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W dużej mierze wynika to z tego, że seniorzy wychowywali się w czasach niedostatku, kiedy za </w:t>
      </w:r>
      <w:r w:rsidRPr="00B43596">
        <w:rPr>
          <w:rFonts w:ascii="Intrum Sans" w:hAnsi="Intrum Sans"/>
          <w:sz w:val="18"/>
          <w:szCs w:val="18"/>
        </w:rPr>
        <w:t xml:space="preserve">luksus uznawano </w:t>
      </w:r>
      <w:r w:rsidRPr="00B43596">
        <w:rPr>
          <w:rFonts w:ascii="Intrum Sans" w:hAnsi="Intrum Sans"/>
          <w:sz w:val="18"/>
          <w:szCs w:val="18"/>
          <w:highlight w:val="white"/>
        </w:rPr>
        <w:t xml:space="preserve">tak łatwo dostępne dziś produkty, jak np. pomarańcze. Zasada “najpierw obowiązki, potem przyjemności” wciąż bardzo mocno wpływa na ich decyzje finansowe. Nic więc dziwnego, że tak ostrożnie podchodzą do konsumpcji. Dla wielu z nich bezpieczeństwo finansowe jest ważniejsze niż komfort czy spontaniczne zakupy. </w:t>
      </w:r>
    </w:p>
    <w:p w14:paraId="3E9114A3" w14:textId="77777777" w:rsidR="00B43596" w:rsidRPr="00B43596" w:rsidRDefault="00B43596" w:rsidP="00B43596">
      <w:pPr>
        <w:keepNext/>
        <w:keepLines/>
        <w:spacing w:before="360" w:after="120"/>
        <w:jc w:val="left"/>
        <w:outlineLvl w:val="1"/>
        <w:rPr>
          <w:rFonts w:ascii="Intrum Sans" w:hAnsi="Intrum Sans"/>
          <w:b/>
          <w:bCs/>
          <w:sz w:val="18"/>
          <w:szCs w:val="18"/>
          <w:highlight w:val="white"/>
        </w:rPr>
      </w:pPr>
      <w:bookmarkStart w:id="4" w:name="_172f15gabpnp" w:colFirst="0" w:colLast="0"/>
      <w:bookmarkEnd w:id="4"/>
      <w:r w:rsidRPr="00B43596">
        <w:rPr>
          <w:rFonts w:ascii="Intrum Sans" w:hAnsi="Intrum Sans"/>
          <w:b/>
          <w:bCs/>
          <w:sz w:val="18"/>
          <w:szCs w:val="18"/>
          <w:highlight w:val="white"/>
        </w:rPr>
        <w:lastRenderedPageBreak/>
        <w:t>Zadłużenie boomerów jest niskie</w:t>
      </w:r>
    </w:p>
    <w:p w14:paraId="5ED17ADE"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Aż 83 proc. seniorów jest wolnych od jakichkolwiek niezabezpieczonych zobowiązań, czyli nie skorzystało m.in. z kart kredytowych, debetu, pożyczek osobistych czy typu „kup teraz, zapłać później”. To najlepszy wynik spośród wszystkich pokoleń, które Intrum wzięło pod lupę w swoim badaniu. 9 proc. </w:t>
      </w:r>
      <w:proofErr w:type="gramStart"/>
      <w:r w:rsidRPr="00B43596">
        <w:rPr>
          <w:rFonts w:ascii="Intrum Sans" w:hAnsi="Intrum Sans"/>
          <w:sz w:val="18"/>
          <w:szCs w:val="18"/>
          <w:highlight w:val="white"/>
        </w:rPr>
        <w:t>boomerów</w:t>
      </w:r>
      <w:proofErr w:type="gramEnd"/>
      <w:r w:rsidRPr="00B43596">
        <w:rPr>
          <w:rFonts w:ascii="Intrum Sans" w:hAnsi="Intrum Sans"/>
          <w:sz w:val="18"/>
          <w:szCs w:val="18"/>
          <w:highlight w:val="white"/>
        </w:rPr>
        <w:t xml:space="preserve"> jeśli już się zadłuża, to nie na więcej niż 5 tys. zł</w:t>
      </w:r>
      <w:r w:rsidRPr="00B43596">
        <w:rPr>
          <w:rFonts w:ascii="Intrum Sans" w:hAnsi="Intrum Sans"/>
          <w:sz w:val="18"/>
          <w:szCs w:val="18"/>
          <w:highlight w:val="white"/>
          <w:vertAlign w:val="superscript"/>
        </w:rPr>
        <w:footnoteReference w:id="5"/>
      </w:r>
      <w:r w:rsidRPr="00B43596">
        <w:rPr>
          <w:rFonts w:ascii="Intrum Sans" w:hAnsi="Intrum Sans"/>
          <w:sz w:val="18"/>
          <w:szCs w:val="18"/>
          <w:highlight w:val="white"/>
        </w:rPr>
        <w:t>.</w:t>
      </w:r>
    </w:p>
    <w:p w14:paraId="256385B2" w14:textId="77777777" w:rsidR="00B43596" w:rsidRPr="00B43596" w:rsidRDefault="00B43596" w:rsidP="00B43596">
      <w:pPr>
        <w:spacing w:before="0" w:after="0"/>
        <w:jc w:val="left"/>
        <w:rPr>
          <w:rFonts w:ascii="Intrum Sans" w:hAnsi="Intrum Sans"/>
          <w:sz w:val="18"/>
          <w:szCs w:val="18"/>
          <w:highlight w:val="white"/>
        </w:rPr>
      </w:pPr>
    </w:p>
    <w:p w14:paraId="760CB87B"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W jakich sytuacjach seniorzy decydują się na zaciągnięcie zobowiązań finansowych? 13 proc. (najwięcej wśród wszystkich pokoleń) zrobiło to, ponieważ nie miało innego wyjścia. Tyle samo miało trudności z pokryciem podstawowych wydatków takich jak zakupy spożywcze, rachunki czy też czynsz. Nieco ponad </w:t>
      </w:r>
      <w:r w:rsidRPr="00B43596">
        <w:rPr>
          <w:rFonts w:ascii="Cambria Math" w:hAnsi="Cambria Math" w:cs="Cambria Math"/>
          <w:sz w:val="18"/>
          <w:szCs w:val="18"/>
          <w:highlight w:val="white"/>
        </w:rPr>
        <w:t>⅕</w:t>
      </w:r>
      <w:r w:rsidRPr="00B43596">
        <w:rPr>
          <w:rFonts w:ascii="Intrum Sans" w:hAnsi="Intrum Sans"/>
          <w:sz w:val="18"/>
          <w:szCs w:val="18"/>
          <w:highlight w:val="white"/>
        </w:rPr>
        <w:t xml:space="preserve"> senior</w:t>
      </w:r>
      <w:r w:rsidRPr="00B43596">
        <w:rPr>
          <w:rFonts w:ascii="Intrum Sans" w:hAnsi="Intrum Sans" w:cs="Intrum Sans"/>
          <w:sz w:val="18"/>
          <w:szCs w:val="18"/>
          <w:highlight w:val="white"/>
        </w:rPr>
        <w:t>ó</w:t>
      </w:r>
      <w:r w:rsidRPr="00B43596">
        <w:rPr>
          <w:rFonts w:ascii="Intrum Sans" w:hAnsi="Intrum Sans"/>
          <w:sz w:val="18"/>
          <w:szCs w:val="18"/>
          <w:highlight w:val="white"/>
        </w:rPr>
        <w:t>w musia</w:t>
      </w:r>
      <w:r w:rsidRPr="00B43596">
        <w:rPr>
          <w:rFonts w:ascii="Intrum Sans" w:hAnsi="Intrum Sans" w:cs="Intrum Sans"/>
          <w:sz w:val="18"/>
          <w:szCs w:val="18"/>
          <w:highlight w:val="white"/>
        </w:rPr>
        <w:t>ł</w:t>
      </w:r>
      <w:r w:rsidRPr="00B43596">
        <w:rPr>
          <w:rFonts w:ascii="Intrum Sans" w:hAnsi="Intrum Sans"/>
          <w:sz w:val="18"/>
          <w:szCs w:val="18"/>
          <w:highlight w:val="white"/>
        </w:rPr>
        <w:t>a zapo</w:t>
      </w:r>
      <w:r w:rsidRPr="00B43596">
        <w:rPr>
          <w:rFonts w:ascii="Intrum Sans" w:hAnsi="Intrum Sans" w:cs="Intrum Sans"/>
          <w:sz w:val="18"/>
          <w:szCs w:val="18"/>
          <w:highlight w:val="white"/>
        </w:rPr>
        <w:t>ż</w:t>
      </w:r>
      <w:r w:rsidRPr="00B43596">
        <w:rPr>
          <w:rFonts w:ascii="Intrum Sans" w:hAnsi="Intrum Sans"/>
          <w:sz w:val="18"/>
          <w:szCs w:val="18"/>
          <w:highlight w:val="white"/>
        </w:rPr>
        <w:t>yczy</w:t>
      </w:r>
      <w:r w:rsidRPr="00B43596">
        <w:rPr>
          <w:rFonts w:ascii="Intrum Sans" w:hAnsi="Intrum Sans" w:cs="Intrum Sans"/>
          <w:sz w:val="18"/>
          <w:szCs w:val="18"/>
          <w:highlight w:val="white"/>
        </w:rPr>
        <w:t>ć</w:t>
      </w:r>
      <w:r w:rsidRPr="00B43596">
        <w:rPr>
          <w:rFonts w:ascii="Intrum Sans" w:hAnsi="Intrum Sans"/>
          <w:sz w:val="18"/>
          <w:szCs w:val="18"/>
          <w:highlight w:val="white"/>
        </w:rPr>
        <w:t xml:space="preserve"> si</w:t>
      </w:r>
      <w:r w:rsidRPr="00B43596">
        <w:rPr>
          <w:rFonts w:ascii="Intrum Sans" w:hAnsi="Intrum Sans" w:cs="Intrum Sans"/>
          <w:sz w:val="18"/>
          <w:szCs w:val="18"/>
          <w:highlight w:val="white"/>
        </w:rPr>
        <w:t>ę</w:t>
      </w:r>
      <w:r w:rsidRPr="00B43596">
        <w:rPr>
          <w:rFonts w:ascii="Intrum Sans" w:hAnsi="Intrum Sans"/>
          <w:sz w:val="18"/>
          <w:szCs w:val="18"/>
          <w:highlight w:val="white"/>
        </w:rPr>
        <w:t xml:space="preserve"> ze wzgl</w:t>
      </w:r>
      <w:r w:rsidRPr="00B43596">
        <w:rPr>
          <w:rFonts w:ascii="Intrum Sans" w:hAnsi="Intrum Sans" w:cs="Intrum Sans"/>
          <w:sz w:val="18"/>
          <w:szCs w:val="18"/>
          <w:highlight w:val="white"/>
        </w:rPr>
        <w:t>ę</w:t>
      </w:r>
      <w:r w:rsidRPr="00B43596">
        <w:rPr>
          <w:rFonts w:ascii="Intrum Sans" w:hAnsi="Intrum Sans"/>
          <w:sz w:val="18"/>
          <w:szCs w:val="18"/>
          <w:highlight w:val="white"/>
        </w:rPr>
        <w:t>du na sytuacje awaryjne czy nieprzewidziane wydatki. Mowa tutaj m.in. o chorobach czy kryzysach rodzinnych</w:t>
      </w:r>
      <w:r w:rsidRPr="00B43596">
        <w:rPr>
          <w:rFonts w:ascii="Intrum Sans" w:hAnsi="Intrum Sans"/>
          <w:sz w:val="18"/>
          <w:szCs w:val="18"/>
          <w:highlight w:val="white"/>
          <w:vertAlign w:val="superscript"/>
        </w:rPr>
        <w:footnoteReference w:id="6"/>
      </w:r>
      <w:r w:rsidRPr="00B43596">
        <w:rPr>
          <w:rFonts w:ascii="Intrum Sans" w:hAnsi="Intrum Sans"/>
          <w:sz w:val="18"/>
          <w:szCs w:val="18"/>
          <w:highlight w:val="white"/>
        </w:rPr>
        <w:t xml:space="preserve">. </w:t>
      </w:r>
    </w:p>
    <w:p w14:paraId="610E3713" w14:textId="77777777" w:rsidR="00B43596" w:rsidRPr="00B43596" w:rsidRDefault="00B43596" w:rsidP="00B43596">
      <w:pPr>
        <w:spacing w:before="0" w:after="0"/>
        <w:jc w:val="left"/>
        <w:rPr>
          <w:rFonts w:ascii="Intrum Sans" w:hAnsi="Intrum Sans"/>
          <w:sz w:val="18"/>
          <w:szCs w:val="18"/>
          <w:highlight w:val="white"/>
        </w:rPr>
      </w:pPr>
    </w:p>
    <w:p w14:paraId="7963BF6C" w14:textId="59FEACB3"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 </w:t>
      </w:r>
      <w:r w:rsidRPr="00B43596">
        <w:rPr>
          <w:rFonts w:ascii="Intrum Sans" w:hAnsi="Intrum Sans"/>
          <w:i/>
          <w:iCs/>
          <w:sz w:val="18"/>
          <w:szCs w:val="18"/>
          <w:highlight w:val="white"/>
        </w:rPr>
        <w:t xml:space="preserve">Zadłużenie wśród seniorów to często narzędzie użyte w ostateczności.  Widzimy więc jak cienka może być granica między finansową stabilnością a problemami dnia codziennego w starszym wieku. Nietrudno ją przekroczyć, zwłaszcza biorąc pod uwagę </w:t>
      </w:r>
      <w:r w:rsidRPr="00B43596">
        <w:rPr>
          <w:rFonts w:ascii="Intrum Sans" w:hAnsi="Intrum Sans"/>
          <w:i/>
          <w:iCs/>
          <w:sz w:val="18"/>
          <w:szCs w:val="18"/>
        </w:rPr>
        <w:t xml:space="preserve">wysokość emerytur w </w:t>
      </w:r>
      <w:r w:rsidRPr="00B43596">
        <w:rPr>
          <w:rFonts w:ascii="Intrum Sans" w:hAnsi="Intrum Sans"/>
          <w:i/>
          <w:iCs/>
          <w:sz w:val="18"/>
          <w:szCs w:val="18"/>
          <w:highlight w:val="white"/>
        </w:rPr>
        <w:t>Polsce</w:t>
      </w:r>
      <w:r w:rsidRPr="00B43596">
        <w:rPr>
          <w:rFonts w:ascii="Intrum Sans" w:hAnsi="Intrum Sans"/>
          <w:sz w:val="18"/>
          <w:szCs w:val="18"/>
          <w:highlight w:val="white"/>
        </w:rPr>
        <w:t xml:space="preserve"> </w:t>
      </w:r>
      <w:r w:rsidRPr="00B43596">
        <w:rPr>
          <w:rFonts w:ascii="Intrum Sans" w:hAnsi="Intrum Sans"/>
          <w:b/>
          <w:bCs/>
          <w:sz w:val="18"/>
          <w:szCs w:val="18"/>
          <w:highlight w:val="white"/>
        </w:rPr>
        <w:t xml:space="preserve">– podkreśla </w:t>
      </w:r>
      <w:r w:rsidR="006E3AE4">
        <w:rPr>
          <w:rFonts w:ascii="Intrum Sans" w:hAnsi="Intrum Sans"/>
          <w:b/>
          <w:bCs/>
          <w:sz w:val="18"/>
          <w:szCs w:val="18"/>
          <w:highlight w:val="white"/>
        </w:rPr>
        <w:t>Barbara Sajewicz</w:t>
      </w:r>
      <w:r w:rsidRPr="00B43596">
        <w:rPr>
          <w:rFonts w:ascii="Intrum Sans" w:hAnsi="Intrum Sans"/>
          <w:b/>
          <w:bCs/>
          <w:sz w:val="18"/>
          <w:szCs w:val="18"/>
          <w:highlight w:val="white"/>
        </w:rPr>
        <w:t>, ekspert</w:t>
      </w:r>
      <w:r w:rsidR="006E3AE4">
        <w:rPr>
          <w:rFonts w:ascii="Intrum Sans" w:hAnsi="Intrum Sans"/>
          <w:b/>
          <w:bCs/>
          <w:sz w:val="18"/>
          <w:szCs w:val="18"/>
          <w:highlight w:val="white"/>
        </w:rPr>
        <w:t>ka</w:t>
      </w:r>
      <w:r w:rsidRPr="00B43596">
        <w:rPr>
          <w:rFonts w:ascii="Intrum Sans" w:hAnsi="Intrum Sans"/>
          <w:b/>
          <w:bCs/>
          <w:sz w:val="18"/>
          <w:szCs w:val="18"/>
          <w:highlight w:val="white"/>
        </w:rPr>
        <w:t xml:space="preserve"> Intrum.</w:t>
      </w:r>
    </w:p>
    <w:p w14:paraId="02B3852E" w14:textId="77777777" w:rsidR="00B43596" w:rsidRPr="00B43596" w:rsidRDefault="00B43596" w:rsidP="00B43596">
      <w:pPr>
        <w:keepNext/>
        <w:keepLines/>
        <w:spacing w:before="360" w:after="120"/>
        <w:jc w:val="left"/>
        <w:outlineLvl w:val="1"/>
        <w:rPr>
          <w:rFonts w:ascii="Intrum Sans" w:hAnsi="Intrum Sans"/>
          <w:b/>
          <w:bCs/>
          <w:sz w:val="18"/>
          <w:szCs w:val="18"/>
          <w:highlight w:val="white"/>
        </w:rPr>
      </w:pPr>
      <w:bookmarkStart w:id="5" w:name="_h48s9i8mhjkc" w:colFirst="0" w:colLast="0"/>
      <w:bookmarkEnd w:id="5"/>
      <w:r w:rsidRPr="00B43596">
        <w:rPr>
          <w:rFonts w:ascii="Intrum Sans" w:hAnsi="Intrum Sans"/>
          <w:b/>
          <w:bCs/>
          <w:sz w:val="18"/>
          <w:szCs w:val="18"/>
          <w:highlight w:val="white"/>
        </w:rPr>
        <w:t>Oszczędności seniorów - najmniej odkładają, najmniej gotowi do wyrzeczeń</w:t>
      </w:r>
    </w:p>
    <w:p w14:paraId="3C08DB67"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Boomerzy w większości nie odkładają pieniędzy na tak zwaną “czarną godzinę”. Zaledwie ¼ z nich regularnie zasila swój fundusz awaryjny. Dla porównania, wśród millenialsów czy pokolenia Z ten odsetek jest znacznie wyższy - odpowiednio 65 i 66 proc. </w:t>
      </w:r>
    </w:p>
    <w:p w14:paraId="3AD5BFE9" w14:textId="77777777" w:rsidR="00B43596" w:rsidRPr="00B43596" w:rsidRDefault="00B43596" w:rsidP="00B43596">
      <w:pPr>
        <w:spacing w:before="0" w:after="0"/>
        <w:jc w:val="left"/>
        <w:rPr>
          <w:rFonts w:ascii="Intrum Sans" w:hAnsi="Intrum Sans"/>
          <w:sz w:val="18"/>
          <w:szCs w:val="18"/>
          <w:highlight w:val="white"/>
        </w:rPr>
      </w:pPr>
    </w:p>
    <w:p w14:paraId="35300EAF" w14:textId="14EC9C11" w:rsidR="00B43596" w:rsidRPr="00B43596" w:rsidRDefault="00B43596" w:rsidP="00B43596">
      <w:pPr>
        <w:spacing w:before="0" w:after="0"/>
        <w:jc w:val="left"/>
        <w:rPr>
          <w:rFonts w:ascii="Intrum Sans" w:hAnsi="Intrum Sans"/>
          <w:sz w:val="18"/>
          <w:szCs w:val="18"/>
        </w:rPr>
      </w:pPr>
      <w:r w:rsidRPr="00B43596">
        <w:rPr>
          <w:rFonts w:ascii="Intrum Sans" w:hAnsi="Intrum Sans"/>
          <w:sz w:val="18"/>
          <w:szCs w:val="18"/>
          <w:highlight w:val="white"/>
        </w:rPr>
        <w:t xml:space="preserve">Nie wynika to jednak z braku świadomości naszych seniorów, a mocno ograniczonej przestrzeni do budowania poduszki finansowej. </w:t>
      </w:r>
      <w:r w:rsidRPr="00B43596">
        <w:rPr>
          <w:rFonts w:ascii="Intrum Sans" w:hAnsi="Intrum Sans"/>
          <w:sz w:val="18"/>
          <w:szCs w:val="18"/>
        </w:rPr>
        <w:t>W 2024 r. Emeryci przeznaczali na bieżące wydatki ponad dwie trzecie swojego dochodu rozporządzalnego, co znacząco ograniczało ich możliwości oszczędzania i finansowania wydatków nieobowiązkowych</w:t>
      </w:r>
      <w:r w:rsidRPr="00B43596">
        <w:rPr>
          <w:rFonts w:ascii="Intrum Sans" w:hAnsi="Intrum Sans"/>
          <w:sz w:val="18"/>
          <w:szCs w:val="18"/>
          <w:highlight w:val="white"/>
          <w:vertAlign w:val="superscript"/>
        </w:rPr>
        <w:footnoteReference w:id="7"/>
      </w:r>
      <w:r w:rsidRPr="00B43596">
        <w:rPr>
          <w:rFonts w:ascii="Intrum Sans" w:hAnsi="Intrum Sans"/>
          <w:sz w:val="18"/>
          <w:szCs w:val="18"/>
          <w:highlight w:val="white"/>
        </w:rPr>
        <w:t>.</w:t>
      </w:r>
      <w:r w:rsidRPr="00B43596">
        <w:rPr>
          <w:rFonts w:ascii="Intrum Sans" w:hAnsi="Intrum Sans"/>
          <w:sz w:val="18"/>
          <w:szCs w:val="18"/>
        </w:rPr>
        <w:t xml:space="preserve"> Tak wysoki udział wydatków wskazuje na dużą presję kosztów utrzymania oraz niską elastyczność budżetów gospodarstw emeryckich.</w:t>
      </w:r>
    </w:p>
    <w:p w14:paraId="0FB01C87" w14:textId="77777777" w:rsidR="00B43596" w:rsidRPr="00B43596" w:rsidRDefault="00B43596" w:rsidP="00B43596">
      <w:pPr>
        <w:spacing w:before="0" w:after="0"/>
        <w:jc w:val="left"/>
        <w:rPr>
          <w:rFonts w:ascii="Intrum Sans" w:hAnsi="Intrum Sans"/>
          <w:sz w:val="18"/>
          <w:szCs w:val="18"/>
          <w:highlight w:val="white"/>
        </w:rPr>
      </w:pPr>
    </w:p>
    <w:p w14:paraId="72432F6C" w14:textId="77777777" w:rsidR="00B43596" w:rsidRPr="00B43596" w:rsidRDefault="00B43596" w:rsidP="00B43596">
      <w:pPr>
        <w:spacing w:before="0" w:after="0"/>
        <w:jc w:val="left"/>
        <w:rPr>
          <w:rFonts w:ascii="Intrum Sans" w:hAnsi="Intrum Sans"/>
          <w:sz w:val="18"/>
          <w:szCs w:val="18"/>
          <w:highlight w:val="white"/>
        </w:rPr>
      </w:pPr>
      <w:r w:rsidRPr="00B43596">
        <w:rPr>
          <w:rFonts w:ascii="Intrum Sans" w:hAnsi="Intrum Sans"/>
          <w:sz w:val="18"/>
          <w:szCs w:val="18"/>
          <w:highlight w:val="white"/>
        </w:rPr>
        <w:t xml:space="preserve">Niska zdolność do odkładania pieniędzy wśród seniorów wiąże się więc z ryzykiem braku poczucia przez nich stabilizacji finansowej. Co za tym idzie, obawy przed posiadaniem wystarczających środków na podstawowe środki do życia. </w:t>
      </w:r>
    </w:p>
    <w:p w14:paraId="167F2DE9" w14:textId="77777777" w:rsidR="00B43596" w:rsidRPr="00B43596" w:rsidRDefault="00B43596" w:rsidP="00B43596">
      <w:pPr>
        <w:spacing w:before="0" w:after="0"/>
        <w:jc w:val="left"/>
        <w:rPr>
          <w:rFonts w:ascii="Intrum Sans" w:hAnsi="Intrum Sans"/>
          <w:sz w:val="18"/>
          <w:szCs w:val="18"/>
        </w:rPr>
      </w:pPr>
      <w:bookmarkStart w:id="6" w:name="_6g3zf74d424m" w:colFirst="0" w:colLast="0"/>
      <w:bookmarkEnd w:id="6"/>
    </w:p>
    <w:p w14:paraId="2810F7DF" w14:textId="77777777" w:rsidR="00B43596" w:rsidRPr="00B43596" w:rsidRDefault="00B43596" w:rsidP="00B43596">
      <w:pPr>
        <w:spacing w:before="0" w:after="0"/>
        <w:jc w:val="left"/>
        <w:rPr>
          <w:rFonts w:ascii="Intrum Sans" w:hAnsi="Intrum Sans"/>
          <w:i/>
          <w:iCs/>
          <w:sz w:val="18"/>
          <w:szCs w:val="18"/>
        </w:rPr>
      </w:pPr>
      <w:r w:rsidRPr="00B43596">
        <w:rPr>
          <w:rFonts w:ascii="Intrum Sans" w:hAnsi="Intrum Sans"/>
          <w:sz w:val="18"/>
          <w:szCs w:val="18"/>
        </w:rPr>
        <w:t>Dzień Babci i Dziadka to dobra okazja, by zatrzymać się w codziennym pędzie i docenić to, czego możemy się od seniorów nauczyć. Mimo często ograniczonych dochodów potrafią oni konsekwentnie i z dużą dyscypliną zarządzać domowym budżetem, unikać zadłużenia oraz racjonalnie dysponować dostępnymi środkami. To postawa, która w czasach rosnących kosztów życia nabiera szczególnego znaczenia.</w:t>
      </w:r>
    </w:p>
    <w:p w14:paraId="2E01F0A4" w14:textId="77777777" w:rsidR="00B43596" w:rsidRPr="00B43596" w:rsidRDefault="00B43596" w:rsidP="00B43596">
      <w:pPr>
        <w:spacing w:before="0" w:after="0"/>
        <w:jc w:val="left"/>
        <w:rPr>
          <w:rFonts w:ascii="Intrum Sans" w:hAnsi="Intrum Sans"/>
          <w:sz w:val="18"/>
          <w:szCs w:val="18"/>
        </w:rPr>
      </w:pPr>
    </w:p>
    <w:p w14:paraId="5AF6A099" w14:textId="77777777" w:rsidR="004D23DD" w:rsidRPr="004D23DD" w:rsidRDefault="004D23DD" w:rsidP="004D23DD">
      <w:pPr>
        <w:jc w:val="left"/>
        <w:rPr>
          <w:rFonts w:ascii="Intrum Sans" w:hAnsi="Intrum Sans"/>
          <w:sz w:val="20"/>
          <w:szCs w:val="20"/>
        </w:rPr>
      </w:pPr>
    </w:p>
    <w:p w14:paraId="298A6795" w14:textId="77777777" w:rsidR="004A2248" w:rsidRDefault="004A2248" w:rsidP="004D23DD">
      <w:pPr>
        <w:spacing w:before="0"/>
        <w:jc w:val="left"/>
        <w:rPr>
          <w:rFonts w:ascii="Intrum Sans" w:eastAsia="Calibri" w:hAnsi="Intrum Sans" w:cs="Times New Roman"/>
          <w:b/>
          <w:bCs/>
          <w:sz w:val="20"/>
          <w:szCs w:val="20"/>
          <w:lang w:val="pl-PL" w:eastAsia="en-US"/>
        </w:rPr>
      </w:pPr>
    </w:p>
    <w:p w14:paraId="53887D56" w14:textId="77777777" w:rsidR="004A2248" w:rsidRDefault="004A2248" w:rsidP="004D23DD">
      <w:pPr>
        <w:spacing w:before="0"/>
        <w:jc w:val="left"/>
        <w:rPr>
          <w:rFonts w:ascii="Intrum Sans" w:eastAsia="Calibri" w:hAnsi="Intrum Sans" w:cs="Times New Roman"/>
          <w:b/>
          <w:bCs/>
          <w:sz w:val="20"/>
          <w:szCs w:val="20"/>
          <w:lang w:val="pl-PL" w:eastAsia="en-US"/>
        </w:rPr>
      </w:pPr>
    </w:p>
    <w:p w14:paraId="628EC970" w14:textId="77777777" w:rsidR="004A2248" w:rsidRDefault="004A2248" w:rsidP="004D23DD">
      <w:pPr>
        <w:spacing w:before="0"/>
        <w:jc w:val="left"/>
        <w:rPr>
          <w:rFonts w:ascii="Intrum Sans" w:eastAsia="Calibri" w:hAnsi="Intrum Sans" w:cs="Times New Roman"/>
          <w:b/>
          <w:bCs/>
          <w:sz w:val="20"/>
          <w:szCs w:val="20"/>
          <w:lang w:val="pl-PL" w:eastAsia="en-US"/>
        </w:rPr>
      </w:pPr>
    </w:p>
    <w:p w14:paraId="3144EA55" w14:textId="77777777" w:rsidR="004A2248" w:rsidRDefault="004A2248" w:rsidP="004D23DD">
      <w:pPr>
        <w:spacing w:before="0"/>
        <w:jc w:val="left"/>
        <w:rPr>
          <w:rFonts w:ascii="Intrum Sans" w:eastAsia="Calibri" w:hAnsi="Intrum Sans" w:cs="Times New Roman"/>
          <w:b/>
          <w:bCs/>
          <w:sz w:val="20"/>
          <w:szCs w:val="20"/>
          <w:lang w:val="pl-PL" w:eastAsia="en-US"/>
        </w:rPr>
      </w:pPr>
    </w:p>
    <w:p w14:paraId="635C761F" w14:textId="77777777" w:rsidR="004A2248" w:rsidRDefault="004A2248" w:rsidP="004D23DD">
      <w:pPr>
        <w:spacing w:before="0"/>
        <w:jc w:val="left"/>
        <w:rPr>
          <w:rFonts w:ascii="Intrum Sans" w:eastAsia="Calibri" w:hAnsi="Intrum Sans" w:cs="Times New Roman"/>
          <w:b/>
          <w:bCs/>
          <w:sz w:val="20"/>
          <w:szCs w:val="20"/>
          <w:lang w:val="pl-PL" w:eastAsia="en-US"/>
        </w:rPr>
      </w:pPr>
    </w:p>
    <w:p w14:paraId="5B77EF0B" w14:textId="77777777" w:rsidR="004A2248" w:rsidRDefault="004A2248" w:rsidP="004D23DD">
      <w:pPr>
        <w:spacing w:before="0"/>
        <w:jc w:val="left"/>
        <w:rPr>
          <w:rFonts w:ascii="Intrum Sans" w:eastAsia="Calibri" w:hAnsi="Intrum Sans" w:cs="Times New Roman"/>
          <w:b/>
          <w:bCs/>
          <w:sz w:val="20"/>
          <w:szCs w:val="20"/>
          <w:lang w:val="pl-PL" w:eastAsia="en-US"/>
        </w:rPr>
      </w:pPr>
    </w:p>
    <w:p w14:paraId="54676766" w14:textId="6D2C66FD" w:rsidR="004D23DD" w:rsidRPr="004D23DD" w:rsidRDefault="004D23DD" w:rsidP="004D23DD">
      <w:pPr>
        <w:spacing w:before="0"/>
        <w:jc w:val="left"/>
        <w:rPr>
          <w:rFonts w:ascii="Intrum Sans" w:eastAsia="Calibri" w:hAnsi="Intrum Sans" w:cs="Times New Roman"/>
          <w:b/>
          <w:bCs/>
          <w:sz w:val="20"/>
          <w:szCs w:val="20"/>
          <w:lang w:val="pl-PL" w:eastAsia="en-US"/>
        </w:rPr>
      </w:pPr>
      <w:r w:rsidRPr="004D23DD">
        <w:rPr>
          <w:rFonts w:ascii="Intrum Sans" w:eastAsia="Calibri" w:hAnsi="Intrum Sans" w:cs="Times New Roman"/>
          <w:b/>
          <w:bCs/>
          <w:sz w:val="20"/>
          <w:szCs w:val="20"/>
          <w:lang w:val="pl-PL" w:eastAsia="en-US"/>
        </w:rPr>
        <w:lastRenderedPageBreak/>
        <w:t xml:space="preserve">Więcej informacji: </w:t>
      </w:r>
    </w:p>
    <w:p w14:paraId="1DF69A09" w14:textId="26221AC1" w:rsidR="004D23DD" w:rsidRPr="004D23DD" w:rsidRDefault="006E3AE4" w:rsidP="004D23DD">
      <w:pPr>
        <w:spacing w:before="0"/>
        <w:jc w:val="left"/>
        <w:rPr>
          <w:rFonts w:ascii="Intrum Sans" w:eastAsia="Calibri" w:hAnsi="Intrum Sans" w:cs="Times New Roman"/>
          <w:sz w:val="20"/>
          <w:szCs w:val="20"/>
          <w:lang w:val="pl-PL" w:eastAsia="en-US"/>
        </w:rPr>
      </w:pPr>
      <w:r>
        <w:rPr>
          <w:rFonts w:ascii="Intrum Sans" w:eastAsia="Calibri" w:hAnsi="Intrum Sans" w:cs="Times New Roman"/>
          <w:b/>
          <w:bCs/>
          <w:sz w:val="20"/>
          <w:szCs w:val="20"/>
          <w:lang w:val="pl-PL" w:eastAsia="en-US"/>
        </w:rPr>
        <w:t>Karolina Piątek</w:t>
      </w:r>
      <w:r w:rsidR="004D23DD" w:rsidRPr="004D23DD">
        <w:rPr>
          <w:rFonts w:ascii="Intrum Sans" w:eastAsia="Calibri" w:hAnsi="Intrum Sans" w:cs="Times New Roman"/>
          <w:sz w:val="20"/>
          <w:szCs w:val="20"/>
          <w:lang w:val="pl-PL" w:eastAsia="en-US"/>
        </w:rPr>
        <w:t> </w:t>
      </w:r>
      <w:r w:rsidR="004D23DD" w:rsidRPr="004D23DD">
        <w:rPr>
          <w:rFonts w:ascii="Intrum Sans" w:eastAsia="Calibri" w:hAnsi="Intrum Sans" w:cs="Times New Roman"/>
          <w:sz w:val="20"/>
          <w:szCs w:val="20"/>
          <w:lang w:val="pl-PL" w:eastAsia="en-US"/>
        </w:rPr>
        <w:br/>
      </w:r>
      <w:r>
        <w:rPr>
          <w:rFonts w:ascii="Intrum Sans" w:eastAsia="Calibri" w:hAnsi="Intrum Sans" w:cs="Times New Roman"/>
          <w:sz w:val="20"/>
          <w:szCs w:val="20"/>
          <w:lang w:val="pl-PL" w:eastAsia="en-US"/>
        </w:rPr>
        <w:t>k.piatek</w:t>
      </w:r>
      <w:r w:rsidR="004D23DD" w:rsidRPr="004D23DD">
        <w:rPr>
          <w:rFonts w:ascii="Intrum Sans" w:eastAsia="Calibri" w:hAnsi="Intrum Sans" w:cs="Times New Roman"/>
          <w:sz w:val="20"/>
          <w:szCs w:val="20"/>
          <w:lang w:val="pl-PL" w:eastAsia="en-US"/>
        </w:rPr>
        <w:t>@lightscape.pl</w:t>
      </w:r>
      <w:r w:rsidR="004D23DD" w:rsidRPr="004D23DD">
        <w:rPr>
          <w:rFonts w:ascii="Intrum Sans" w:eastAsia="Calibri" w:hAnsi="Intrum Sans" w:cs="Times New Roman"/>
          <w:sz w:val="20"/>
          <w:szCs w:val="20"/>
          <w:lang w:val="pl-PL" w:eastAsia="en-US"/>
        </w:rPr>
        <w:br/>
        <w:t xml:space="preserve">tel. </w:t>
      </w:r>
      <w:r w:rsidRPr="006E3AE4">
        <w:rPr>
          <w:rFonts w:ascii="Intrum Sans" w:eastAsia="Calibri" w:hAnsi="Intrum Sans" w:cs="Times New Roman"/>
          <w:sz w:val="20"/>
          <w:szCs w:val="20"/>
          <w:lang w:val="pl-PL" w:eastAsia="en-US"/>
        </w:rPr>
        <w:t>601 918 306</w:t>
      </w:r>
    </w:p>
    <w:p w14:paraId="188006EA" w14:textId="77777777" w:rsidR="004D23DD" w:rsidRPr="004D23DD" w:rsidRDefault="004D23DD" w:rsidP="004D23DD">
      <w:pPr>
        <w:spacing w:before="0"/>
        <w:jc w:val="left"/>
        <w:rPr>
          <w:rFonts w:ascii="Intrum Sans" w:eastAsia="Calibri" w:hAnsi="Intrum Sans" w:cs="Times New Roman"/>
          <w:sz w:val="20"/>
          <w:szCs w:val="20"/>
          <w:lang w:val="pl-PL" w:eastAsia="en-US"/>
        </w:rPr>
      </w:pPr>
      <w:r w:rsidRPr="004D23DD">
        <w:rPr>
          <w:rFonts w:ascii="Intrum Sans" w:eastAsia="Calibri" w:hAnsi="Intrum Sans" w:cs="Times New Roman"/>
          <w:b/>
          <w:bCs/>
          <w:sz w:val="20"/>
          <w:szCs w:val="20"/>
          <w:lang w:val="pl-PL" w:eastAsia="en-US"/>
        </w:rPr>
        <w:t>Katarzyna Bil </w:t>
      </w:r>
      <w:r w:rsidRPr="004D23DD">
        <w:rPr>
          <w:rFonts w:ascii="Intrum Sans" w:eastAsia="Calibri" w:hAnsi="Intrum Sans" w:cs="Times New Roman"/>
          <w:b/>
          <w:bCs/>
          <w:sz w:val="20"/>
          <w:szCs w:val="20"/>
          <w:lang w:val="pl-PL" w:eastAsia="en-US"/>
        </w:rPr>
        <w:br/>
      </w:r>
      <w:r w:rsidRPr="004D23DD">
        <w:rPr>
          <w:rFonts w:ascii="Intrum Sans" w:eastAsia="Calibri" w:hAnsi="Intrum Sans" w:cs="Times New Roman"/>
          <w:sz w:val="20"/>
          <w:szCs w:val="20"/>
          <w:lang w:val="pl-PL" w:eastAsia="en-US"/>
        </w:rPr>
        <w:t>k.bil@lightscape.pl</w:t>
      </w:r>
      <w:r w:rsidRPr="004D23DD">
        <w:rPr>
          <w:rFonts w:ascii="Intrum Sans" w:eastAsia="Calibri" w:hAnsi="Intrum Sans" w:cs="Times New Roman"/>
          <w:b/>
          <w:bCs/>
          <w:sz w:val="20"/>
          <w:szCs w:val="20"/>
          <w:lang w:val="pl-PL" w:eastAsia="en-US"/>
        </w:rPr>
        <w:br/>
      </w:r>
      <w:r w:rsidRPr="004D23DD">
        <w:rPr>
          <w:rFonts w:ascii="Intrum Sans" w:eastAsia="Calibri" w:hAnsi="Intrum Sans" w:cs="Times New Roman"/>
          <w:sz w:val="20"/>
          <w:szCs w:val="20"/>
          <w:lang w:val="pl-PL" w:eastAsia="en-US"/>
        </w:rPr>
        <w:t>tel. 731 439</w:t>
      </w:r>
      <w:r w:rsidRPr="004D23DD">
        <w:rPr>
          <w:rFonts w:ascii="Cambria Math" w:eastAsia="Calibri" w:hAnsi="Cambria Math" w:cs="Cambria Math"/>
          <w:sz w:val="20"/>
          <w:szCs w:val="20"/>
          <w:lang w:val="pl-PL" w:eastAsia="en-US"/>
        </w:rPr>
        <w:t> </w:t>
      </w:r>
      <w:r w:rsidRPr="004D23DD">
        <w:rPr>
          <w:rFonts w:ascii="Intrum Sans" w:eastAsia="Calibri" w:hAnsi="Intrum Sans" w:cs="Times New Roman"/>
          <w:sz w:val="20"/>
          <w:szCs w:val="20"/>
          <w:lang w:val="pl-PL" w:eastAsia="en-US"/>
        </w:rPr>
        <w:t>999 </w:t>
      </w:r>
    </w:p>
    <w:p w14:paraId="462C7B07" w14:textId="77777777" w:rsidR="004D23DD" w:rsidRDefault="004D23DD" w:rsidP="004D23DD">
      <w:pPr>
        <w:jc w:val="left"/>
      </w:pPr>
    </w:p>
    <w:p w14:paraId="7DAE6890" w14:textId="77777777" w:rsidR="004D23DD" w:rsidRDefault="004D23DD" w:rsidP="004D23DD">
      <w:pPr>
        <w:jc w:val="left"/>
      </w:pPr>
    </w:p>
    <w:p w14:paraId="21C1C14E" w14:textId="77777777" w:rsidR="004D23DD" w:rsidRDefault="004D23DD" w:rsidP="004D23DD">
      <w:pPr>
        <w:jc w:val="left"/>
      </w:pPr>
    </w:p>
    <w:sectPr w:rsidR="004D23DD">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C9CCD" w14:textId="77777777" w:rsidR="006916E2" w:rsidRDefault="006916E2">
      <w:pPr>
        <w:spacing w:before="0" w:after="0" w:line="240" w:lineRule="auto"/>
      </w:pPr>
      <w:r>
        <w:separator/>
      </w:r>
    </w:p>
  </w:endnote>
  <w:endnote w:type="continuationSeparator" w:id="0">
    <w:p w14:paraId="5453B408" w14:textId="77777777" w:rsidR="006916E2" w:rsidRDefault="006916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trum Sans">
    <w:panose1 w:val="00000500000000000000"/>
    <w:charset w:val="EE"/>
    <w:family w:val="auto"/>
    <w:pitch w:val="variable"/>
    <w:sig w:usb0="00000087" w:usb1="00000000" w:usb2="00000000" w:usb3="00000000" w:csb0="0000009B" w:csb1="00000000"/>
    <w:embedRegular r:id="rId1" w:fontKey="{281B58C4-F0D0-488F-B864-68046C548765}"/>
    <w:embedBold r:id="rId2" w:fontKey="{546A9367-9952-4416-863C-AE551FE1F0BF}"/>
    <w:embedItalic r:id="rId3" w:fontKey="{EBB4C52B-5CC1-44E9-90C4-531A87C37FAF}"/>
  </w:font>
  <w:font w:name="Calibri">
    <w:panose1 w:val="020F0502020204030204"/>
    <w:charset w:val="EE"/>
    <w:family w:val="swiss"/>
    <w:pitch w:val="variable"/>
    <w:sig w:usb0="E4002EFF" w:usb1="C000247B" w:usb2="00000009" w:usb3="00000000" w:csb0="000001FF" w:csb1="00000000"/>
    <w:embedRegular r:id="rId4" w:fontKey="{F8C0AC3D-62D8-4842-9995-C6E565166899}"/>
    <w:embedBold r:id="rId5" w:fontKey="{ACC24937-58D5-443D-88B8-E08F164686AB}"/>
  </w:font>
  <w:font w:name="Cambria Math">
    <w:panose1 w:val="02040503050406030204"/>
    <w:charset w:val="EE"/>
    <w:family w:val="roman"/>
    <w:pitch w:val="variable"/>
    <w:sig w:usb0="E00006FF" w:usb1="420024FF" w:usb2="02000000" w:usb3="00000000" w:csb0="0000019F" w:csb1="00000000"/>
    <w:embedRegular r:id="rId6" w:fontKey="{580E2D29-BD4A-4607-9E16-4EEDEF7206DA}"/>
  </w:font>
  <w:font w:name="Cambria">
    <w:panose1 w:val="02040503050406030204"/>
    <w:charset w:val="EE"/>
    <w:family w:val="roman"/>
    <w:pitch w:val="variable"/>
    <w:sig w:usb0="E00006FF" w:usb1="420024FF" w:usb2="02000000" w:usb3="00000000" w:csb0="0000019F" w:csb1="00000000"/>
    <w:embedRegular r:id="rId7" w:fontKey="{4E2E0EF8-7ACC-4926-BEF4-B524BE4036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8092C" w14:textId="77777777" w:rsidR="006916E2" w:rsidRDefault="006916E2">
      <w:pPr>
        <w:spacing w:before="0" w:after="0" w:line="240" w:lineRule="auto"/>
      </w:pPr>
      <w:r>
        <w:separator/>
      </w:r>
    </w:p>
  </w:footnote>
  <w:footnote w:type="continuationSeparator" w:id="0">
    <w:p w14:paraId="4B1845AD" w14:textId="77777777" w:rsidR="006916E2" w:rsidRDefault="006916E2">
      <w:pPr>
        <w:spacing w:before="0" w:after="0" w:line="240" w:lineRule="auto"/>
      </w:pPr>
      <w:r>
        <w:continuationSeparator/>
      </w:r>
    </w:p>
  </w:footnote>
  <w:footnote w:id="1">
    <w:p w14:paraId="0FA050E7" w14:textId="77777777" w:rsidR="00B43596" w:rsidRPr="004A2248" w:rsidRDefault="00B43596" w:rsidP="004A2248">
      <w:pPr>
        <w:spacing w:before="0" w:after="0" w:line="240" w:lineRule="auto"/>
        <w:rPr>
          <w:rFonts w:ascii="Intrum Sans" w:hAnsi="Intrum Sans"/>
          <w:sz w:val="12"/>
          <w:szCs w:val="12"/>
        </w:rPr>
      </w:pPr>
      <w:r w:rsidRPr="004A2248">
        <w:rPr>
          <w:rFonts w:ascii="Intrum Sans" w:hAnsi="Intrum Sans"/>
          <w:sz w:val="12"/>
          <w:szCs w:val="12"/>
          <w:vertAlign w:val="superscript"/>
        </w:rPr>
        <w:footnoteRef/>
      </w:r>
      <w:r w:rsidRPr="004A2248">
        <w:rPr>
          <w:rFonts w:ascii="Intrum Sans" w:hAnsi="Intrum Sans"/>
          <w:sz w:val="12"/>
          <w:szCs w:val="12"/>
        </w:rPr>
        <w:t xml:space="preserve"> Zakład Ubezpieczeń Społecznych, INFORMACJA O WYBRANYCH ŚWIADCZENIACH PIENIĘŻNYCH PAŹDZIERNIK 2025 R.</w:t>
      </w:r>
    </w:p>
  </w:footnote>
  <w:footnote w:id="2">
    <w:p w14:paraId="144C6392" w14:textId="77777777" w:rsidR="00B43596" w:rsidRPr="004A2248" w:rsidRDefault="00B43596" w:rsidP="004A2248">
      <w:pPr>
        <w:spacing w:before="0" w:after="0" w:line="240" w:lineRule="auto"/>
        <w:rPr>
          <w:rFonts w:ascii="Intrum Sans" w:hAnsi="Intrum Sans"/>
          <w:sz w:val="12"/>
          <w:szCs w:val="12"/>
        </w:rPr>
      </w:pPr>
      <w:r w:rsidRPr="004A2248">
        <w:rPr>
          <w:rFonts w:ascii="Intrum Sans" w:hAnsi="Intrum Sans"/>
          <w:sz w:val="12"/>
          <w:szCs w:val="12"/>
          <w:vertAlign w:val="superscript"/>
        </w:rPr>
        <w:footnoteRef/>
      </w:r>
      <w:r w:rsidRPr="004A2248">
        <w:rPr>
          <w:rFonts w:ascii="Intrum Sans" w:hAnsi="Intrum Sans"/>
          <w:sz w:val="12"/>
          <w:szCs w:val="12"/>
        </w:rPr>
        <w:t xml:space="preserve"> Główny Urząd Statystyczny, Budżety gospodarstw domowych w 2024 r.</w:t>
      </w:r>
    </w:p>
  </w:footnote>
  <w:footnote w:id="3">
    <w:p w14:paraId="51948D9D" w14:textId="77777777" w:rsidR="00B43596" w:rsidRPr="004A2248" w:rsidRDefault="00B43596" w:rsidP="004A2248">
      <w:pPr>
        <w:spacing w:before="0" w:after="0" w:line="240" w:lineRule="auto"/>
        <w:rPr>
          <w:rFonts w:ascii="Intrum Sans" w:hAnsi="Intrum Sans"/>
          <w:sz w:val="12"/>
          <w:szCs w:val="12"/>
        </w:rPr>
      </w:pPr>
      <w:r w:rsidRPr="004A2248">
        <w:rPr>
          <w:rFonts w:ascii="Intrum Sans" w:hAnsi="Intrum Sans"/>
          <w:sz w:val="12"/>
          <w:szCs w:val="12"/>
          <w:vertAlign w:val="superscript"/>
        </w:rPr>
        <w:footnoteRef/>
      </w:r>
      <w:r w:rsidRPr="004A2248">
        <w:rPr>
          <w:rFonts w:ascii="Intrum Sans" w:hAnsi="Intrum Sans"/>
          <w:sz w:val="12"/>
          <w:szCs w:val="12"/>
        </w:rPr>
        <w:t xml:space="preserve"> Intrum European Consumer Payment Report 2025</w:t>
      </w:r>
    </w:p>
  </w:footnote>
  <w:footnote w:id="4">
    <w:p w14:paraId="4B099501" w14:textId="77777777" w:rsidR="00B43596" w:rsidRPr="004A2248" w:rsidRDefault="00B43596" w:rsidP="004A2248">
      <w:pPr>
        <w:spacing w:before="0" w:after="0" w:line="240" w:lineRule="auto"/>
        <w:rPr>
          <w:rFonts w:ascii="Intrum Sans" w:hAnsi="Intrum Sans"/>
          <w:sz w:val="12"/>
          <w:szCs w:val="12"/>
        </w:rPr>
      </w:pPr>
      <w:r w:rsidRPr="004A2248">
        <w:rPr>
          <w:rFonts w:ascii="Intrum Sans" w:hAnsi="Intrum Sans"/>
          <w:sz w:val="12"/>
          <w:szCs w:val="12"/>
          <w:vertAlign w:val="superscript"/>
        </w:rPr>
        <w:footnoteRef/>
      </w:r>
      <w:r w:rsidRPr="004A2248">
        <w:rPr>
          <w:rFonts w:ascii="Intrum Sans" w:hAnsi="Intrum Sans"/>
          <w:sz w:val="12"/>
          <w:szCs w:val="12"/>
        </w:rPr>
        <w:t xml:space="preserve"> Tamże.</w:t>
      </w:r>
    </w:p>
  </w:footnote>
  <w:footnote w:id="5">
    <w:p w14:paraId="49A62074" w14:textId="77777777" w:rsidR="00B43596" w:rsidRPr="004A2248" w:rsidRDefault="00B43596" w:rsidP="004A2248">
      <w:pPr>
        <w:spacing w:before="0" w:after="0" w:line="240" w:lineRule="auto"/>
        <w:rPr>
          <w:rFonts w:ascii="Intrum Sans" w:hAnsi="Intrum Sans"/>
          <w:sz w:val="12"/>
          <w:szCs w:val="12"/>
        </w:rPr>
      </w:pPr>
      <w:r w:rsidRPr="004A2248">
        <w:rPr>
          <w:rFonts w:ascii="Intrum Sans" w:hAnsi="Intrum Sans"/>
          <w:sz w:val="12"/>
          <w:szCs w:val="12"/>
          <w:vertAlign w:val="superscript"/>
        </w:rPr>
        <w:footnoteRef/>
      </w:r>
      <w:r w:rsidRPr="004A2248">
        <w:rPr>
          <w:rFonts w:ascii="Intrum Sans" w:hAnsi="Intrum Sans"/>
          <w:sz w:val="12"/>
          <w:szCs w:val="12"/>
        </w:rPr>
        <w:t xml:space="preserve"> Tamże.</w:t>
      </w:r>
    </w:p>
  </w:footnote>
  <w:footnote w:id="6">
    <w:p w14:paraId="0537DADC" w14:textId="77777777" w:rsidR="00B43596" w:rsidRPr="004A2248" w:rsidRDefault="00B43596" w:rsidP="004A2248">
      <w:pPr>
        <w:spacing w:before="0" w:after="0" w:line="240" w:lineRule="auto"/>
        <w:rPr>
          <w:rFonts w:ascii="Intrum Sans" w:hAnsi="Intrum Sans"/>
          <w:sz w:val="12"/>
          <w:szCs w:val="12"/>
        </w:rPr>
      </w:pPr>
      <w:r w:rsidRPr="004A2248">
        <w:rPr>
          <w:rFonts w:ascii="Intrum Sans" w:hAnsi="Intrum Sans"/>
          <w:sz w:val="12"/>
          <w:szCs w:val="12"/>
          <w:vertAlign w:val="superscript"/>
        </w:rPr>
        <w:footnoteRef/>
      </w:r>
      <w:r w:rsidRPr="004A2248">
        <w:rPr>
          <w:rFonts w:ascii="Intrum Sans" w:hAnsi="Intrum Sans"/>
          <w:sz w:val="12"/>
          <w:szCs w:val="12"/>
        </w:rPr>
        <w:t xml:space="preserve"> Tamże.</w:t>
      </w:r>
    </w:p>
  </w:footnote>
  <w:footnote w:id="7">
    <w:p w14:paraId="4AD3DFCC" w14:textId="77777777" w:rsidR="00B43596" w:rsidRDefault="00B43596" w:rsidP="004A2248">
      <w:pPr>
        <w:spacing w:before="0" w:after="0" w:line="240" w:lineRule="auto"/>
        <w:rPr>
          <w:sz w:val="20"/>
          <w:szCs w:val="20"/>
        </w:rPr>
      </w:pPr>
      <w:r w:rsidRPr="004A2248">
        <w:rPr>
          <w:rFonts w:ascii="Intrum Sans" w:hAnsi="Intrum Sans"/>
          <w:sz w:val="12"/>
          <w:szCs w:val="12"/>
          <w:vertAlign w:val="superscript"/>
        </w:rPr>
        <w:footnoteRef/>
      </w:r>
      <w:r w:rsidRPr="004A2248">
        <w:rPr>
          <w:rFonts w:ascii="Intrum Sans" w:hAnsi="Intrum Sans"/>
          <w:sz w:val="12"/>
          <w:szCs w:val="12"/>
        </w:rPr>
        <w:t xml:space="preserve"> Główny Urząd Statystyczny, Budżety gospodarstw domowych w 2024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CF7C6" w14:textId="1D4ADBB8" w:rsidR="004D23DD" w:rsidRDefault="004D23DD">
    <w:pPr>
      <w:pStyle w:val="Nagwek"/>
    </w:pPr>
    <w:r>
      <w:rPr>
        <w:noProof/>
      </w:rPr>
      <w:drawing>
        <wp:inline distT="0" distB="0" distL="0" distR="0" wp14:anchorId="106CE077" wp14:editId="0929A27A">
          <wp:extent cx="804545" cy="182880"/>
          <wp:effectExtent l="0" t="0" r="0" b="7620"/>
          <wp:docPr id="1330523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18288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EA"/>
    <w:rsid w:val="00013B8D"/>
    <w:rsid w:val="00063B5E"/>
    <w:rsid w:val="00067D49"/>
    <w:rsid w:val="000A6397"/>
    <w:rsid w:val="001207B0"/>
    <w:rsid w:val="00162555"/>
    <w:rsid w:val="00170133"/>
    <w:rsid w:val="00200419"/>
    <w:rsid w:val="002C0763"/>
    <w:rsid w:val="002C0B98"/>
    <w:rsid w:val="003C354B"/>
    <w:rsid w:val="003D028C"/>
    <w:rsid w:val="003F44EB"/>
    <w:rsid w:val="004A2248"/>
    <w:rsid w:val="004D23DD"/>
    <w:rsid w:val="0056511E"/>
    <w:rsid w:val="006916E2"/>
    <w:rsid w:val="006E3AE4"/>
    <w:rsid w:val="007F7E6F"/>
    <w:rsid w:val="008B059F"/>
    <w:rsid w:val="008C642B"/>
    <w:rsid w:val="009315A1"/>
    <w:rsid w:val="0094116F"/>
    <w:rsid w:val="00957FEA"/>
    <w:rsid w:val="009626BE"/>
    <w:rsid w:val="00A00C07"/>
    <w:rsid w:val="00A25430"/>
    <w:rsid w:val="00A9229A"/>
    <w:rsid w:val="00AF398D"/>
    <w:rsid w:val="00B43596"/>
    <w:rsid w:val="00D633D0"/>
    <w:rsid w:val="00DA55B9"/>
    <w:rsid w:val="00E333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AB549"/>
  <w15:docId w15:val="{BA4E01ED-B6D3-4F10-9CB4-2AAC1E2F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line="360" w:lineRule="auto"/>
      <w:outlineLvl w:val="0"/>
    </w:pPr>
    <w:rPr>
      <w:b/>
      <w:bCs/>
      <w:sz w:val="40"/>
      <w:szCs w:val="40"/>
    </w:rPr>
  </w:style>
  <w:style w:type="paragraph" w:styleId="Nagwek2">
    <w:name w:val="heading 2"/>
    <w:basedOn w:val="Normalny"/>
    <w:next w:val="Normalny"/>
    <w:uiPriority w:val="9"/>
    <w:unhideWhenUsed/>
    <w:qFormat/>
    <w:pPr>
      <w:keepNext/>
      <w:keepLines/>
      <w:outlineLvl w:val="1"/>
    </w:pPr>
    <w:rPr>
      <w:b/>
      <w:bCs/>
      <w:sz w:val="26"/>
      <w:szCs w:val="26"/>
    </w:rPr>
  </w:style>
  <w:style w:type="paragraph" w:styleId="Nagwek3">
    <w:name w:val="heading 3"/>
    <w:basedOn w:val="Normalny"/>
    <w:next w:val="Normalny"/>
    <w:uiPriority w:val="9"/>
    <w:semiHidden/>
    <w:unhideWhenUsed/>
    <w:qFormat/>
    <w:pPr>
      <w:keepNext/>
      <w:keepLines/>
      <w:outlineLvl w:val="2"/>
    </w:pPr>
    <w:rPr>
      <w:b/>
      <w:bCs/>
      <w:sz w:val="26"/>
      <w:szCs w:val="26"/>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0" w:after="60"/>
    </w:pPr>
    <w:rPr>
      <w:sz w:val="52"/>
      <w:szCs w:val="52"/>
    </w:rPr>
  </w:style>
  <w:style w:type="paragraph" w:styleId="Podtytu">
    <w:name w:val="Subtitle"/>
    <w:basedOn w:val="Normalny"/>
    <w:next w:val="Normalny"/>
    <w:uiPriority w:val="11"/>
    <w:qFormat/>
    <w:pPr>
      <w:keepNext/>
      <w:keepLines/>
      <w:spacing w:before="0" w:after="320"/>
    </w:pPr>
    <w:rPr>
      <w:color w:val="666666"/>
      <w:sz w:val="30"/>
      <w:szCs w:val="30"/>
    </w:rPr>
  </w:style>
  <w:style w:type="paragraph" w:styleId="Poprawka">
    <w:name w:val="Revision"/>
    <w:hidden/>
    <w:uiPriority w:val="99"/>
    <w:semiHidden/>
    <w:rsid w:val="00200419"/>
    <w:pPr>
      <w:spacing w:before="0" w:after="0" w:line="240" w:lineRule="auto"/>
      <w:jc w:val="left"/>
    </w:pPr>
  </w:style>
  <w:style w:type="character" w:styleId="Odwoaniedokomentarza">
    <w:name w:val="annotation reference"/>
    <w:basedOn w:val="Domylnaczcionkaakapitu"/>
    <w:uiPriority w:val="99"/>
    <w:semiHidden/>
    <w:unhideWhenUsed/>
    <w:rsid w:val="00200419"/>
    <w:rPr>
      <w:sz w:val="16"/>
      <w:szCs w:val="16"/>
    </w:rPr>
  </w:style>
  <w:style w:type="paragraph" w:styleId="Tekstkomentarza">
    <w:name w:val="annotation text"/>
    <w:basedOn w:val="Normalny"/>
    <w:link w:val="TekstkomentarzaZnak"/>
    <w:uiPriority w:val="99"/>
    <w:semiHidden/>
    <w:unhideWhenUsed/>
    <w:rsid w:val="0020041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00419"/>
    <w:rPr>
      <w:sz w:val="20"/>
      <w:szCs w:val="20"/>
    </w:rPr>
  </w:style>
  <w:style w:type="paragraph" w:styleId="Tematkomentarza">
    <w:name w:val="annotation subject"/>
    <w:basedOn w:val="Tekstkomentarza"/>
    <w:next w:val="Tekstkomentarza"/>
    <w:link w:val="TematkomentarzaZnak"/>
    <w:uiPriority w:val="99"/>
    <w:semiHidden/>
    <w:unhideWhenUsed/>
    <w:rsid w:val="00200419"/>
    <w:rPr>
      <w:b/>
      <w:bCs/>
    </w:rPr>
  </w:style>
  <w:style w:type="character" w:customStyle="1" w:styleId="TematkomentarzaZnak">
    <w:name w:val="Temat komentarza Znak"/>
    <w:basedOn w:val="TekstkomentarzaZnak"/>
    <w:link w:val="Tematkomentarza"/>
    <w:uiPriority w:val="99"/>
    <w:semiHidden/>
    <w:rsid w:val="00200419"/>
    <w:rPr>
      <w:b/>
      <w:bCs/>
      <w:sz w:val="20"/>
      <w:szCs w:val="20"/>
    </w:rPr>
  </w:style>
  <w:style w:type="paragraph" w:styleId="Tekstprzypisudolnego">
    <w:name w:val="footnote text"/>
    <w:basedOn w:val="Normalny"/>
    <w:link w:val="TekstprzypisudolnegoZnak"/>
    <w:uiPriority w:val="99"/>
    <w:semiHidden/>
    <w:unhideWhenUsed/>
    <w:rsid w:val="008B059F"/>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B059F"/>
    <w:rPr>
      <w:sz w:val="20"/>
      <w:szCs w:val="20"/>
    </w:rPr>
  </w:style>
  <w:style w:type="character" w:styleId="Odwoanieprzypisudolnego">
    <w:name w:val="footnote reference"/>
    <w:basedOn w:val="Domylnaczcionkaakapitu"/>
    <w:uiPriority w:val="99"/>
    <w:semiHidden/>
    <w:unhideWhenUsed/>
    <w:rsid w:val="008B059F"/>
    <w:rPr>
      <w:vertAlign w:val="superscript"/>
    </w:rPr>
  </w:style>
  <w:style w:type="paragraph" w:styleId="NormalnyWeb">
    <w:name w:val="Normal (Web)"/>
    <w:basedOn w:val="Normalny"/>
    <w:uiPriority w:val="99"/>
    <w:semiHidden/>
    <w:unhideWhenUsed/>
    <w:rsid w:val="008B059F"/>
    <w:rPr>
      <w:rFonts w:ascii="Times New Roman" w:hAnsi="Times New Roman" w:cs="Times New Roman"/>
      <w:sz w:val="24"/>
      <w:szCs w:val="24"/>
    </w:rPr>
  </w:style>
  <w:style w:type="paragraph" w:styleId="Nagwek">
    <w:name w:val="header"/>
    <w:basedOn w:val="Normalny"/>
    <w:link w:val="NagwekZnak"/>
    <w:uiPriority w:val="99"/>
    <w:unhideWhenUsed/>
    <w:rsid w:val="004D23D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4D23DD"/>
  </w:style>
  <w:style w:type="paragraph" w:styleId="Stopka">
    <w:name w:val="footer"/>
    <w:basedOn w:val="Normalny"/>
    <w:link w:val="StopkaZnak"/>
    <w:uiPriority w:val="99"/>
    <w:unhideWhenUsed/>
    <w:rsid w:val="004D23DD"/>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4D2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DAF7-8BD1-45E0-9814-E042131F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792</Words>
  <Characters>5348</Characters>
  <Application>Microsoft Office Word</Application>
  <DocSecurity>0</DocSecurity>
  <Lines>90</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dc:creator>
  <cp:lastModifiedBy>Karolina Piątek</cp:lastModifiedBy>
  <cp:revision>7</cp:revision>
  <dcterms:created xsi:type="dcterms:W3CDTF">2026-01-15T10:24:00Z</dcterms:created>
  <dcterms:modified xsi:type="dcterms:W3CDTF">2026-01-19T08:24:00Z</dcterms:modified>
</cp:coreProperties>
</file>