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E154" w14:textId="77777777" w:rsidR="006F342F" w:rsidRPr="006F342F" w:rsidRDefault="006F342F" w:rsidP="00E319EA">
      <w:pPr>
        <w:pBdr>
          <w:bottom w:val="single" w:sz="12" w:space="1" w:color="auto"/>
        </w:pBdr>
        <w:jc w:val="both"/>
        <w:rPr>
          <w:rFonts w:ascii="Cambria" w:hAnsi="Cambria" w:cs="Times New Roman"/>
          <w:b/>
          <w:color w:val="auto"/>
          <w:sz w:val="21"/>
          <w:szCs w:val="21"/>
        </w:rPr>
      </w:pPr>
      <w:r w:rsidRPr="006F342F">
        <w:rPr>
          <w:rFonts w:ascii="Cambria" w:hAnsi="Cambria"/>
          <w:b/>
          <w:sz w:val="21"/>
          <w:szCs w:val="21"/>
        </w:rPr>
        <w:t>INFORMACJA PRASOWA</w:t>
      </w:r>
    </w:p>
    <w:p w14:paraId="4772FF46" w14:textId="7931AE5C" w:rsidR="006F342F" w:rsidRPr="006F342F" w:rsidRDefault="006F342F" w:rsidP="00E319EA">
      <w:pPr>
        <w:jc w:val="both"/>
        <w:rPr>
          <w:rFonts w:ascii="Cambria" w:hAnsi="Cambria"/>
          <w:sz w:val="21"/>
          <w:szCs w:val="21"/>
        </w:rPr>
      </w:pPr>
      <w:r w:rsidRPr="006F342F">
        <w:rPr>
          <w:rFonts w:ascii="Cambria" w:hAnsi="Cambria"/>
          <w:sz w:val="21"/>
          <w:szCs w:val="21"/>
        </w:rPr>
        <w:t xml:space="preserve">Gdańsk, </w:t>
      </w:r>
      <w:r w:rsidR="000202FC">
        <w:rPr>
          <w:rFonts w:ascii="Cambria" w:hAnsi="Cambria"/>
          <w:sz w:val="21"/>
          <w:szCs w:val="21"/>
        </w:rPr>
        <w:t>3</w:t>
      </w:r>
      <w:r w:rsidR="00E94316">
        <w:rPr>
          <w:rFonts w:ascii="Cambria" w:hAnsi="Cambria"/>
          <w:sz w:val="21"/>
          <w:szCs w:val="21"/>
        </w:rPr>
        <w:t xml:space="preserve"> lutego</w:t>
      </w:r>
      <w:r w:rsidRPr="006F342F">
        <w:rPr>
          <w:rFonts w:ascii="Cambria" w:hAnsi="Cambria"/>
          <w:sz w:val="21"/>
          <w:szCs w:val="21"/>
        </w:rPr>
        <w:t xml:space="preserve"> 2026 r.</w:t>
      </w:r>
    </w:p>
    <w:p w14:paraId="3E499788" w14:textId="77777777" w:rsidR="005D50F5" w:rsidRDefault="005D50F5" w:rsidP="005D50F5">
      <w:pPr>
        <w:jc w:val="both"/>
        <w:rPr>
          <w:rFonts w:ascii="Cambria" w:hAnsi="Cambria" w:cs="Calibri"/>
          <w:b/>
          <w:bCs/>
          <w:iCs/>
          <w:color w:val="215E99" w:themeColor="text2" w:themeTint="BF"/>
          <w:spacing w:val="-2"/>
          <w:sz w:val="28"/>
          <w:szCs w:val="28"/>
        </w:rPr>
      </w:pPr>
    </w:p>
    <w:p w14:paraId="5367E3BC" w14:textId="46D5B270" w:rsidR="005D50F5" w:rsidRDefault="005D50F5" w:rsidP="005D50F5">
      <w:pPr>
        <w:jc w:val="both"/>
        <w:rPr>
          <w:rFonts w:ascii="Cambria" w:hAnsi="Cambria" w:cs="Calibri"/>
          <w:b/>
          <w:bCs/>
          <w:iCs/>
          <w:color w:val="215E99" w:themeColor="text2" w:themeTint="BF"/>
          <w:spacing w:val="-2"/>
          <w:sz w:val="28"/>
          <w:szCs w:val="28"/>
        </w:rPr>
      </w:pPr>
      <w:r>
        <w:rPr>
          <w:rFonts w:ascii="Cambria" w:hAnsi="Cambria" w:cs="Calibri"/>
          <w:b/>
          <w:bCs/>
          <w:iCs/>
          <w:color w:val="215E99" w:themeColor="text2" w:themeTint="BF"/>
          <w:spacing w:val="-2"/>
          <w:sz w:val="28"/>
          <w:szCs w:val="28"/>
        </w:rPr>
        <w:t xml:space="preserve">Rozwój </w:t>
      </w:r>
      <w:proofErr w:type="spellStart"/>
      <w:r>
        <w:rPr>
          <w:rFonts w:ascii="Cambria" w:hAnsi="Cambria" w:cs="Calibri"/>
          <w:b/>
          <w:bCs/>
          <w:iCs/>
          <w:color w:val="215E99" w:themeColor="text2" w:themeTint="BF"/>
          <w:spacing w:val="-2"/>
          <w:sz w:val="28"/>
          <w:szCs w:val="28"/>
        </w:rPr>
        <w:t>pozabankowego</w:t>
      </w:r>
      <w:proofErr w:type="spellEnd"/>
      <w:r>
        <w:rPr>
          <w:rFonts w:ascii="Cambria" w:hAnsi="Cambria" w:cs="Calibri"/>
          <w:b/>
          <w:bCs/>
          <w:iCs/>
          <w:color w:val="215E99" w:themeColor="text2" w:themeTint="BF"/>
          <w:spacing w:val="-2"/>
          <w:sz w:val="28"/>
          <w:szCs w:val="28"/>
        </w:rPr>
        <w:t xml:space="preserve"> rynku finansowania przedsiębiorstw przyspiesza. </w:t>
      </w:r>
      <w:r w:rsidR="002A4848">
        <w:rPr>
          <w:rFonts w:ascii="Cambria" w:hAnsi="Cambria" w:cs="Calibri"/>
          <w:b/>
          <w:bCs/>
          <w:iCs/>
          <w:color w:val="215E99" w:themeColor="text2" w:themeTint="BF"/>
          <w:spacing w:val="-2"/>
          <w:sz w:val="28"/>
          <w:szCs w:val="28"/>
        </w:rPr>
        <w:t>Polskie firmy szukają płynności</w:t>
      </w:r>
    </w:p>
    <w:p w14:paraId="5AC7B0BD" w14:textId="5398848E" w:rsidR="00551C07" w:rsidRPr="00551C07" w:rsidRDefault="00551C07" w:rsidP="00551C07">
      <w:pPr>
        <w:jc w:val="both"/>
        <w:rPr>
          <w:rFonts w:ascii="Cambria" w:hAnsi="Cambria" w:cs="Calibri"/>
          <w:b/>
          <w:bCs/>
          <w:iCs/>
          <w:color w:val="215E99" w:themeColor="text2" w:themeTint="BF"/>
          <w:spacing w:val="-2"/>
          <w:sz w:val="28"/>
          <w:szCs w:val="28"/>
        </w:rPr>
      </w:pPr>
    </w:p>
    <w:p w14:paraId="7BF2BE06" w14:textId="000BF001" w:rsidR="00551C07" w:rsidRPr="00DB2993" w:rsidRDefault="00551C07" w:rsidP="00551C07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  <w:proofErr w:type="spellStart"/>
      <w:r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Pozabankowe</w:t>
      </w:r>
      <w:proofErr w:type="spellEnd"/>
      <w:r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finansowanie firm dynamicznie rośnie. W I połowie 2025 r. jego wartość sięgnęła 487 mln </w:t>
      </w:r>
      <w:r w:rsidR="005F7BE0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PLN</w:t>
      </w:r>
      <w:r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, co oznacza wzrost o 86,6 proc. rok do roku</w:t>
      </w:r>
      <w:r w:rsidR="005D50F5"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.</w:t>
      </w:r>
      <w:r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proofErr w:type="spellStart"/>
      <w:r w:rsidR="00A26733"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Mikrofirmy</w:t>
      </w:r>
      <w:proofErr w:type="spellEnd"/>
      <w:r w:rsidR="00A26733"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stanowią fundament popytu na pożyczki </w:t>
      </w:r>
      <w:proofErr w:type="spellStart"/>
      <w:r w:rsidR="00A26733"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pozabankowe</w:t>
      </w:r>
      <w:proofErr w:type="spellEnd"/>
      <w:r w:rsidR="00A72A6B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,</w:t>
      </w:r>
      <w:r w:rsidR="00DB2993"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="001C7DDA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poszukując</w:t>
      </w:r>
      <w:r w:rsidR="001C7DDA"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="00DB2993"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płynności </w:t>
      </w:r>
      <w:r w:rsidR="001C7DDA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finansowej </w:t>
      </w:r>
      <w:r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– wynika z </w:t>
      </w:r>
      <w:r w:rsidR="004C1380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najnowszych </w:t>
      </w:r>
      <w:r w:rsidR="002D212D"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danych</w:t>
      </w:r>
      <w:r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Związku Przedsiębiorstw Finansowych</w:t>
      </w:r>
      <w:r w:rsidR="005D50F5"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(ZPF)</w:t>
      </w:r>
      <w:r w:rsidRPr="00DB299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w Polsce.</w:t>
      </w:r>
    </w:p>
    <w:p w14:paraId="1D1CC440" w14:textId="77777777" w:rsidR="005D50F5" w:rsidRDefault="005D50F5" w:rsidP="00551C07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</w:p>
    <w:p w14:paraId="343E7C92" w14:textId="77777777" w:rsidR="0024131D" w:rsidRDefault="0024131D" w:rsidP="002D212D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7E191537" w14:textId="77312AA9" w:rsidR="002D212D" w:rsidRPr="00331404" w:rsidRDefault="002D212D" w:rsidP="002D212D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Właśnie opublikowany r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aport </w:t>
      </w:r>
      <w:bookmarkStart w:id="0" w:name="_Hlk220052688"/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>„</w:t>
      </w:r>
      <w:proofErr w:type="spellStart"/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>Pozabankowe</w:t>
      </w:r>
      <w:proofErr w:type="spellEnd"/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finansowanie przedsiębiorstw” </w:t>
      </w:r>
      <w:bookmarkEnd w:id="0"/>
      <w:r w:rsidR="000B470C" w:rsidRPr="000B470C">
        <w:rPr>
          <w:rFonts w:ascii="Cambria" w:hAnsi="Cambria" w:cs="Calibri"/>
          <w:iCs/>
          <w:color w:val="auto"/>
          <w:spacing w:val="-2"/>
          <w:sz w:val="21"/>
          <w:szCs w:val="21"/>
        </w:rPr>
        <w:t>obejmuje dane za 2024 r. oraz pierwsze półrocze 2025 r. Badanie przeprowadzono w drugiej połowie 2025 r.</w:t>
      </w:r>
      <w:r w:rsidR="00E0466F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wśród firm oferujących </w:t>
      </w:r>
      <w:proofErr w:type="spellStart"/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>pozabankowe</w:t>
      </w:r>
      <w:proofErr w:type="spellEnd"/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finansowanie przedsiębiorcom.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Pr="002D212D">
        <w:rPr>
          <w:rFonts w:ascii="Cambria" w:hAnsi="Cambria" w:cs="Calibri"/>
          <w:iCs/>
          <w:color w:val="auto"/>
          <w:spacing w:val="-2"/>
          <w:sz w:val="21"/>
          <w:szCs w:val="21"/>
        </w:rPr>
        <w:t>W projekcie wzięło udział 5 firm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. To pierwsze na rynku opracowanie</w:t>
      </w:r>
      <w:r w:rsidR="004C13BE">
        <w:rPr>
          <w:rFonts w:ascii="Cambria" w:hAnsi="Cambria" w:cs="Calibri"/>
          <w:iCs/>
          <w:color w:val="auto"/>
          <w:spacing w:val="-2"/>
          <w:sz w:val="21"/>
          <w:szCs w:val="21"/>
        </w:rPr>
        <w:t>, które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="004C13BE">
        <w:rPr>
          <w:rFonts w:ascii="Cambria" w:hAnsi="Cambria" w:cs="Calibri"/>
          <w:iCs/>
          <w:color w:val="auto"/>
          <w:spacing w:val="-2"/>
          <w:sz w:val="21"/>
          <w:szCs w:val="21"/>
        </w:rPr>
        <w:t>analizuje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="00281B7B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bieżącą </w:t>
      </w:r>
      <w:r w:rsidR="004C13BE" w:rsidRPr="004C13BE">
        <w:rPr>
          <w:rFonts w:ascii="Cambria" w:hAnsi="Cambria" w:cs="Calibri"/>
          <w:iCs/>
          <w:color w:val="auto"/>
          <w:spacing w:val="-2"/>
          <w:sz w:val="21"/>
          <w:szCs w:val="21"/>
        </w:rPr>
        <w:t>sytuacj</w:t>
      </w:r>
      <w:r w:rsidR="004C13BE">
        <w:rPr>
          <w:rFonts w:ascii="Cambria" w:hAnsi="Cambria" w:cs="Calibri"/>
          <w:iCs/>
          <w:color w:val="auto"/>
          <w:spacing w:val="-2"/>
          <w:sz w:val="21"/>
          <w:szCs w:val="21"/>
        </w:rPr>
        <w:t>ę</w:t>
      </w:r>
      <w:r w:rsidR="004C13BE" w:rsidRPr="004C13B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="004C13BE">
        <w:rPr>
          <w:rFonts w:ascii="Cambria" w:hAnsi="Cambria" w:cs="Calibri"/>
          <w:iCs/>
          <w:color w:val="auto"/>
          <w:spacing w:val="-2"/>
          <w:sz w:val="21"/>
          <w:szCs w:val="21"/>
        </w:rPr>
        <w:t>tego sektora</w:t>
      </w:r>
      <w:r w:rsidR="004C13BE" w:rsidRPr="004C13BE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w Pols</w:t>
      </w:r>
      <w:r w:rsidR="004C13BE">
        <w:rPr>
          <w:rFonts w:ascii="Cambria" w:hAnsi="Cambria" w:cs="Calibri"/>
          <w:iCs/>
          <w:color w:val="auto"/>
          <w:spacing w:val="-2"/>
          <w:sz w:val="21"/>
          <w:szCs w:val="21"/>
        </w:rPr>
        <w:t>ce i identyfikuje nadchodzące trendy.</w:t>
      </w:r>
    </w:p>
    <w:p w14:paraId="2A70E7D0" w14:textId="77777777" w:rsidR="00551C07" w:rsidRPr="00551C07" w:rsidRDefault="00551C07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71FD9BCF" w14:textId="4F8F069B" w:rsidR="005C53FA" w:rsidRPr="00D82645" w:rsidRDefault="005C53FA" w:rsidP="005C53FA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  <w:r w:rsidRPr="00D82645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Skala wzrostu potwierdza trwałą zmianę na rynku</w:t>
      </w:r>
    </w:p>
    <w:p w14:paraId="4BD1689C" w14:textId="294F4591" w:rsidR="005C53FA" w:rsidRPr="00551C07" w:rsidRDefault="005C53FA" w:rsidP="005C53FA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6865E908" w14:textId="6A0D4C05" w:rsidR="005C53FA" w:rsidRDefault="005C53FA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5C53FA">
        <w:rPr>
          <w:rFonts w:ascii="Cambria" w:hAnsi="Cambria" w:cs="Calibri"/>
          <w:iCs/>
          <w:color w:val="auto"/>
          <w:spacing w:val="-2"/>
          <w:sz w:val="21"/>
          <w:szCs w:val="21"/>
        </w:rPr>
        <w:t>Wartość udzielonych pożyczek</w:t>
      </w:r>
      <w:r w:rsidR="00B501AF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="00B501AF" w:rsidRPr="00B501AF">
        <w:rPr>
          <w:rFonts w:ascii="Cambria" w:hAnsi="Cambria" w:cs="Calibri"/>
          <w:iCs/>
          <w:color w:val="auto"/>
          <w:spacing w:val="-2"/>
          <w:sz w:val="21"/>
          <w:szCs w:val="21"/>
        </w:rPr>
        <w:t>(z wyłączeniem faktoringu oraz finansowania pod zastaw nieruchomości)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Pr="005C53FA">
        <w:rPr>
          <w:rFonts w:ascii="Cambria" w:hAnsi="Cambria" w:cs="Calibri"/>
          <w:iCs/>
          <w:color w:val="auto"/>
          <w:spacing w:val="-2"/>
          <w:sz w:val="21"/>
          <w:szCs w:val="21"/>
        </w:rPr>
        <w:t>wzrosła z 261 mln PLN w I połowie 2024 roku do 487 mln PLN w I połowie 2025 roku, co oznacza dynamikę na poziomie 86,6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proc.</w:t>
      </w:r>
      <w:r w:rsidRPr="005C53FA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rok do roku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.</w:t>
      </w:r>
    </w:p>
    <w:p w14:paraId="287E9D1E" w14:textId="77777777" w:rsidR="005C53FA" w:rsidRDefault="005C53FA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1792E3EA" w14:textId="4AB468FD" w:rsidR="00551C07" w:rsidRDefault="00551C07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– Tak wysoka dynamika pokazuje, że </w:t>
      </w:r>
      <w:proofErr w:type="spellStart"/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>pozabankowe</w:t>
      </w:r>
      <w:proofErr w:type="spellEnd"/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finansowanie przestało być rozwiązaniem incydentalnym. Dane potwierdzają, że stało się ono trwałym elementem systemu finansowania przedsiębiorstw, realnie uzupełniając ofertę bankową i odpowiadając na potrzeby firm w zakresie elastycznego </w:t>
      </w:r>
      <w:r w:rsidRPr="005C53FA">
        <w:rPr>
          <w:rFonts w:ascii="Cambria" w:hAnsi="Cambria" w:cs="Calibri"/>
          <w:iCs/>
          <w:color w:val="auto"/>
          <w:spacing w:val="-2"/>
          <w:sz w:val="21"/>
          <w:szCs w:val="21"/>
        </w:rPr>
        <w:t>zarządzania płynnością – podkreśla Rafał Tomkowicz</w:t>
      </w:r>
      <w:r w:rsidR="005C53FA" w:rsidRPr="005C53FA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, ekspert rynku pożyczkowego </w:t>
      </w:r>
      <w:r w:rsidR="004B14DC">
        <w:rPr>
          <w:rFonts w:ascii="Cambria" w:hAnsi="Cambria" w:cs="Calibri"/>
          <w:iCs/>
          <w:color w:val="auto"/>
          <w:spacing w:val="-2"/>
          <w:sz w:val="21"/>
          <w:szCs w:val="21"/>
        </w:rPr>
        <w:br/>
      </w:r>
      <w:r w:rsidR="005C53FA" w:rsidRPr="005C53FA">
        <w:rPr>
          <w:rFonts w:ascii="Cambria" w:hAnsi="Cambria" w:cs="Calibri"/>
          <w:iCs/>
          <w:color w:val="auto"/>
          <w:spacing w:val="-2"/>
          <w:sz w:val="21"/>
          <w:szCs w:val="21"/>
        </w:rPr>
        <w:t>i Dyrektor ds. Rozwoju ZPF.</w:t>
      </w:r>
    </w:p>
    <w:p w14:paraId="6BF37505" w14:textId="77777777" w:rsidR="009E1081" w:rsidRDefault="009E1081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3FC4603A" w14:textId="1B451241" w:rsidR="009E1081" w:rsidRDefault="00275D52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030FEF">
        <w:rPr>
          <w:rFonts w:ascii="Cambria" w:hAnsi="Cambria" w:cs="Calibri"/>
          <w:iCs/>
          <w:color w:val="auto"/>
          <w:spacing w:val="-2"/>
          <w:sz w:val="21"/>
          <w:szCs w:val="21"/>
        </w:rPr>
        <w:t>Na poniższym wykresie prezentujemy wartość udzielonego finansowania</w:t>
      </w:r>
      <w:r w:rsidR="00030FEF" w:rsidRPr="00030FEF">
        <w:rPr>
          <w:rFonts w:ascii="Cambria" w:hAnsi="Cambria" w:cs="Calibri"/>
          <w:iCs/>
          <w:color w:val="auto"/>
          <w:spacing w:val="-2"/>
          <w:sz w:val="21"/>
          <w:szCs w:val="21"/>
        </w:rPr>
        <w:t>.</w:t>
      </w:r>
    </w:p>
    <w:p w14:paraId="202B88DF" w14:textId="77777777" w:rsidR="00030FEF" w:rsidRDefault="00030FEF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0941B491" w14:textId="23B6A71D" w:rsidR="00030FEF" w:rsidRPr="00551C07" w:rsidRDefault="00030FEF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iCs/>
          <w:noProof/>
          <w:color w:val="auto"/>
          <w:spacing w:val="-2"/>
          <w:sz w:val="21"/>
          <w:szCs w:val="21"/>
          <w14:ligatures w14:val="standardContextual"/>
        </w:rPr>
        <w:drawing>
          <wp:inline distT="0" distB="0" distL="0" distR="0" wp14:anchorId="3135B6CA" wp14:editId="62A2B3FB">
            <wp:extent cx="5775960" cy="3032379"/>
            <wp:effectExtent l="0" t="0" r="0" b="0"/>
            <wp:docPr id="156460295" name="Obraz 1" descr="Obraz zawierający tekst, zrzut ekranu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60295" name="Obraz 1" descr="Obraz zawierający tekst, zrzut ekranu, Czcionka, linia&#10;&#10;Zawartość wygenerowana przez AI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081" cy="304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E4A17" w14:textId="77777777" w:rsidR="00551C07" w:rsidRPr="00D82645" w:rsidRDefault="00551C07" w:rsidP="00551C07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</w:p>
    <w:p w14:paraId="56460191" w14:textId="77777777" w:rsidR="00030FEF" w:rsidRDefault="00030FEF" w:rsidP="00551C07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</w:p>
    <w:p w14:paraId="65AD5C80" w14:textId="7E030E3C" w:rsidR="00551C07" w:rsidRPr="00D82645" w:rsidRDefault="00551C07" w:rsidP="00551C07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  <w:r w:rsidRPr="00D82645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lastRenderedPageBreak/>
        <w:t>Mikroprzedsiębiorstwa głównym</w:t>
      </w:r>
      <w:r w:rsidR="00CD62F3" w:rsidRPr="00D82645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i</w:t>
      </w:r>
      <w:r w:rsidRPr="00D82645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odbiorc</w:t>
      </w:r>
      <w:r w:rsidR="00CD62F3" w:rsidRPr="00D82645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ami</w:t>
      </w:r>
      <w:r w:rsidRPr="00D82645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 xml:space="preserve"> finansowania</w:t>
      </w:r>
    </w:p>
    <w:p w14:paraId="46C275FD" w14:textId="77777777" w:rsidR="00551C07" w:rsidRPr="00551C07" w:rsidRDefault="00551C07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159EFE22" w14:textId="68B58940" w:rsidR="00A26733" w:rsidRPr="00551C07" w:rsidRDefault="00C93580" w:rsidP="00A26733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proofErr w:type="spellStart"/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M</w:t>
      </w:r>
      <w:r w:rsidR="00CD62F3">
        <w:rPr>
          <w:rFonts w:ascii="Cambria" w:hAnsi="Cambria" w:cs="Calibri"/>
          <w:iCs/>
          <w:color w:val="auto"/>
          <w:spacing w:val="-2"/>
          <w:sz w:val="21"/>
          <w:szCs w:val="21"/>
        </w:rPr>
        <w:t>ikrofirmy</w:t>
      </w:r>
      <w:proofErr w:type="spellEnd"/>
      <w:r w:rsidR="00CD62F3">
        <w:rPr>
          <w:rFonts w:ascii="Cambria" w:hAnsi="Cambria" w:cs="Calibri"/>
          <w:iCs/>
          <w:color w:val="auto"/>
          <w:spacing w:val="-2"/>
          <w:sz w:val="21"/>
          <w:szCs w:val="21"/>
        </w:rPr>
        <w:t>, których jest w Polsce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wg CEIDG</w:t>
      </w:r>
      <w:r w:rsidR="00CD62F3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ok. 2,8 mln, zdominowały strukturę klientów badanych</w:t>
      </w:r>
      <w:r w:rsidR="0058273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firm. 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W I połowie 2025 r.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trafiło do nich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ponad 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>96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proc. wartości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finansowania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>.</w:t>
      </w:r>
      <w:r w:rsidR="0058273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>Udział małych</w:t>
      </w:r>
      <w:r w:rsidR="00F42082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podmiotów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wyniósł 2,17 proc., średnich 0,97 proc., a dużych – 0,40 proc.</w:t>
      </w:r>
      <w:r w:rsidR="00A26733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</w:p>
    <w:p w14:paraId="0627E14C" w14:textId="0F881B6C" w:rsidR="00C93580" w:rsidRPr="00551C07" w:rsidRDefault="00C93580" w:rsidP="00C93580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0FC30D3C" w14:textId="1802CD95" w:rsidR="00551C07" w:rsidRPr="00551C07" w:rsidRDefault="00551C07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– </w:t>
      </w:r>
      <w:r w:rsidR="00CD62F3">
        <w:rPr>
          <w:rFonts w:ascii="Cambria" w:hAnsi="Cambria" w:cs="Calibri"/>
          <w:iCs/>
          <w:color w:val="auto"/>
          <w:spacing w:val="-2"/>
          <w:sz w:val="21"/>
          <w:szCs w:val="21"/>
        </w:rPr>
        <w:t>Zdecydowana przewaga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mikroprzedsiębiorstw jednoznacznie wskazuje, że popyt koncentruje się na</w:t>
      </w:r>
      <w:r w:rsidR="00CD62F3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elastycznych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instrumentach</w:t>
      </w:r>
      <w:r w:rsidR="00CD62F3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finansowych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wspierających bieżącą działalność operacyjną. To segment, </w:t>
      </w:r>
      <w:r w:rsidR="004B14DC">
        <w:rPr>
          <w:rFonts w:ascii="Cambria" w:hAnsi="Cambria" w:cs="Calibri"/>
          <w:iCs/>
          <w:color w:val="auto"/>
          <w:spacing w:val="-2"/>
          <w:sz w:val="21"/>
          <w:szCs w:val="21"/>
        </w:rPr>
        <w:br/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>w którym liczy się szybkość decyzji, elastyczność warunków</w:t>
      </w:r>
      <w:r w:rsidR="00C93580">
        <w:rPr>
          <w:rFonts w:ascii="Cambria" w:hAnsi="Cambria" w:cs="Calibri"/>
          <w:iCs/>
          <w:color w:val="auto"/>
          <w:spacing w:val="-2"/>
          <w:sz w:val="21"/>
          <w:szCs w:val="21"/>
        </w:rPr>
        <w:t>, dostęp do alternatywnych źródeł kapitału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="004B14DC">
        <w:rPr>
          <w:rFonts w:ascii="Cambria" w:hAnsi="Cambria" w:cs="Calibri"/>
          <w:iCs/>
          <w:color w:val="auto"/>
          <w:spacing w:val="-2"/>
          <w:sz w:val="21"/>
          <w:szCs w:val="21"/>
        </w:rPr>
        <w:br/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>i możliwość reagowania na potrzeby płynnościowe –</w:t>
      </w:r>
      <w:r w:rsidR="00766D1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wyjaśnia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Rafał Tomkowicz.</w:t>
      </w:r>
    </w:p>
    <w:p w14:paraId="48DF6BEC" w14:textId="77777777" w:rsidR="00551C07" w:rsidRPr="00551C07" w:rsidRDefault="00551C07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3E3C0E42" w14:textId="77777777" w:rsidR="00551C07" w:rsidRPr="00B45071" w:rsidRDefault="00551C07" w:rsidP="00551C07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  <w:r w:rsidRPr="00B45071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Coraz większe znaczenie finansowania średnioterminowego</w:t>
      </w:r>
    </w:p>
    <w:p w14:paraId="20FBC56E" w14:textId="77777777" w:rsidR="00551C07" w:rsidRPr="00551C07" w:rsidRDefault="00551C07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75D1E36D" w14:textId="0DC8E056" w:rsidR="00551C07" w:rsidRPr="00551C07" w:rsidRDefault="00551C07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>Raport ZPF wskazuje również na zmianę struktury finansowania pod względem terminów zapadalności. Udział finansowania krótkoterminowego (do 12 miesięcy) spadł z 69,8 proc. w I połowie 2024 r. do 63,2</w:t>
      </w:r>
      <w:r w:rsidR="00D82645">
        <w:rPr>
          <w:rFonts w:ascii="Cambria" w:hAnsi="Cambria" w:cs="Calibri"/>
          <w:iCs/>
          <w:color w:val="auto"/>
          <w:spacing w:val="-2"/>
          <w:sz w:val="21"/>
          <w:szCs w:val="21"/>
        </w:rPr>
        <w:t>1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proc. w I połowie 2025 r.</w:t>
      </w:r>
      <w:r w:rsidR="00D82645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N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>atomiast udział finansowania średnioterminowego (12–36 miesięcy) wzrósł z 30,2 proc. do 36,8 proc.</w:t>
      </w:r>
    </w:p>
    <w:p w14:paraId="100EBDF8" w14:textId="77777777" w:rsidR="00551C07" w:rsidRPr="00551C07" w:rsidRDefault="00551C07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7B947972" w14:textId="471355CC" w:rsidR="00D82645" w:rsidRDefault="00D82645" w:rsidP="00D82645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>–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Taki trend </w:t>
      </w:r>
      <w:r w:rsidR="00551C07"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może świadczyć o stopniowym przesuwaniu się potrzeb przedsiębiorstw w kierunku bardziej stabilnych rozwiązań finansowych, umożliwiających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precyzyjniejsze</w:t>
      </w:r>
      <w:r w:rsidR="00551C07"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planowanie przepływów pieniężnych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>–</w:t>
      </w:r>
      <w:r w:rsidRPr="00D82645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prognozuje </w:t>
      </w:r>
      <w:r w:rsidRPr="00551C07">
        <w:rPr>
          <w:rFonts w:ascii="Cambria" w:hAnsi="Cambria" w:cs="Calibri"/>
          <w:iCs/>
          <w:color w:val="auto"/>
          <w:spacing w:val="-2"/>
          <w:sz w:val="21"/>
          <w:szCs w:val="21"/>
        </w:rPr>
        <w:t>Rafał Tomkowicz.</w:t>
      </w:r>
    </w:p>
    <w:p w14:paraId="0203E26E" w14:textId="77777777" w:rsidR="004A426D" w:rsidRDefault="004A426D" w:rsidP="00D82645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541039E3" w14:textId="415FDD07" w:rsidR="001055E2" w:rsidRDefault="001055E2" w:rsidP="00D82645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 w:rsidRPr="005051D3">
        <w:rPr>
          <w:rFonts w:ascii="Cambria" w:hAnsi="Cambria" w:cs="Calibri"/>
          <w:iCs/>
          <w:color w:val="auto"/>
          <w:spacing w:val="-2"/>
          <w:sz w:val="21"/>
          <w:szCs w:val="21"/>
        </w:rPr>
        <w:t>Na poniższym wykresie prezentujemy strukturę terminów zapadalności</w:t>
      </w:r>
      <w:r w:rsidR="005051D3">
        <w:rPr>
          <w:rFonts w:ascii="Cambria" w:hAnsi="Cambria" w:cs="Calibri"/>
          <w:iCs/>
          <w:color w:val="auto"/>
          <w:spacing w:val="-2"/>
          <w:sz w:val="21"/>
          <w:szCs w:val="21"/>
        </w:rPr>
        <w:t>.</w:t>
      </w:r>
    </w:p>
    <w:p w14:paraId="7C635826" w14:textId="77777777" w:rsidR="005051D3" w:rsidRDefault="005051D3" w:rsidP="00D82645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4DCE0CA6" w14:textId="397C8CD5" w:rsidR="005051D3" w:rsidRPr="00551C07" w:rsidRDefault="005051D3" w:rsidP="00D82645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iCs/>
          <w:noProof/>
          <w:color w:val="auto"/>
          <w:spacing w:val="-2"/>
          <w:sz w:val="21"/>
          <w:szCs w:val="21"/>
          <w14:ligatures w14:val="standardContextual"/>
        </w:rPr>
        <w:drawing>
          <wp:inline distT="0" distB="0" distL="0" distR="0" wp14:anchorId="7A3395FA" wp14:editId="5A15FB07">
            <wp:extent cx="5707380" cy="2996375"/>
            <wp:effectExtent l="0" t="0" r="7620" b="0"/>
            <wp:docPr id="191901116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011164" name="Obraz 19190111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260" cy="300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A7FD4" w14:textId="0A03F291" w:rsidR="00551C07" w:rsidRPr="00551C07" w:rsidRDefault="00551C07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6226AC59" w14:textId="77777777" w:rsidR="00551C07" w:rsidRDefault="00551C07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2F79BB77" w14:textId="77777777" w:rsidR="00551C07" w:rsidRPr="00A26733" w:rsidRDefault="00551C07" w:rsidP="00551C07">
      <w:pPr>
        <w:jc w:val="both"/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</w:pPr>
      <w:r w:rsidRPr="00A26733">
        <w:rPr>
          <w:rFonts w:ascii="Cambria" w:hAnsi="Cambria" w:cs="Calibri"/>
          <w:b/>
          <w:bCs/>
          <w:iCs/>
          <w:color w:val="auto"/>
          <w:spacing w:val="-2"/>
          <w:sz w:val="21"/>
          <w:szCs w:val="21"/>
        </w:rPr>
        <w:t>Technologia i elastyczność napędzają rynek</w:t>
      </w:r>
    </w:p>
    <w:p w14:paraId="7CC0367B" w14:textId="77777777" w:rsidR="00A26733" w:rsidRDefault="00A26733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2B81C4DB" w14:textId="062C9352" w:rsidR="00551C07" w:rsidRPr="00551C07" w:rsidRDefault="000535EE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Eksperci, których wypowiedzi znajdziemy w raporcie, wskazują, że </w:t>
      </w:r>
      <w:r w:rsidR="00A26733">
        <w:rPr>
          <w:rFonts w:ascii="Cambria" w:hAnsi="Cambria" w:cs="Calibri"/>
          <w:iCs/>
          <w:color w:val="auto"/>
          <w:spacing w:val="-2"/>
          <w:sz w:val="21"/>
          <w:szCs w:val="21"/>
        </w:rPr>
        <w:t>n</w:t>
      </w:r>
      <w:r w:rsidR="00A26733" w:rsidRPr="00A26733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iedopasowanie oferty </w:t>
      </w:r>
      <w:r w:rsidR="00A26733">
        <w:rPr>
          <w:rFonts w:ascii="Cambria" w:hAnsi="Cambria" w:cs="Calibri"/>
          <w:iCs/>
          <w:color w:val="auto"/>
          <w:spacing w:val="-2"/>
          <w:sz w:val="21"/>
          <w:szCs w:val="21"/>
        </w:rPr>
        <w:t>tradycyjnych instytucji fin</w:t>
      </w:r>
      <w:r w:rsidR="00DB2993">
        <w:rPr>
          <w:rFonts w:ascii="Cambria" w:hAnsi="Cambria" w:cs="Calibri"/>
          <w:iCs/>
          <w:color w:val="auto"/>
          <w:spacing w:val="-2"/>
          <w:sz w:val="21"/>
          <w:szCs w:val="21"/>
        </w:rPr>
        <w:t>ansowych</w:t>
      </w:r>
      <w:r w:rsidR="00A26733" w:rsidRPr="00A26733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do potrzeb małych firm napędza popyt na szybkie, elastyczne finansowanie online.</w:t>
      </w:r>
      <w:r w:rsidR="00A26733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</w:t>
      </w:r>
      <w:r w:rsidR="00A26733" w:rsidRPr="00A26733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Na znaczeniu zyskują również rozwiązania </w:t>
      </w:r>
      <w:proofErr w:type="spellStart"/>
      <w:r w:rsidR="00A26733" w:rsidRPr="00A26733">
        <w:rPr>
          <w:rFonts w:ascii="Cambria" w:hAnsi="Cambria" w:cs="Calibri"/>
          <w:iCs/>
          <w:color w:val="auto"/>
          <w:spacing w:val="-2"/>
          <w:sz w:val="21"/>
          <w:szCs w:val="21"/>
        </w:rPr>
        <w:t>fintechowe</w:t>
      </w:r>
      <w:proofErr w:type="spellEnd"/>
      <w:r w:rsidR="00A26733" w:rsidRPr="00A26733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, automatyzacja procesów wnioskowania </w:t>
      </w:r>
      <w:r w:rsidR="004B14DC">
        <w:rPr>
          <w:rFonts w:ascii="Cambria" w:hAnsi="Cambria" w:cs="Calibri"/>
          <w:iCs/>
          <w:color w:val="auto"/>
          <w:spacing w:val="-2"/>
          <w:sz w:val="21"/>
          <w:szCs w:val="21"/>
        </w:rPr>
        <w:br/>
      </w:r>
      <w:r w:rsidR="00A26733" w:rsidRPr="00A26733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i oceny ryzyka oraz wykorzystanie danych behawioralnych w procesach </w:t>
      </w:r>
      <w:proofErr w:type="spellStart"/>
      <w:r w:rsidR="00A26733" w:rsidRPr="00A26733">
        <w:rPr>
          <w:rFonts w:ascii="Cambria" w:hAnsi="Cambria" w:cs="Calibri"/>
          <w:iCs/>
          <w:color w:val="auto"/>
          <w:spacing w:val="-2"/>
          <w:sz w:val="21"/>
          <w:szCs w:val="21"/>
        </w:rPr>
        <w:t>scoringowych</w:t>
      </w:r>
      <w:proofErr w:type="spellEnd"/>
      <w:r w:rsidR="00A26733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. </w:t>
      </w:r>
    </w:p>
    <w:p w14:paraId="55AA4B61" w14:textId="77777777" w:rsidR="00551C07" w:rsidRPr="00551C07" w:rsidRDefault="00551C07" w:rsidP="00551C07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2D48661C" w14:textId="77777777" w:rsidR="00331404" w:rsidRPr="00331404" w:rsidRDefault="00331404" w:rsidP="00331404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0EDE37CB" w14:textId="3BE76DB4" w:rsidR="002C6DB1" w:rsidRDefault="002D212D" w:rsidP="00E319EA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Zapraszamy do zapoznania się </w:t>
      </w:r>
      <w:r w:rsidR="00830A7F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z </w:t>
      </w:r>
      <w:r>
        <w:rPr>
          <w:rFonts w:ascii="Cambria" w:hAnsi="Cambria" w:cs="Calibri"/>
          <w:iCs/>
          <w:color w:val="auto"/>
          <w:spacing w:val="-2"/>
          <w:sz w:val="21"/>
          <w:szCs w:val="21"/>
        </w:rPr>
        <w:t>raportem</w:t>
      </w:r>
      <w:r w:rsidR="00A26733">
        <w:rPr>
          <w:rFonts w:ascii="Cambria" w:hAnsi="Cambria" w:cs="Calibri"/>
          <w:iCs/>
          <w:color w:val="auto"/>
          <w:spacing w:val="-2"/>
          <w:sz w:val="21"/>
          <w:szCs w:val="21"/>
        </w:rPr>
        <w:t xml:space="preserve"> ZPF </w:t>
      </w:r>
      <w:hyperlink r:id="rId9" w:history="1">
        <w:r w:rsidR="00447739" w:rsidRPr="00447739">
          <w:rPr>
            <w:rStyle w:val="Hipercze"/>
            <w:rFonts w:ascii="Cambria" w:hAnsi="Cambria" w:cs="Calibri"/>
            <w:iCs/>
            <w:spacing w:val="-2"/>
            <w:sz w:val="21"/>
            <w:szCs w:val="21"/>
          </w:rPr>
          <w:t>”</w:t>
        </w:r>
        <w:proofErr w:type="spellStart"/>
        <w:r w:rsidR="00447739" w:rsidRPr="00447739">
          <w:rPr>
            <w:rStyle w:val="Hipercze"/>
            <w:rFonts w:ascii="Cambria" w:hAnsi="Cambria" w:cs="Calibri"/>
            <w:iCs/>
            <w:spacing w:val="-2"/>
            <w:sz w:val="21"/>
            <w:szCs w:val="21"/>
          </w:rPr>
          <w:t>Pozabankowe</w:t>
        </w:r>
        <w:proofErr w:type="spellEnd"/>
        <w:r w:rsidR="00447739" w:rsidRPr="00447739">
          <w:rPr>
            <w:rStyle w:val="Hipercze"/>
            <w:rFonts w:ascii="Cambria" w:hAnsi="Cambria" w:cs="Calibri"/>
            <w:iCs/>
            <w:spacing w:val="-2"/>
            <w:sz w:val="21"/>
            <w:szCs w:val="21"/>
          </w:rPr>
          <w:t xml:space="preserve"> finansowanie przedsiębiorstw”</w:t>
        </w:r>
      </w:hyperlink>
      <w:r w:rsidR="00447739">
        <w:rPr>
          <w:rFonts w:ascii="Cambria" w:hAnsi="Cambria" w:cs="Calibri"/>
          <w:iCs/>
          <w:color w:val="auto"/>
          <w:spacing w:val="-2"/>
          <w:sz w:val="21"/>
          <w:szCs w:val="21"/>
        </w:rPr>
        <w:t>.</w:t>
      </w:r>
    </w:p>
    <w:p w14:paraId="1C13544E" w14:textId="77777777" w:rsidR="004D31F3" w:rsidRDefault="004D31F3" w:rsidP="00E319EA">
      <w:pPr>
        <w:jc w:val="both"/>
        <w:rPr>
          <w:rFonts w:ascii="Cambria" w:hAnsi="Cambria" w:cs="Calibri"/>
          <w:iCs/>
          <w:color w:val="auto"/>
          <w:spacing w:val="-2"/>
          <w:sz w:val="21"/>
          <w:szCs w:val="21"/>
        </w:rPr>
      </w:pPr>
    </w:p>
    <w:p w14:paraId="203EA17E" w14:textId="77777777" w:rsidR="006F342F" w:rsidRDefault="006F342F" w:rsidP="00FF60A6">
      <w:pPr>
        <w:jc w:val="center"/>
        <w:rPr>
          <w:rFonts w:ascii="Cambria" w:hAnsi="Cambria" w:cs="Calibri"/>
          <w:iCs/>
          <w:color w:val="auto"/>
          <w:spacing w:val="-2"/>
          <w:sz w:val="18"/>
          <w:szCs w:val="18"/>
        </w:rPr>
      </w:pPr>
      <w:r w:rsidRPr="00A80EE7">
        <w:rPr>
          <w:rFonts w:ascii="Cambria" w:hAnsi="Cambria" w:cs="Calibri"/>
          <w:iCs/>
          <w:color w:val="auto"/>
          <w:spacing w:val="-2"/>
          <w:sz w:val="18"/>
          <w:szCs w:val="18"/>
        </w:rPr>
        <w:t>***</w:t>
      </w:r>
    </w:p>
    <w:p w14:paraId="411E3F87" w14:textId="77777777" w:rsidR="0065044E" w:rsidRPr="00A80EE7" w:rsidRDefault="0065044E" w:rsidP="0065044E">
      <w:pPr>
        <w:rPr>
          <w:rFonts w:ascii="Cambria" w:hAnsi="Cambria"/>
          <w:sz w:val="18"/>
          <w:szCs w:val="18"/>
        </w:rPr>
      </w:pPr>
    </w:p>
    <w:p w14:paraId="400398A9" w14:textId="77777777" w:rsidR="0065044E" w:rsidRPr="006504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65044E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65044E">
        <w:rPr>
          <w:rFonts w:ascii="Cambria" w:hAnsi="Cambria"/>
          <w:sz w:val="18"/>
          <w:szCs w:val="18"/>
        </w:rPr>
        <w:t>fintech</w:t>
      </w:r>
      <w:proofErr w:type="spellEnd"/>
      <w:r w:rsidRPr="0065044E">
        <w:rPr>
          <w:rFonts w:ascii="Cambria" w:hAnsi="Cambria"/>
          <w:sz w:val="18"/>
          <w:szCs w:val="18"/>
        </w:rPr>
        <w:t xml:space="preserve">. Jest największą </w:t>
      </w:r>
      <w:proofErr w:type="spellStart"/>
      <w:r w:rsidRPr="0065044E">
        <w:rPr>
          <w:rFonts w:ascii="Cambria" w:hAnsi="Cambria"/>
          <w:sz w:val="18"/>
          <w:szCs w:val="18"/>
        </w:rPr>
        <w:t>multisektorową</w:t>
      </w:r>
      <w:proofErr w:type="spellEnd"/>
      <w:r w:rsidRPr="0065044E">
        <w:rPr>
          <w:rFonts w:ascii="Cambria" w:hAnsi="Cambria"/>
          <w:sz w:val="18"/>
          <w:szCs w:val="18"/>
        </w:rPr>
        <w:t xml:space="preserve"> organizacją podmiotów rynku finansowego w Polsce.</w:t>
      </w:r>
    </w:p>
    <w:p w14:paraId="650450C7" w14:textId="77777777" w:rsidR="0065044E" w:rsidRPr="006504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19BC3C6" w14:textId="77777777" w:rsidR="0065044E" w:rsidRPr="006504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Finance House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zrzeszającej instytucje związane z rynkiem kredytu konsumenckiego w Europie oraz FENCA (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National</w:t>
      </w:r>
      <w:proofErr w:type="spellEnd"/>
      <w:r w:rsidRPr="0065044E">
        <w:rPr>
          <w:rFonts w:ascii="Cambria" w:hAnsi="Cambria"/>
          <w:sz w:val="18"/>
          <w:szCs w:val="18"/>
        </w:rPr>
        <w:t xml:space="preserve"> Collection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która reprezentuje interesy sektora zarządzania wierzytelnościami w Europie.</w:t>
      </w:r>
    </w:p>
    <w:p w14:paraId="7FB268D4" w14:textId="77777777" w:rsidR="0065044E" w:rsidRPr="006504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A6C8E6A" w14:textId="77777777" w:rsidR="0065044E" w:rsidRPr="0065044E" w:rsidRDefault="0065044E" w:rsidP="0065044E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 xml:space="preserve">ZPF ma w swoim dorobku badawczym kilkaset raportów branżowych. Jest też organizatorem kongresów, </w:t>
      </w:r>
      <w:proofErr w:type="spellStart"/>
      <w:r w:rsidRPr="0065044E">
        <w:rPr>
          <w:rFonts w:ascii="Cambria" w:hAnsi="Cambria"/>
          <w:sz w:val="18"/>
          <w:szCs w:val="18"/>
        </w:rPr>
        <w:t>webinarów</w:t>
      </w:r>
      <w:proofErr w:type="spellEnd"/>
      <w:r w:rsidRPr="0065044E">
        <w:rPr>
          <w:rFonts w:ascii="Cambria" w:hAnsi="Cambria"/>
          <w:sz w:val="18"/>
          <w:szCs w:val="18"/>
        </w:rPr>
        <w:t xml:space="preserve"> i innych inicjatyw dla branży finansowej.</w:t>
      </w:r>
    </w:p>
    <w:p w14:paraId="31A06D06" w14:textId="77777777" w:rsidR="0065044E" w:rsidRPr="0065044E" w:rsidRDefault="0065044E" w:rsidP="0065044E">
      <w:pPr>
        <w:jc w:val="both"/>
        <w:rPr>
          <w:rFonts w:ascii="Cambria" w:hAnsi="Cambria"/>
          <w:sz w:val="18"/>
          <w:szCs w:val="18"/>
        </w:rPr>
      </w:pPr>
    </w:p>
    <w:p w14:paraId="72834409" w14:textId="43D74EF7" w:rsidR="0065044E" w:rsidRPr="0065044E" w:rsidRDefault="0065044E" w:rsidP="0065044E">
      <w:pPr>
        <w:jc w:val="both"/>
        <w:rPr>
          <w:rFonts w:ascii="Cambria" w:hAnsi="Cambria"/>
          <w:b/>
          <w:color w:val="000090"/>
          <w:sz w:val="18"/>
          <w:szCs w:val="18"/>
        </w:rPr>
      </w:pPr>
      <w:r w:rsidRPr="0065044E">
        <w:rPr>
          <w:rFonts w:ascii="Cambria" w:hAnsi="Cambria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28938FE2" wp14:editId="1510E2BE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611109592" name="Obraz 1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60AB3" w14:textId="77777777" w:rsidR="0065044E" w:rsidRPr="0065044E" w:rsidRDefault="0065044E" w:rsidP="0065044E">
      <w:pPr>
        <w:jc w:val="both"/>
        <w:rPr>
          <w:rStyle w:val="Hipercze"/>
          <w:rFonts w:ascii="Cambria" w:eastAsiaTheme="majorEastAsia" w:hAnsi="Cambria"/>
          <w:sz w:val="18"/>
          <w:szCs w:val="18"/>
        </w:rPr>
      </w:pPr>
      <w:hyperlink r:id="rId11" w:history="1">
        <w:r w:rsidRPr="0065044E">
          <w:rPr>
            <w:rStyle w:val="Hipercze"/>
            <w:rFonts w:ascii="Cambria" w:eastAsiaTheme="majorEastAsia" w:hAnsi="Cambria"/>
            <w:sz w:val="18"/>
            <w:szCs w:val="18"/>
          </w:rPr>
          <w:t>http://www.linkedin.com/company/zpf</w:t>
        </w:r>
      </w:hyperlink>
    </w:p>
    <w:p w14:paraId="1DC618FF" w14:textId="77777777" w:rsidR="006F342F" w:rsidRDefault="006F342F" w:rsidP="00E319EA">
      <w:pPr>
        <w:spacing w:line="276" w:lineRule="auto"/>
        <w:jc w:val="both"/>
        <w:rPr>
          <w:rFonts w:ascii="Cambria" w:hAnsi="Cambria" w:cs="Calibri"/>
          <w:iCs/>
          <w:color w:val="auto"/>
          <w:spacing w:val="-2"/>
          <w:sz w:val="18"/>
          <w:szCs w:val="18"/>
        </w:rPr>
      </w:pPr>
    </w:p>
    <w:p w14:paraId="17BC34E6" w14:textId="77777777" w:rsidR="0065044E" w:rsidRDefault="0065044E" w:rsidP="00E319EA">
      <w:pPr>
        <w:spacing w:line="276" w:lineRule="auto"/>
        <w:jc w:val="both"/>
        <w:rPr>
          <w:rFonts w:ascii="Cambria" w:hAnsi="Cambria" w:cs="Calibri"/>
          <w:iCs/>
          <w:color w:val="auto"/>
          <w:spacing w:val="-2"/>
          <w:sz w:val="18"/>
          <w:szCs w:val="18"/>
        </w:rPr>
      </w:pPr>
    </w:p>
    <w:p w14:paraId="5C3CFD44" w14:textId="77777777" w:rsidR="0065044E" w:rsidRDefault="0065044E" w:rsidP="00E319EA">
      <w:pPr>
        <w:spacing w:line="276" w:lineRule="auto"/>
        <w:jc w:val="both"/>
        <w:rPr>
          <w:rFonts w:ascii="Cambria" w:hAnsi="Cambria" w:cs="Calibri"/>
          <w:iCs/>
          <w:color w:val="auto"/>
          <w:spacing w:val="-2"/>
          <w:sz w:val="18"/>
          <w:szCs w:val="18"/>
        </w:rPr>
      </w:pPr>
    </w:p>
    <w:p w14:paraId="14F78A9B" w14:textId="4F7C2505" w:rsidR="006F342F" w:rsidRPr="0065044E" w:rsidRDefault="006F342F" w:rsidP="00E319EA">
      <w:pPr>
        <w:jc w:val="both"/>
        <w:rPr>
          <w:rStyle w:val="Hipercze"/>
          <w:rFonts w:ascii="Cambria" w:hAnsi="Cambria" w:cs="Arial"/>
          <w:b/>
          <w:color w:val="000090"/>
          <w:sz w:val="18"/>
          <w:szCs w:val="18"/>
          <w:u w:val="none"/>
        </w:rPr>
      </w:pPr>
    </w:p>
    <w:p w14:paraId="778D21EA" w14:textId="77777777" w:rsidR="006F342F" w:rsidRPr="00A80EE7" w:rsidRDefault="006F342F" w:rsidP="00E319EA">
      <w:pPr>
        <w:jc w:val="both"/>
        <w:rPr>
          <w:rStyle w:val="Hipercze"/>
          <w:rFonts w:ascii="Cambria" w:hAnsi="Cambria"/>
          <w:sz w:val="18"/>
          <w:szCs w:val="18"/>
        </w:rPr>
      </w:pPr>
    </w:p>
    <w:p w14:paraId="7C5B0464" w14:textId="77777777" w:rsidR="006F342F" w:rsidRPr="00A80EE7" w:rsidRDefault="006F342F" w:rsidP="00E319EA">
      <w:pPr>
        <w:jc w:val="both"/>
        <w:rPr>
          <w:rFonts w:ascii="Cambria" w:hAnsi="Cambria"/>
          <w:iCs/>
          <w:color w:val="auto"/>
          <w:spacing w:val="-2"/>
          <w:sz w:val="18"/>
          <w:szCs w:val="18"/>
        </w:rPr>
      </w:pPr>
      <w:r w:rsidRPr="00A80EE7">
        <w:rPr>
          <w:rFonts w:ascii="Cambria" w:hAnsi="Cambria"/>
          <w:noProof/>
          <w:sz w:val="18"/>
          <w:szCs w:val="18"/>
        </w:rPr>
        <w:drawing>
          <wp:inline distT="0" distB="0" distL="0" distR="0" wp14:anchorId="207A1346" wp14:editId="5145C27F">
            <wp:extent cx="2369820" cy="601980"/>
            <wp:effectExtent l="0" t="0" r="0" b="7620"/>
            <wp:docPr id="1170994824" name="Obraz 4" descr="Obraz zawierający Grafika, zrzut ekranu, projekt graficzny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994824" name="Obraz 4" descr="Obraz zawierający Grafika, zrzut ekranu, projekt graficzny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4703B" w14:textId="77777777" w:rsidR="006F342F" w:rsidRPr="00A80EE7" w:rsidRDefault="006F342F" w:rsidP="00E319EA">
      <w:pPr>
        <w:spacing w:line="276" w:lineRule="auto"/>
        <w:jc w:val="both"/>
        <w:rPr>
          <w:rFonts w:ascii="Cambria" w:hAnsi="Cambria"/>
          <w:iCs/>
          <w:color w:val="auto"/>
          <w:spacing w:val="-2"/>
          <w:sz w:val="18"/>
          <w:szCs w:val="18"/>
        </w:rPr>
      </w:pPr>
    </w:p>
    <w:p w14:paraId="40929628" w14:textId="77777777" w:rsidR="00047E3C" w:rsidRPr="006F342F" w:rsidRDefault="00047E3C" w:rsidP="00E319EA">
      <w:pPr>
        <w:jc w:val="both"/>
        <w:rPr>
          <w:rFonts w:ascii="Cambria" w:hAnsi="Cambria"/>
          <w:sz w:val="21"/>
          <w:szCs w:val="21"/>
        </w:rPr>
      </w:pPr>
    </w:p>
    <w:sectPr w:rsidR="00047E3C" w:rsidRPr="006F342F" w:rsidSect="006F342F">
      <w:headerReference w:type="default" r:id="rId13"/>
      <w:footerReference w:type="default" r:id="rId14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59B0" w14:textId="77777777" w:rsidR="00F974F0" w:rsidRDefault="00F974F0">
      <w:r>
        <w:separator/>
      </w:r>
    </w:p>
  </w:endnote>
  <w:endnote w:type="continuationSeparator" w:id="0">
    <w:p w14:paraId="081F9320" w14:textId="77777777" w:rsidR="00F974F0" w:rsidRDefault="00F9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2FBD410" w14:textId="77777777" w:rsidR="006F342F" w:rsidRPr="001A0714" w:rsidRDefault="006F342F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1A0714"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B45800B" wp14:editId="544DF139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66BD" w14:textId="77777777" w:rsidR="00F974F0" w:rsidRDefault="00F974F0">
      <w:r>
        <w:separator/>
      </w:r>
    </w:p>
  </w:footnote>
  <w:footnote w:type="continuationSeparator" w:id="0">
    <w:p w14:paraId="00AD6D73" w14:textId="77777777" w:rsidR="00F974F0" w:rsidRDefault="00F9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9BAF" w14:textId="77777777" w:rsidR="006F342F" w:rsidRPr="001A0714" w:rsidRDefault="006F342F">
    <w:pPr>
      <w:pStyle w:val="Nagwek"/>
    </w:pPr>
    <w:r w:rsidRPr="001A0714">
      <w:rPr>
        <w:rFonts w:asciiTheme="minorHAnsi" w:hAnsiTheme="minorHAnsi"/>
        <w:noProof/>
        <w:color w:val="1C2442"/>
      </w:rPr>
      <w:drawing>
        <wp:inline distT="0" distB="0" distL="0" distR="0" wp14:anchorId="69AEBC12" wp14:editId="6F71FCCA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72"/>
    <w:rsid w:val="00002253"/>
    <w:rsid w:val="000202FC"/>
    <w:rsid w:val="00021A13"/>
    <w:rsid w:val="00030FEF"/>
    <w:rsid w:val="000401D4"/>
    <w:rsid w:val="00047E3C"/>
    <w:rsid w:val="000535EE"/>
    <w:rsid w:val="00071F3A"/>
    <w:rsid w:val="00077387"/>
    <w:rsid w:val="000B470C"/>
    <w:rsid w:val="000C3DB7"/>
    <w:rsid w:val="000D19B0"/>
    <w:rsid w:val="000E1112"/>
    <w:rsid w:val="000E1C75"/>
    <w:rsid w:val="000E7CAC"/>
    <w:rsid w:val="0010471C"/>
    <w:rsid w:val="001055E2"/>
    <w:rsid w:val="00116C62"/>
    <w:rsid w:val="001172C1"/>
    <w:rsid w:val="0012371C"/>
    <w:rsid w:val="00133DB5"/>
    <w:rsid w:val="00185AF3"/>
    <w:rsid w:val="001B1A35"/>
    <w:rsid w:val="001C7DDA"/>
    <w:rsid w:val="001D1F6F"/>
    <w:rsid w:val="001D4451"/>
    <w:rsid w:val="001E0126"/>
    <w:rsid w:val="00211021"/>
    <w:rsid w:val="00222BCB"/>
    <w:rsid w:val="00223566"/>
    <w:rsid w:val="00230BC0"/>
    <w:rsid w:val="0023354A"/>
    <w:rsid w:val="0024131D"/>
    <w:rsid w:val="00242BF7"/>
    <w:rsid w:val="00242C09"/>
    <w:rsid w:val="00275D52"/>
    <w:rsid w:val="00277308"/>
    <w:rsid w:val="00281B7B"/>
    <w:rsid w:val="00287850"/>
    <w:rsid w:val="00293826"/>
    <w:rsid w:val="002A45E3"/>
    <w:rsid w:val="002A4848"/>
    <w:rsid w:val="002B3C65"/>
    <w:rsid w:val="002B4CE2"/>
    <w:rsid w:val="002B7A4C"/>
    <w:rsid w:val="002C6DB1"/>
    <w:rsid w:val="002D212D"/>
    <w:rsid w:val="002D2BCF"/>
    <w:rsid w:val="002F2A5C"/>
    <w:rsid w:val="003106CA"/>
    <w:rsid w:val="00312E57"/>
    <w:rsid w:val="00331404"/>
    <w:rsid w:val="00345891"/>
    <w:rsid w:val="00345D23"/>
    <w:rsid w:val="0035082B"/>
    <w:rsid w:val="00373AB7"/>
    <w:rsid w:val="003833A9"/>
    <w:rsid w:val="003B18C4"/>
    <w:rsid w:val="003B6BFD"/>
    <w:rsid w:val="003D08D0"/>
    <w:rsid w:val="003D37D9"/>
    <w:rsid w:val="00403210"/>
    <w:rsid w:val="00403C68"/>
    <w:rsid w:val="00417BA6"/>
    <w:rsid w:val="00421374"/>
    <w:rsid w:val="00432028"/>
    <w:rsid w:val="00447739"/>
    <w:rsid w:val="004546BE"/>
    <w:rsid w:val="00482E07"/>
    <w:rsid w:val="004A426D"/>
    <w:rsid w:val="004B14DC"/>
    <w:rsid w:val="004C1380"/>
    <w:rsid w:val="004C13BE"/>
    <w:rsid w:val="004D31F3"/>
    <w:rsid w:val="004D6267"/>
    <w:rsid w:val="004E1153"/>
    <w:rsid w:val="004E3305"/>
    <w:rsid w:val="004E5551"/>
    <w:rsid w:val="004F29DC"/>
    <w:rsid w:val="004F45F3"/>
    <w:rsid w:val="005051D3"/>
    <w:rsid w:val="00524787"/>
    <w:rsid w:val="005407AB"/>
    <w:rsid w:val="0055151D"/>
    <w:rsid w:val="00551C07"/>
    <w:rsid w:val="00582737"/>
    <w:rsid w:val="005C53FA"/>
    <w:rsid w:val="005D50F5"/>
    <w:rsid w:val="005E75D0"/>
    <w:rsid w:val="005F7BE0"/>
    <w:rsid w:val="0060096A"/>
    <w:rsid w:val="006026DC"/>
    <w:rsid w:val="00620192"/>
    <w:rsid w:val="006215EA"/>
    <w:rsid w:val="00641109"/>
    <w:rsid w:val="0065044E"/>
    <w:rsid w:val="006571D0"/>
    <w:rsid w:val="0066746D"/>
    <w:rsid w:val="0067127E"/>
    <w:rsid w:val="00684210"/>
    <w:rsid w:val="00692840"/>
    <w:rsid w:val="006C102F"/>
    <w:rsid w:val="006F342F"/>
    <w:rsid w:val="00712641"/>
    <w:rsid w:val="00714EBB"/>
    <w:rsid w:val="007278FF"/>
    <w:rsid w:val="00735AB0"/>
    <w:rsid w:val="00740778"/>
    <w:rsid w:val="00766D17"/>
    <w:rsid w:val="007712B5"/>
    <w:rsid w:val="007B6EFD"/>
    <w:rsid w:val="007C4559"/>
    <w:rsid w:val="008035D2"/>
    <w:rsid w:val="00823614"/>
    <w:rsid w:val="00830A7F"/>
    <w:rsid w:val="00836B87"/>
    <w:rsid w:val="008371AB"/>
    <w:rsid w:val="008468BE"/>
    <w:rsid w:val="0087078E"/>
    <w:rsid w:val="00876647"/>
    <w:rsid w:val="00886E46"/>
    <w:rsid w:val="008921A3"/>
    <w:rsid w:val="0089694A"/>
    <w:rsid w:val="008D06D3"/>
    <w:rsid w:val="008D5BBD"/>
    <w:rsid w:val="008D72B8"/>
    <w:rsid w:val="00925D8F"/>
    <w:rsid w:val="00927DDA"/>
    <w:rsid w:val="0093375F"/>
    <w:rsid w:val="00940B47"/>
    <w:rsid w:val="0095584D"/>
    <w:rsid w:val="009A3330"/>
    <w:rsid w:val="009A5DF1"/>
    <w:rsid w:val="009B082A"/>
    <w:rsid w:val="009C4D8B"/>
    <w:rsid w:val="009C511E"/>
    <w:rsid w:val="009D3028"/>
    <w:rsid w:val="009D6409"/>
    <w:rsid w:val="009E1081"/>
    <w:rsid w:val="009E2F6A"/>
    <w:rsid w:val="009F1B89"/>
    <w:rsid w:val="00A1051E"/>
    <w:rsid w:val="00A26733"/>
    <w:rsid w:val="00A52DB8"/>
    <w:rsid w:val="00A71DF3"/>
    <w:rsid w:val="00A72A6B"/>
    <w:rsid w:val="00A80EE7"/>
    <w:rsid w:val="00A90AE1"/>
    <w:rsid w:val="00AB5D6B"/>
    <w:rsid w:val="00AC572E"/>
    <w:rsid w:val="00AD2BF7"/>
    <w:rsid w:val="00AD49DB"/>
    <w:rsid w:val="00AE1381"/>
    <w:rsid w:val="00AE7A1A"/>
    <w:rsid w:val="00B05512"/>
    <w:rsid w:val="00B11D70"/>
    <w:rsid w:val="00B31DA5"/>
    <w:rsid w:val="00B45071"/>
    <w:rsid w:val="00B501AF"/>
    <w:rsid w:val="00B5181D"/>
    <w:rsid w:val="00BA56BF"/>
    <w:rsid w:val="00BB0309"/>
    <w:rsid w:val="00BB332F"/>
    <w:rsid w:val="00BD2A43"/>
    <w:rsid w:val="00BF6788"/>
    <w:rsid w:val="00BF7182"/>
    <w:rsid w:val="00C07617"/>
    <w:rsid w:val="00C159CA"/>
    <w:rsid w:val="00C17E23"/>
    <w:rsid w:val="00C52D81"/>
    <w:rsid w:val="00C85A3F"/>
    <w:rsid w:val="00C93580"/>
    <w:rsid w:val="00CB16E8"/>
    <w:rsid w:val="00CB62A6"/>
    <w:rsid w:val="00CC7972"/>
    <w:rsid w:val="00CD5274"/>
    <w:rsid w:val="00CD62F3"/>
    <w:rsid w:val="00CF27FA"/>
    <w:rsid w:val="00D4749F"/>
    <w:rsid w:val="00D52C85"/>
    <w:rsid w:val="00D54E90"/>
    <w:rsid w:val="00D54EBE"/>
    <w:rsid w:val="00D82645"/>
    <w:rsid w:val="00D85409"/>
    <w:rsid w:val="00DB2915"/>
    <w:rsid w:val="00DB2993"/>
    <w:rsid w:val="00DC2608"/>
    <w:rsid w:val="00DD4922"/>
    <w:rsid w:val="00E0466F"/>
    <w:rsid w:val="00E12D0A"/>
    <w:rsid w:val="00E20D8C"/>
    <w:rsid w:val="00E319EA"/>
    <w:rsid w:val="00E62784"/>
    <w:rsid w:val="00E94316"/>
    <w:rsid w:val="00EB3176"/>
    <w:rsid w:val="00EB5A8F"/>
    <w:rsid w:val="00EC65D3"/>
    <w:rsid w:val="00ED4AEF"/>
    <w:rsid w:val="00EE008C"/>
    <w:rsid w:val="00F077A0"/>
    <w:rsid w:val="00F14509"/>
    <w:rsid w:val="00F17973"/>
    <w:rsid w:val="00F26DD7"/>
    <w:rsid w:val="00F32614"/>
    <w:rsid w:val="00F34637"/>
    <w:rsid w:val="00F42082"/>
    <w:rsid w:val="00F974F0"/>
    <w:rsid w:val="00FC404A"/>
    <w:rsid w:val="00FC4C41"/>
    <w:rsid w:val="00FD6C34"/>
    <w:rsid w:val="00FD79B1"/>
    <w:rsid w:val="00FF60A6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5263"/>
  <w15:chartTrackingRefBased/>
  <w15:docId w15:val="{76A52E5D-0D3D-410C-9CF5-C6D1824A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42F"/>
    <w:pPr>
      <w:spacing w:after="0" w:line="240" w:lineRule="auto"/>
    </w:pPr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9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9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9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9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9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9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9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9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9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9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9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9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9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9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9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97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9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7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9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7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9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7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F3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342F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6F3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42F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character" w:styleId="Hipercze">
    <w:name w:val="Hyperlink"/>
    <w:semiHidden/>
    <w:rsid w:val="006F342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319EA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61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614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6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614"/>
    <w:rPr>
      <w:rFonts w:ascii="Trebuchet MS" w:eastAsia="Times New Roman" w:hAnsi="Trebuchet MS" w:cs="Arial"/>
      <w:b/>
      <w:bCs/>
      <w:color w:val="000000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23566"/>
    <w:pPr>
      <w:spacing w:after="0" w:line="240" w:lineRule="auto"/>
    </w:pPr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company/zp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zpf.pl/pozabankowe-finansowanie-przedsiebiorstw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3A51-9BDB-44B8-A38A-5E7AFED6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Frąckowiak</dc:creator>
  <cp:keywords/>
  <dc:description/>
  <cp:lastModifiedBy>Agnieszka Frąckowiak</cp:lastModifiedBy>
  <cp:revision>18</cp:revision>
  <cp:lastPrinted>2026-01-27T15:25:00Z</cp:lastPrinted>
  <dcterms:created xsi:type="dcterms:W3CDTF">2026-01-28T09:16:00Z</dcterms:created>
  <dcterms:modified xsi:type="dcterms:W3CDTF">2026-02-03T09:58:00Z</dcterms:modified>
</cp:coreProperties>
</file>