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E154" w14:textId="77777777" w:rsidR="006F342F" w:rsidRPr="00A31B4E" w:rsidRDefault="006F342F" w:rsidP="00E319EA">
      <w:pPr>
        <w:pBdr>
          <w:bottom w:val="single" w:sz="12" w:space="1" w:color="auto"/>
        </w:pBdr>
        <w:jc w:val="both"/>
        <w:rPr>
          <w:rFonts w:ascii="Cambria" w:hAnsi="Cambria" w:cs="Times New Roman"/>
          <w:b/>
          <w:color w:val="auto"/>
          <w:sz w:val="21"/>
          <w:szCs w:val="21"/>
        </w:rPr>
      </w:pPr>
      <w:r w:rsidRPr="00A31B4E">
        <w:rPr>
          <w:rFonts w:ascii="Cambria" w:hAnsi="Cambria"/>
          <w:b/>
          <w:sz w:val="21"/>
          <w:szCs w:val="21"/>
        </w:rPr>
        <w:t>INFORMACJA PRASOWA</w:t>
      </w:r>
    </w:p>
    <w:p w14:paraId="4772FF46" w14:textId="7D7AC8E3" w:rsidR="006F342F" w:rsidRPr="00A31B4E" w:rsidRDefault="009B17D4" w:rsidP="00E319EA">
      <w:pPr>
        <w:jc w:val="both"/>
        <w:rPr>
          <w:rFonts w:ascii="Cambria" w:hAnsi="Cambria"/>
          <w:sz w:val="21"/>
          <w:szCs w:val="21"/>
        </w:rPr>
      </w:pPr>
      <w:r w:rsidRPr="00A31B4E">
        <w:rPr>
          <w:rFonts w:ascii="Cambria" w:hAnsi="Cambria"/>
          <w:sz w:val="21"/>
          <w:szCs w:val="21"/>
        </w:rPr>
        <w:t xml:space="preserve">Gdańsk, </w:t>
      </w:r>
      <w:r>
        <w:rPr>
          <w:rFonts w:ascii="Cambria" w:hAnsi="Cambria"/>
          <w:sz w:val="21"/>
          <w:szCs w:val="21"/>
        </w:rPr>
        <w:t xml:space="preserve">17 </w:t>
      </w:r>
      <w:r w:rsidRPr="00A31B4E">
        <w:rPr>
          <w:rFonts w:ascii="Cambria" w:hAnsi="Cambria"/>
          <w:sz w:val="21"/>
          <w:szCs w:val="21"/>
        </w:rPr>
        <w:t>lutego</w:t>
      </w:r>
      <w:r w:rsidR="006F342F" w:rsidRPr="00A31B4E">
        <w:rPr>
          <w:rFonts w:ascii="Cambria" w:hAnsi="Cambria"/>
          <w:sz w:val="21"/>
          <w:szCs w:val="21"/>
        </w:rPr>
        <w:t xml:space="preserve"> 2026 r.</w:t>
      </w:r>
    </w:p>
    <w:p w14:paraId="446787E3" w14:textId="65E610E2" w:rsidR="00A31B4E" w:rsidRPr="00A31B4E" w:rsidRDefault="00A31B4E" w:rsidP="00A31B4E">
      <w:pPr>
        <w:spacing w:before="100" w:beforeAutospacing="1" w:after="100" w:afterAutospacing="1"/>
        <w:jc w:val="both"/>
        <w:outlineLvl w:val="2"/>
        <w:rPr>
          <w:rFonts w:ascii="Cambria" w:hAnsi="Cambria" w:cs="Times New Roman"/>
          <w:b/>
          <w:bCs/>
          <w:color w:val="215E99" w:themeColor="text2" w:themeTint="BF"/>
          <w:sz w:val="28"/>
          <w:szCs w:val="28"/>
        </w:rPr>
      </w:pPr>
      <w:r w:rsidRPr="00A31B4E">
        <w:rPr>
          <w:rFonts w:ascii="Cambria" w:hAnsi="Cambria" w:cs="Times New Roman"/>
          <w:b/>
          <w:bCs/>
          <w:color w:val="215E99" w:themeColor="text2" w:themeTint="BF"/>
          <w:sz w:val="28"/>
          <w:szCs w:val="28"/>
        </w:rPr>
        <w:t>ESG po korekcie regulacyjnej: konsekwencje dla sektora finansowego w 2026 r</w:t>
      </w:r>
      <w:r w:rsidR="007B6721">
        <w:rPr>
          <w:rFonts w:ascii="Cambria" w:hAnsi="Cambria" w:cs="Times New Roman"/>
          <w:b/>
          <w:bCs/>
          <w:color w:val="215E99" w:themeColor="text2" w:themeTint="BF"/>
          <w:sz w:val="28"/>
          <w:szCs w:val="28"/>
        </w:rPr>
        <w:t>oku</w:t>
      </w:r>
    </w:p>
    <w:p w14:paraId="51EC33F8" w14:textId="1D309BCD"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Najbliższe miesiące nie przyniosą odwrotu od ESG, lecz jego instytucjonalne utrwalenie. Możemy spodziewać się zmiany akcentów, a nie</w:t>
      </w:r>
      <w:r w:rsidR="00AD3DB6">
        <w:rPr>
          <w:rFonts w:ascii="Cambria" w:hAnsi="Cambria" w:cs="Calibri"/>
          <w:b/>
          <w:bCs/>
          <w:iCs/>
          <w:color w:val="auto"/>
          <w:spacing w:val="-2"/>
          <w:sz w:val="21"/>
          <w:szCs w:val="21"/>
        </w:rPr>
        <w:t xml:space="preserve"> zmiany</w:t>
      </w:r>
      <w:r w:rsidRPr="00A31B4E">
        <w:rPr>
          <w:rFonts w:ascii="Cambria" w:hAnsi="Cambria" w:cs="Calibri"/>
          <w:b/>
          <w:bCs/>
          <w:iCs/>
          <w:color w:val="auto"/>
          <w:spacing w:val="-2"/>
          <w:sz w:val="21"/>
          <w:szCs w:val="21"/>
        </w:rPr>
        <w:t xml:space="preserve"> kierunku. Pomimo </w:t>
      </w:r>
      <w:r w:rsidR="00CE382F">
        <w:rPr>
          <w:rFonts w:ascii="Cambria" w:hAnsi="Cambria" w:cs="Calibri"/>
          <w:b/>
          <w:bCs/>
          <w:iCs/>
          <w:color w:val="auto"/>
          <w:spacing w:val="-2"/>
          <w:sz w:val="21"/>
          <w:szCs w:val="21"/>
        </w:rPr>
        <w:t>korekt</w:t>
      </w:r>
      <w:r w:rsidRPr="00A31B4E">
        <w:rPr>
          <w:rFonts w:ascii="Cambria" w:hAnsi="Cambria" w:cs="Calibri"/>
          <w:b/>
          <w:bCs/>
          <w:iCs/>
          <w:color w:val="auto"/>
          <w:spacing w:val="-2"/>
          <w:sz w:val="21"/>
          <w:szCs w:val="21"/>
        </w:rPr>
        <w:t xml:space="preserve"> legislacy</w:t>
      </w:r>
      <w:r w:rsidR="00CE382F">
        <w:rPr>
          <w:rFonts w:ascii="Cambria" w:hAnsi="Cambria" w:cs="Calibri"/>
          <w:b/>
          <w:bCs/>
          <w:iCs/>
          <w:color w:val="auto"/>
          <w:spacing w:val="-2"/>
          <w:sz w:val="21"/>
          <w:szCs w:val="21"/>
        </w:rPr>
        <w:t>jn</w:t>
      </w:r>
      <w:r w:rsidR="00AD3DB6">
        <w:rPr>
          <w:rFonts w:ascii="Cambria" w:hAnsi="Cambria" w:cs="Calibri"/>
          <w:b/>
          <w:bCs/>
          <w:iCs/>
          <w:color w:val="auto"/>
          <w:spacing w:val="-2"/>
          <w:sz w:val="21"/>
          <w:szCs w:val="21"/>
        </w:rPr>
        <w:t>ych</w:t>
      </w:r>
      <w:r w:rsidRPr="00A31B4E">
        <w:rPr>
          <w:rFonts w:ascii="Cambria" w:hAnsi="Cambria" w:cs="Calibri"/>
          <w:b/>
          <w:bCs/>
          <w:iCs/>
          <w:color w:val="auto"/>
          <w:spacing w:val="-2"/>
          <w:sz w:val="21"/>
          <w:szCs w:val="21"/>
        </w:rPr>
        <w:t xml:space="preserve"> </w:t>
      </w:r>
      <w:r w:rsidR="006868C2">
        <w:rPr>
          <w:rFonts w:ascii="Cambria" w:hAnsi="Cambria" w:cs="Calibri"/>
          <w:b/>
          <w:bCs/>
          <w:iCs/>
          <w:color w:val="auto"/>
          <w:spacing w:val="-2"/>
          <w:sz w:val="21"/>
          <w:szCs w:val="21"/>
        </w:rPr>
        <w:br/>
      </w:r>
      <w:r w:rsidRPr="00A31B4E">
        <w:rPr>
          <w:rFonts w:ascii="Cambria" w:hAnsi="Cambria" w:cs="Calibri"/>
          <w:b/>
          <w:bCs/>
          <w:iCs/>
          <w:color w:val="auto"/>
          <w:spacing w:val="-2"/>
          <w:sz w:val="21"/>
          <w:szCs w:val="21"/>
        </w:rPr>
        <w:t>i przesunięć terminów raportowych, ESG coraz wyraźniej przestaje być kwestią deklaracji, a staje się elementem realnego zarządzania ryzykiem – szczególnie w sektorze finansowym.</w:t>
      </w:r>
    </w:p>
    <w:p w14:paraId="23564861" w14:textId="77777777" w:rsidR="00A31B4E" w:rsidRDefault="00A31B4E" w:rsidP="00A31B4E">
      <w:pPr>
        <w:jc w:val="both"/>
        <w:rPr>
          <w:rFonts w:ascii="Cambria" w:hAnsi="Cambria" w:cs="Calibri"/>
          <w:iCs/>
          <w:color w:val="auto"/>
          <w:spacing w:val="-2"/>
          <w:sz w:val="21"/>
          <w:szCs w:val="21"/>
        </w:rPr>
      </w:pPr>
    </w:p>
    <w:p w14:paraId="6D92939F" w14:textId="3112335C"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 xml:space="preserve">Komentarz dr Marty </w:t>
      </w:r>
      <w:proofErr w:type="spellStart"/>
      <w:r w:rsidRPr="00A31B4E">
        <w:rPr>
          <w:rFonts w:ascii="Cambria" w:hAnsi="Cambria" w:cs="Calibri"/>
          <w:b/>
          <w:bCs/>
          <w:iCs/>
          <w:color w:val="auto"/>
          <w:spacing w:val="-2"/>
          <w:sz w:val="21"/>
          <w:szCs w:val="21"/>
        </w:rPr>
        <w:t>Zbuckiej-Gargas</w:t>
      </w:r>
      <w:proofErr w:type="spellEnd"/>
      <w:r w:rsidRPr="00A31B4E">
        <w:rPr>
          <w:rFonts w:ascii="Cambria" w:hAnsi="Cambria" w:cs="Calibri"/>
          <w:b/>
          <w:bCs/>
          <w:iCs/>
          <w:color w:val="auto"/>
          <w:spacing w:val="-2"/>
          <w:sz w:val="21"/>
          <w:szCs w:val="21"/>
        </w:rPr>
        <w:t>, Koordynatorki Zespołu ds. ESG w Związku Przedsiębiorstw Finansowych</w:t>
      </w:r>
      <w:r>
        <w:rPr>
          <w:rFonts w:ascii="Cambria" w:hAnsi="Cambria" w:cs="Calibri"/>
          <w:b/>
          <w:bCs/>
          <w:iCs/>
          <w:color w:val="auto"/>
          <w:spacing w:val="-2"/>
          <w:sz w:val="21"/>
          <w:szCs w:val="21"/>
        </w:rPr>
        <w:t xml:space="preserve"> (ZPF)</w:t>
      </w:r>
    </w:p>
    <w:p w14:paraId="2A4E6179" w14:textId="77777777" w:rsidR="00A31B4E" w:rsidRPr="00A31B4E" w:rsidRDefault="00A31B4E" w:rsidP="00A31B4E">
      <w:pPr>
        <w:jc w:val="both"/>
        <w:rPr>
          <w:rFonts w:ascii="Cambria" w:hAnsi="Cambria" w:cs="Calibri"/>
          <w:iCs/>
          <w:color w:val="auto"/>
          <w:spacing w:val="-2"/>
          <w:sz w:val="21"/>
          <w:szCs w:val="21"/>
        </w:rPr>
      </w:pPr>
    </w:p>
    <w:p w14:paraId="2B36357F" w14:textId="6CD5CF54" w:rsidR="00A31B4E" w:rsidRPr="00A31B4E" w:rsidRDefault="00AF176D" w:rsidP="00A31B4E">
      <w:pPr>
        <w:jc w:val="both"/>
        <w:rPr>
          <w:rFonts w:ascii="Cambria" w:hAnsi="Cambria" w:cs="Calibri"/>
          <w:iCs/>
          <w:color w:val="auto"/>
          <w:spacing w:val="-2"/>
          <w:sz w:val="21"/>
          <w:szCs w:val="21"/>
        </w:rPr>
      </w:pPr>
      <w:r w:rsidRPr="00AF176D">
        <w:rPr>
          <w:rFonts w:ascii="Cambria" w:hAnsi="Cambria" w:cs="Calibri"/>
          <w:iCs/>
          <w:color w:val="auto"/>
          <w:spacing w:val="-2"/>
          <w:sz w:val="21"/>
          <w:szCs w:val="21"/>
        </w:rPr>
        <w:t xml:space="preserve">Jako największa </w:t>
      </w:r>
      <w:proofErr w:type="spellStart"/>
      <w:r w:rsidRPr="00AF176D">
        <w:rPr>
          <w:rFonts w:ascii="Cambria" w:hAnsi="Cambria" w:cs="Calibri"/>
          <w:iCs/>
          <w:color w:val="auto"/>
          <w:spacing w:val="-2"/>
          <w:sz w:val="21"/>
          <w:szCs w:val="21"/>
        </w:rPr>
        <w:t>multisektorowa</w:t>
      </w:r>
      <w:proofErr w:type="spellEnd"/>
      <w:r w:rsidRPr="00AF176D">
        <w:rPr>
          <w:rFonts w:ascii="Cambria" w:hAnsi="Cambria" w:cs="Calibri"/>
          <w:iCs/>
          <w:color w:val="auto"/>
          <w:spacing w:val="-2"/>
          <w:sz w:val="21"/>
          <w:szCs w:val="21"/>
        </w:rPr>
        <w:t xml:space="preserve"> organizacja podmiotów rynku finansowego w Polsce obserwujemy </w:t>
      </w:r>
      <w:r w:rsidR="006868C2">
        <w:rPr>
          <w:rFonts w:ascii="Cambria" w:hAnsi="Cambria" w:cs="Calibri"/>
          <w:iCs/>
          <w:color w:val="auto"/>
          <w:spacing w:val="-2"/>
          <w:sz w:val="21"/>
          <w:szCs w:val="21"/>
        </w:rPr>
        <w:br/>
      </w:r>
      <w:r w:rsidRPr="00AF176D">
        <w:rPr>
          <w:rFonts w:ascii="Cambria" w:hAnsi="Cambria" w:cs="Calibri"/>
          <w:iCs/>
          <w:color w:val="auto"/>
          <w:spacing w:val="-2"/>
          <w:sz w:val="21"/>
          <w:szCs w:val="21"/>
        </w:rPr>
        <w:t>i analizujemy konsekwencje zmian ESG zarówno z perspektywy regulacyjnej, jak i praktyki rynkowej. Dzięki szerokim konsultacjom z członkami oraz uczestnictwu w procesie legislacyjnym, ZPF identyfikuje kluczowe wyzwania i wspólne kierunki adaptacji dla sektora.</w:t>
      </w:r>
      <w:r>
        <w:rPr>
          <w:rFonts w:ascii="Cambria" w:hAnsi="Cambria" w:cs="Calibri"/>
          <w:iCs/>
          <w:color w:val="auto"/>
          <w:spacing w:val="-2"/>
          <w:sz w:val="21"/>
          <w:szCs w:val="21"/>
        </w:rPr>
        <w:t xml:space="preserve"> </w:t>
      </w:r>
      <w:r w:rsidR="00A31B4E" w:rsidRPr="00A31B4E">
        <w:rPr>
          <w:rFonts w:ascii="Cambria" w:hAnsi="Cambria" w:cs="Calibri"/>
          <w:iCs/>
          <w:color w:val="auto"/>
          <w:spacing w:val="-2"/>
          <w:sz w:val="21"/>
          <w:szCs w:val="21"/>
        </w:rPr>
        <w:t xml:space="preserve">ESG od kilku lat przekształca się </w:t>
      </w:r>
      <w:r w:rsidR="006868C2">
        <w:rPr>
          <w:rFonts w:ascii="Cambria" w:hAnsi="Cambria" w:cs="Calibri"/>
          <w:iCs/>
          <w:color w:val="auto"/>
          <w:spacing w:val="-2"/>
          <w:sz w:val="21"/>
          <w:szCs w:val="21"/>
        </w:rPr>
        <w:br/>
      </w:r>
      <w:r w:rsidR="00A31B4E" w:rsidRPr="00A31B4E">
        <w:rPr>
          <w:rFonts w:ascii="Cambria" w:hAnsi="Cambria" w:cs="Calibri"/>
          <w:iCs/>
          <w:color w:val="auto"/>
          <w:spacing w:val="-2"/>
          <w:sz w:val="21"/>
          <w:szCs w:val="21"/>
        </w:rPr>
        <w:t xml:space="preserve">z aspiracyjnej narracji w obligatoryjny element zarządzania ryzykiem oraz strategii długoterminowej przedsiębiorstw. O ile jeszcze kilka lat temu bywało postrzegane głównie jako narzędzie komunikacji lub marketingu, dziś brak przygotowania </w:t>
      </w:r>
      <w:r w:rsidR="00E14586">
        <w:rPr>
          <w:rFonts w:ascii="Cambria" w:hAnsi="Cambria" w:cs="Calibri"/>
          <w:iCs/>
          <w:color w:val="auto"/>
          <w:spacing w:val="-2"/>
          <w:sz w:val="21"/>
          <w:szCs w:val="21"/>
        </w:rPr>
        <w:t>w zakresie</w:t>
      </w:r>
      <w:r w:rsidR="00A31B4E" w:rsidRPr="00A31B4E">
        <w:rPr>
          <w:rFonts w:ascii="Cambria" w:hAnsi="Cambria" w:cs="Calibri"/>
          <w:iCs/>
          <w:color w:val="auto"/>
          <w:spacing w:val="-2"/>
          <w:sz w:val="21"/>
          <w:szCs w:val="21"/>
        </w:rPr>
        <w:t xml:space="preserve"> transparentności, danych niefinansowych i oceny </w:t>
      </w:r>
      <w:proofErr w:type="spellStart"/>
      <w:r w:rsidR="00A31B4E" w:rsidRPr="00A31B4E">
        <w:rPr>
          <w:rFonts w:ascii="Cambria" w:hAnsi="Cambria" w:cs="Calibri"/>
          <w:iCs/>
          <w:color w:val="auto"/>
          <w:spacing w:val="-2"/>
          <w:sz w:val="21"/>
          <w:szCs w:val="21"/>
        </w:rPr>
        <w:t>ryzyk</w:t>
      </w:r>
      <w:proofErr w:type="spellEnd"/>
      <w:r w:rsidR="00A31B4E" w:rsidRPr="00A31B4E">
        <w:rPr>
          <w:rFonts w:ascii="Cambria" w:hAnsi="Cambria" w:cs="Calibri"/>
          <w:iCs/>
          <w:color w:val="auto"/>
          <w:spacing w:val="-2"/>
          <w:sz w:val="21"/>
          <w:szCs w:val="21"/>
        </w:rPr>
        <w:t xml:space="preserve"> ESG realnie naraża firmy na ryzyka </w:t>
      </w:r>
      <w:proofErr w:type="spellStart"/>
      <w:r w:rsidR="00A31B4E" w:rsidRPr="00A31B4E">
        <w:rPr>
          <w:rFonts w:ascii="Cambria" w:hAnsi="Cambria" w:cs="Calibri"/>
          <w:iCs/>
          <w:color w:val="auto"/>
          <w:spacing w:val="-2"/>
          <w:sz w:val="21"/>
          <w:szCs w:val="21"/>
        </w:rPr>
        <w:t>reputacyjne</w:t>
      </w:r>
      <w:proofErr w:type="spellEnd"/>
      <w:r w:rsidR="00A31B4E" w:rsidRPr="00A31B4E">
        <w:rPr>
          <w:rFonts w:ascii="Cambria" w:hAnsi="Cambria" w:cs="Calibri"/>
          <w:iCs/>
          <w:color w:val="auto"/>
          <w:spacing w:val="-2"/>
          <w:sz w:val="21"/>
          <w:szCs w:val="21"/>
        </w:rPr>
        <w:t>, inwestycyjne i operacyjne. Coraz więcej jurysdykcji na świecie wprowadza obowiązkowe wymogi ujawnień, co jednoznacznie pokazuje, że ESG nie jest przejściowym trendem, lecz nowym standardem funkcjonowania biznesu.</w:t>
      </w:r>
    </w:p>
    <w:p w14:paraId="6BAAC0BA" w14:textId="77777777" w:rsidR="00A31B4E" w:rsidRDefault="00A31B4E" w:rsidP="00A31B4E">
      <w:pPr>
        <w:jc w:val="both"/>
        <w:rPr>
          <w:rFonts w:ascii="Cambria" w:hAnsi="Cambria" w:cs="Calibri"/>
          <w:iCs/>
          <w:color w:val="auto"/>
          <w:spacing w:val="-2"/>
          <w:sz w:val="21"/>
          <w:szCs w:val="21"/>
        </w:rPr>
      </w:pPr>
    </w:p>
    <w:p w14:paraId="5E95D2A6" w14:textId="77777777"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Co dalej z Omnibusem?</w:t>
      </w:r>
    </w:p>
    <w:p w14:paraId="2247CC00" w14:textId="77777777" w:rsidR="00A31B4E" w:rsidRDefault="00A31B4E" w:rsidP="00A31B4E">
      <w:pPr>
        <w:jc w:val="both"/>
        <w:rPr>
          <w:rFonts w:ascii="Cambria" w:hAnsi="Cambria" w:cs="Calibri"/>
          <w:iCs/>
          <w:color w:val="auto"/>
          <w:spacing w:val="-2"/>
          <w:sz w:val="21"/>
          <w:szCs w:val="21"/>
        </w:rPr>
      </w:pPr>
    </w:p>
    <w:p w14:paraId="59AF10FE" w14:textId="617FAAC5" w:rsidR="00A31B4E" w:rsidRP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W Unii Europejskiej rok 2025 przyniósł istotną korektę tempa wdrażania regulacji ESG. Parlament Europejski i Rada UE przyjęły tzw. pakiet Omnibus, który przewiduje przesunięcie w czasie obowiązków raportowych oraz zmniejszenie liczby podmiotów objętych bezpośrednim obowiązkiem raportowania. Zmiany te obejmują m.in. odroczenie terminów raportowania oraz podniesienie progów, od których firmy podlegają regulacjom CSRD. Wbrew niektórym narracjom rynkowym nie oznacza to jednak osłabienia roli ESG, lecz raczej próbę dostosowania regulacji do realnych możliwości przedsiębiorstw </w:t>
      </w:r>
      <w:r w:rsidR="006868C2">
        <w:rPr>
          <w:rFonts w:ascii="Cambria" w:hAnsi="Cambria" w:cs="Calibri"/>
          <w:iCs/>
          <w:color w:val="auto"/>
          <w:spacing w:val="-2"/>
          <w:sz w:val="21"/>
          <w:szCs w:val="21"/>
        </w:rPr>
        <w:br/>
      </w:r>
      <w:r w:rsidRPr="00A31B4E">
        <w:rPr>
          <w:rFonts w:ascii="Cambria" w:hAnsi="Cambria" w:cs="Calibri"/>
          <w:iCs/>
          <w:color w:val="auto"/>
          <w:spacing w:val="-2"/>
          <w:sz w:val="21"/>
          <w:szCs w:val="21"/>
        </w:rPr>
        <w:t>i jakości danych.</w:t>
      </w:r>
    </w:p>
    <w:p w14:paraId="72322284" w14:textId="77777777" w:rsidR="00A31B4E" w:rsidRPr="00A31B4E" w:rsidRDefault="00A31B4E" w:rsidP="00A31B4E">
      <w:pPr>
        <w:jc w:val="both"/>
        <w:rPr>
          <w:rFonts w:ascii="Cambria" w:hAnsi="Cambria" w:cs="Calibri"/>
          <w:b/>
          <w:bCs/>
          <w:iCs/>
          <w:color w:val="auto"/>
          <w:spacing w:val="-2"/>
          <w:sz w:val="21"/>
          <w:szCs w:val="21"/>
        </w:rPr>
      </w:pPr>
    </w:p>
    <w:p w14:paraId="2C2BC188" w14:textId="3769D58C" w:rsid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Sektor finansowy – kluczowy filar wdrażania ESG</w:t>
      </w:r>
    </w:p>
    <w:p w14:paraId="5A08F98E" w14:textId="77777777" w:rsidR="00A31B4E" w:rsidRPr="00A31B4E" w:rsidRDefault="00A31B4E" w:rsidP="00A31B4E">
      <w:pPr>
        <w:jc w:val="both"/>
        <w:rPr>
          <w:rFonts w:ascii="Cambria" w:hAnsi="Cambria" w:cs="Calibri"/>
          <w:b/>
          <w:bCs/>
          <w:iCs/>
          <w:color w:val="auto"/>
          <w:spacing w:val="-2"/>
          <w:sz w:val="21"/>
          <w:szCs w:val="21"/>
        </w:rPr>
      </w:pPr>
    </w:p>
    <w:p w14:paraId="6B817AAC" w14:textId="67C2A6C3" w:rsidR="00E65046"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Szczególnie wyraźnie widać to w sektorze finansowym, który – niezależnie od zmian w CSRD – pozostaje w centrum systemu ESG, podlegając innym, równoległym regulacjom. </w:t>
      </w:r>
      <w:r w:rsidR="002A6FA3" w:rsidRPr="002A6FA3">
        <w:rPr>
          <w:rFonts w:ascii="Cambria" w:hAnsi="Cambria" w:cs="Calibri"/>
          <w:iCs/>
          <w:color w:val="auto"/>
          <w:spacing w:val="-2"/>
          <w:sz w:val="21"/>
          <w:szCs w:val="21"/>
        </w:rPr>
        <w:t>W ramach swoich działań ZPF wspiera członków poprzez analizy skutków wdrażania ESG, dialog z organami nadzoru oraz stanowiska konsultowane z praktykami rynku, co ma na celu ułatwienie wykonalności i harmonizacji standardów branżowych</w:t>
      </w:r>
      <w:r w:rsidR="002A6FA3">
        <w:rPr>
          <w:rFonts w:ascii="Cambria" w:hAnsi="Cambria" w:cs="Calibri"/>
          <w:iCs/>
          <w:color w:val="auto"/>
          <w:spacing w:val="-2"/>
          <w:sz w:val="21"/>
          <w:szCs w:val="21"/>
        </w:rPr>
        <w:t xml:space="preserve">. </w:t>
      </w:r>
      <w:r w:rsidRPr="00A31B4E">
        <w:rPr>
          <w:rFonts w:ascii="Cambria" w:hAnsi="Cambria" w:cs="Calibri"/>
          <w:iCs/>
          <w:color w:val="auto"/>
          <w:spacing w:val="-2"/>
          <w:sz w:val="21"/>
          <w:szCs w:val="21"/>
        </w:rPr>
        <w:t xml:space="preserve">Dla sektora finansowego rok 2026 to przede wszystkim utrwalenie obowiązków związanych z SFDR, Taksonomią UE, Green </w:t>
      </w:r>
      <w:proofErr w:type="spellStart"/>
      <w:r w:rsidRPr="00A31B4E">
        <w:rPr>
          <w:rFonts w:ascii="Cambria" w:hAnsi="Cambria" w:cs="Calibri"/>
          <w:iCs/>
          <w:color w:val="auto"/>
          <w:spacing w:val="-2"/>
          <w:sz w:val="21"/>
          <w:szCs w:val="21"/>
        </w:rPr>
        <w:t>Asset</w:t>
      </w:r>
      <w:proofErr w:type="spellEnd"/>
      <w:r w:rsidRPr="00A31B4E">
        <w:rPr>
          <w:rFonts w:ascii="Cambria" w:hAnsi="Cambria" w:cs="Calibri"/>
          <w:iCs/>
          <w:color w:val="auto"/>
          <w:spacing w:val="-2"/>
          <w:sz w:val="21"/>
          <w:szCs w:val="21"/>
        </w:rPr>
        <w:t xml:space="preserve"> Ratio (GAR) oraz integracją </w:t>
      </w:r>
      <w:proofErr w:type="spellStart"/>
      <w:r w:rsidRPr="00A31B4E">
        <w:rPr>
          <w:rFonts w:ascii="Cambria" w:hAnsi="Cambria" w:cs="Calibri"/>
          <w:iCs/>
          <w:color w:val="auto"/>
          <w:spacing w:val="-2"/>
          <w:sz w:val="21"/>
          <w:szCs w:val="21"/>
        </w:rPr>
        <w:t>ryzyk</w:t>
      </w:r>
      <w:proofErr w:type="spellEnd"/>
      <w:r w:rsidRPr="00A31B4E">
        <w:rPr>
          <w:rFonts w:ascii="Cambria" w:hAnsi="Cambria" w:cs="Calibri"/>
          <w:iCs/>
          <w:color w:val="auto"/>
          <w:spacing w:val="-2"/>
          <w:sz w:val="21"/>
          <w:szCs w:val="21"/>
        </w:rPr>
        <w:t xml:space="preserve"> ESG z procesami zarządzania ryzykiem kredytowym i inwestycyjnym. Nawet po przesunięciach w CSRD instytucje finansowe, banki, fundusze, firmy pożyczkowe czy </w:t>
      </w:r>
      <w:proofErr w:type="spellStart"/>
      <w:r w:rsidRPr="00A31B4E">
        <w:rPr>
          <w:rFonts w:ascii="Cambria" w:hAnsi="Cambria" w:cs="Calibri"/>
          <w:iCs/>
          <w:color w:val="auto"/>
          <w:spacing w:val="-2"/>
          <w:sz w:val="21"/>
          <w:szCs w:val="21"/>
        </w:rPr>
        <w:t>fintechy</w:t>
      </w:r>
      <w:proofErr w:type="spellEnd"/>
      <w:r w:rsidRPr="00A31B4E">
        <w:rPr>
          <w:rFonts w:ascii="Cambria" w:hAnsi="Cambria" w:cs="Calibri"/>
          <w:iCs/>
          <w:color w:val="auto"/>
          <w:spacing w:val="-2"/>
          <w:sz w:val="21"/>
          <w:szCs w:val="21"/>
        </w:rPr>
        <w:t xml:space="preserve"> są zobowiązane do przygotowywania spójnych mechanizmów oceny portfeli, klientów i projektów pod kątem ESG, co ma realne konsekwencje dla cen kapitału i </w:t>
      </w:r>
      <w:proofErr w:type="spellStart"/>
      <w:r w:rsidRPr="00A31B4E">
        <w:rPr>
          <w:rFonts w:ascii="Cambria" w:hAnsi="Cambria" w:cs="Calibri"/>
          <w:iCs/>
          <w:color w:val="auto"/>
          <w:spacing w:val="-2"/>
          <w:sz w:val="21"/>
          <w:szCs w:val="21"/>
        </w:rPr>
        <w:t>ryzyk</w:t>
      </w:r>
      <w:proofErr w:type="spellEnd"/>
      <w:r w:rsidRPr="00A31B4E">
        <w:rPr>
          <w:rFonts w:ascii="Cambria" w:hAnsi="Cambria" w:cs="Calibri"/>
          <w:iCs/>
          <w:color w:val="auto"/>
          <w:spacing w:val="-2"/>
          <w:sz w:val="21"/>
          <w:szCs w:val="21"/>
        </w:rPr>
        <w:t xml:space="preserve"> operacyjnych. </w:t>
      </w:r>
    </w:p>
    <w:p w14:paraId="3D847EE5" w14:textId="77777777" w:rsidR="00E65046" w:rsidRDefault="00E65046" w:rsidP="00A31B4E">
      <w:pPr>
        <w:jc w:val="both"/>
        <w:rPr>
          <w:rFonts w:ascii="Cambria" w:hAnsi="Cambria" w:cs="Calibri"/>
          <w:iCs/>
          <w:color w:val="auto"/>
          <w:spacing w:val="-2"/>
          <w:sz w:val="21"/>
          <w:szCs w:val="21"/>
        </w:rPr>
      </w:pPr>
    </w:p>
    <w:p w14:paraId="25AC4F68" w14:textId="5B8C693B" w:rsidR="00A31B4E" w:rsidRP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W praktyce oznacza to obowiązek uwzględniania </w:t>
      </w:r>
      <w:proofErr w:type="spellStart"/>
      <w:r w:rsidRPr="00A31B4E">
        <w:rPr>
          <w:rFonts w:ascii="Cambria" w:hAnsi="Cambria" w:cs="Calibri"/>
          <w:iCs/>
          <w:color w:val="auto"/>
          <w:spacing w:val="-2"/>
          <w:sz w:val="21"/>
          <w:szCs w:val="21"/>
        </w:rPr>
        <w:t>ryzyk</w:t>
      </w:r>
      <w:proofErr w:type="spellEnd"/>
      <w:r w:rsidRPr="00A31B4E">
        <w:rPr>
          <w:rFonts w:ascii="Cambria" w:hAnsi="Cambria" w:cs="Calibri"/>
          <w:iCs/>
          <w:color w:val="auto"/>
          <w:spacing w:val="-2"/>
          <w:sz w:val="21"/>
          <w:szCs w:val="21"/>
        </w:rPr>
        <w:t xml:space="preserve"> ESG w decyzjach kredytowych i inwestycyjnych, nadzo</w:t>
      </w:r>
      <w:r w:rsidR="00BA375A">
        <w:rPr>
          <w:rFonts w:ascii="Cambria" w:hAnsi="Cambria" w:cs="Calibri"/>
          <w:iCs/>
          <w:color w:val="auto"/>
          <w:spacing w:val="-2"/>
          <w:sz w:val="21"/>
          <w:szCs w:val="21"/>
        </w:rPr>
        <w:t>rze nad</w:t>
      </w:r>
      <w:r w:rsidRPr="00A31B4E">
        <w:rPr>
          <w:rFonts w:ascii="Cambria" w:hAnsi="Cambria" w:cs="Calibri"/>
          <w:iCs/>
          <w:color w:val="auto"/>
          <w:spacing w:val="-2"/>
          <w:sz w:val="21"/>
          <w:szCs w:val="21"/>
        </w:rPr>
        <w:t xml:space="preserve"> portfelem oraz systemach zarządzania ryzykiem, nawet jeśli dany podmiot nie raportuje bezpośrednio </w:t>
      </w:r>
      <w:r w:rsidR="00AE696C">
        <w:rPr>
          <w:rFonts w:ascii="Cambria" w:hAnsi="Cambria" w:cs="Calibri"/>
          <w:iCs/>
          <w:color w:val="auto"/>
          <w:spacing w:val="-2"/>
          <w:sz w:val="21"/>
          <w:szCs w:val="21"/>
        </w:rPr>
        <w:t>zgodnie z</w:t>
      </w:r>
      <w:r w:rsidRPr="00A31B4E">
        <w:rPr>
          <w:rFonts w:ascii="Cambria" w:hAnsi="Cambria" w:cs="Calibri"/>
          <w:iCs/>
          <w:color w:val="auto"/>
          <w:spacing w:val="-2"/>
          <w:sz w:val="21"/>
          <w:szCs w:val="21"/>
        </w:rPr>
        <w:t xml:space="preserve"> CSRD. Dlatego 2026 r</w:t>
      </w:r>
      <w:r w:rsidR="00BA375A">
        <w:rPr>
          <w:rFonts w:ascii="Cambria" w:hAnsi="Cambria" w:cs="Calibri"/>
          <w:iCs/>
          <w:color w:val="auto"/>
          <w:spacing w:val="-2"/>
          <w:sz w:val="21"/>
          <w:szCs w:val="21"/>
        </w:rPr>
        <w:t>ok</w:t>
      </w:r>
      <w:r w:rsidRPr="00A31B4E">
        <w:rPr>
          <w:rFonts w:ascii="Cambria" w:hAnsi="Cambria" w:cs="Calibri"/>
          <w:iCs/>
          <w:color w:val="auto"/>
          <w:spacing w:val="-2"/>
          <w:sz w:val="21"/>
          <w:szCs w:val="21"/>
        </w:rPr>
        <w:t xml:space="preserve"> to moment, w którym ESG przestaje być jedynie narracją, a staje się wymogiem danych i procesów operacyjnych. </w:t>
      </w:r>
      <w:proofErr w:type="spellStart"/>
      <w:r w:rsidRPr="00A31B4E">
        <w:rPr>
          <w:rFonts w:ascii="Cambria" w:hAnsi="Cambria" w:cs="Calibri"/>
          <w:iCs/>
          <w:color w:val="auto"/>
          <w:spacing w:val="-2"/>
          <w:sz w:val="21"/>
          <w:szCs w:val="21"/>
        </w:rPr>
        <w:t>Regulatorzy</w:t>
      </w:r>
      <w:proofErr w:type="spellEnd"/>
      <w:r w:rsidRPr="00A31B4E">
        <w:rPr>
          <w:rFonts w:ascii="Cambria" w:hAnsi="Cambria" w:cs="Calibri"/>
          <w:iCs/>
          <w:color w:val="auto"/>
          <w:spacing w:val="-2"/>
          <w:sz w:val="21"/>
          <w:szCs w:val="21"/>
        </w:rPr>
        <w:t xml:space="preserve">, inwestorzy, partnerzy handlowi i klienci oczekują </w:t>
      </w:r>
      <w:r w:rsidR="00A50857">
        <w:rPr>
          <w:rFonts w:ascii="Cambria" w:hAnsi="Cambria" w:cs="Calibri"/>
          <w:iCs/>
          <w:color w:val="auto"/>
          <w:spacing w:val="-2"/>
          <w:sz w:val="21"/>
          <w:szCs w:val="21"/>
        </w:rPr>
        <w:t xml:space="preserve">bowiem </w:t>
      </w:r>
      <w:r w:rsidRPr="00A31B4E">
        <w:rPr>
          <w:rFonts w:ascii="Cambria" w:hAnsi="Cambria" w:cs="Calibri"/>
          <w:iCs/>
          <w:color w:val="auto"/>
          <w:spacing w:val="-2"/>
          <w:sz w:val="21"/>
          <w:szCs w:val="21"/>
        </w:rPr>
        <w:t xml:space="preserve">danych, które są powtarzalne, wiarygodne i </w:t>
      </w:r>
      <w:proofErr w:type="spellStart"/>
      <w:r w:rsidRPr="00A31B4E">
        <w:rPr>
          <w:rFonts w:ascii="Cambria" w:hAnsi="Cambria" w:cs="Calibri"/>
          <w:iCs/>
          <w:color w:val="auto"/>
          <w:spacing w:val="-2"/>
          <w:sz w:val="21"/>
          <w:szCs w:val="21"/>
        </w:rPr>
        <w:t>audytowalne</w:t>
      </w:r>
      <w:proofErr w:type="spellEnd"/>
      <w:r w:rsidRPr="00A31B4E">
        <w:rPr>
          <w:rFonts w:ascii="Cambria" w:hAnsi="Cambria" w:cs="Calibri"/>
          <w:iCs/>
          <w:color w:val="auto"/>
          <w:spacing w:val="-2"/>
          <w:sz w:val="21"/>
          <w:szCs w:val="21"/>
        </w:rPr>
        <w:t xml:space="preserve">. </w:t>
      </w:r>
    </w:p>
    <w:p w14:paraId="20DC3DED" w14:textId="77777777" w:rsidR="00A31B4E" w:rsidRDefault="00A31B4E" w:rsidP="00A31B4E">
      <w:pPr>
        <w:jc w:val="both"/>
        <w:rPr>
          <w:rFonts w:ascii="Cambria" w:hAnsi="Cambria" w:cs="Calibri"/>
          <w:iCs/>
          <w:color w:val="auto"/>
          <w:spacing w:val="-2"/>
          <w:sz w:val="21"/>
          <w:szCs w:val="21"/>
        </w:rPr>
      </w:pPr>
    </w:p>
    <w:p w14:paraId="5E6F09D1" w14:textId="0846D814"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lastRenderedPageBreak/>
        <w:t>Jak zbudować wiarygodność rynkową?</w:t>
      </w:r>
    </w:p>
    <w:p w14:paraId="2282A028" w14:textId="77777777" w:rsidR="00A31B4E" w:rsidRDefault="00A31B4E" w:rsidP="00A31B4E">
      <w:pPr>
        <w:jc w:val="both"/>
        <w:rPr>
          <w:rFonts w:ascii="Cambria" w:hAnsi="Cambria" w:cs="Calibri"/>
          <w:iCs/>
          <w:color w:val="auto"/>
          <w:spacing w:val="-2"/>
          <w:sz w:val="21"/>
          <w:szCs w:val="21"/>
        </w:rPr>
      </w:pPr>
    </w:p>
    <w:p w14:paraId="64D88A3D" w14:textId="30A6DD78" w:rsidR="00A31B4E" w:rsidRP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Dla mniejszych firm z rynku finansowego zmiany te są szczególnie istotne. Chociaż część z nich nie została objęta formalnym obowiązkiem raportowym, to pozostają one elementem łańcucha finansowego i są coraz częściej oceniane pod kątem ESG przez banki, inwestorów oraz partnerów biznesowych. ESG </w:t>
      </w:r>
      <w:r w:rsidR="000E0AB2">
        <w:rPr>
          <w:rFonts w:ascii="Cambria" w:hAnsi="Cambria" w:cs="Calibri"/>
          <w:iCs/>
          <w:color w:val="auto"/>
          <w:spacing w:val="-2"/>
          <w:sz w:val="21"/>
          <w:szCs w:val="21"/>
        </w:rPr>
        <w:t xml:space="preserve">nie jest już </w:t>
      </w:r>
      <w:r w:rsidRPr="00A31B4E">
        <w:rPr>
          <w:rFonts w:ascii="Cambria" w:hAnsi="Cambria" w:cs="Calibri"/>
          <w:iCs/>
          <w:color w:val="auto"/>
          <w:spacing w:val="-2"/>
          <w:sz w:val="21"/>
          <w:szCs w:val="21"/>
        </w:rPr>
        <w:t xml:space="preserve">więc wyłącznie kwestią raportu, a staje się kryterium dostępu do kapitału, </w:t>
      </w:r>
      <w:r w:rsidR="000E0AB2">
        <w:rPr>
          <w:rFonts w:ascii="Cambria" w:hAnsi="Cambria" w:cs="Calibri"/>
          <w:iCs/>
          <w:color w:val="auto"/>
          <w:spacing w:val="-2"/>
          <w:sz w:val="21"/>
          <w:szCs w:val="21"/>
        </w:rPr>
        <w:t>warunków</w:t>
      </w:r>
      <w:r w:rsidRPr="00A31B4E">
        <w:rPr>
          <w:rFonts w:ascii="Cambria" w:hAnsi="Cambria" w:cs="Calibri"/>
          <w:iCs/>
          <w:color w:val="auto"/>
          <w:spacing w:val="-2"/>
          <w:sz w:val="21"/>
          <w:szCs w:val="21"/>
        </w:rPr>
        <w:t xml:space="preserve"> finansowania i wiarygodności rynkowej. Z obserwacji rynku wynika, że ESG przestaje być traktowane jako „ładna kartka w raporcie”, a staje się warunkiem dostępu do rynku finansowego i relacji biznesowych. Instytucje finansowe, banki, fundusze inwestycyjne oraz kontrahenci już dziś oceniają firmy pod kątem jakości danych ESG i zdolności zarządzania ryzykiem </w:t>
      </w:r>
      <w:r w:rsidR="001335C2">
        <w:rPr>
          <w:rFonts w:ascii="Cambria" w:hAnsi="Cambria" w:cs="Calibri"/>
          <w:iCs/>
          <w:color w:val="auto"/>
          <w:spacing w:val="-2"/>
          <w:sz w:val="21"/>
          <w:szCs w:val="21"/>
        </w:rPr>
        <w:t>wynikającym z braku transparentności.</w:t>
      </w:r>
    </w:p>
    <w:p w14:paraId="0E6C4611" w14:textId="77777777" w:rsidR="00A31B4E" w:rsidRDefault="00A31B4E" w:rsidP="00A31B4E">
      <w:pPr>
        <w:jc w:val="both"/>
        <w:rPr>
          <w:rFonts w:ascii="Cambria" w:hAnsi="Cambria" w:cs="Calibri"/>
          <w:iCs/>
          <w:color w:val="auto"/>
          <w:spacing w:val="-2"/>
          <w:sz w:val="21"/>
          <w:szCs w:val="21"/>
        </w:rPr>
      </w:pPr>
    </w:p>
    <w:p w14:paraId="623C34E7" w14:textId="3C406B97"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Jakościowe dane podstawą ESG</w:t>
      </w:r>
    </w:p>
    <w:p w14:paraId="30DD0447" w14:textId="77777777" w:rsidR="00A31B4E" w:rsidRDefault="00A31B4E" w:rsidP="00A31B4E">
      <w:pPr>
        <w:jc w:val="both"/>
        <w:rPr>
          <w:rFonts w:ascii="Cambria" w:hAnsi="Cambria" w:cs="Calibri"/>
          <w:iCs/>
          <w:color w:val="auto"/>
          <w:spacing w:val="-2"/>
          <w:sz w:val="21"/>
          <w:szCs w:val="21"/>
        </w:rPr>
      </w:pPr>
    </w:p>
    <w:p w14:paraId="3AC66D97" w14:textId="1BD7B0E9" w:rsid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W praktyce oznacza to, że firmy z uporządkowanymi systemami i rzetelnymi danymi ESG często uzyskują lepsze warunki finansowania </w:t>
      </w:r>
      <w:r w:rsidR="008F2457">
        <w:rPr>
          <w:rFonts w:ascii="Cambria" w:hAnsi="Cambria" w:cs="Calibri"/>
          <w:iCs/>
          <w:color w:val="auto"/>
          <w:spacing w:val="-2"/>
          <w:sz w:val="21"/>
          <w:szCs w:val="21"/>
        </w:rPr>
        <w:t>od tych</w:t>
      </w:r>
      <w:r w:rsidRPr="00A31B4E">
        <w:rPr>
          <w:rFonts w:ascii="Cambria" w:hAnsi="Cambria" w:cs="Calibri"/>
          <w:iCs/>
          <w:color w:val="auto"/>
          <w:spacing w:val="-2"/>
          <w:sz w:val="21"/>
          <w:szCs w:val="21"/>
        </w:rPr>
        <w:t>, które dopiero zaczynają ten proces – nawet jeśli formalne obowiązki dotyczyć będą ich dopiero w przyszłości.</w:t>
      </w:r>
      <w:r>
        <w:rPr>
          <w:rFonts w:ascii="Cambria" w:hAnsi="Cambria" w:cs="Calibri"/>
          <w:iCs/>
          <w:color w:val="auto"/>
          <w:spacing w:val="-2"/>
          <w:sz w:val="21"/>
          <w:szCs w:val="21"/>
        </w:rPr>
        <w:t xml:space="preserve"> </w:t>
      </w:r>
      <w:r w:rsidRPr="00A31B4E">
        <w:rPr>
          <w:rFonts w:ascii="Cambria" w:hAnsi="Cambria" w:cs="Calibri"/>
          <w:iCs/>
          <w:color w:val="auto"/>
          <w:spacing w:val="-2"/>
          <w:sz w:val="21"/>
          <w:szCs w:val="21"/>
        </w:rPr>
        <w:t xml:space="preserve">To nie tylko kwestia zgodności z regulacjami, ale konkurencyjności w globalnej gospodarce. </w:t>
      </w:r>
    </w:p>
    <w:p w14:paraId="75869C36" w14:textId="77777777" w:rsidR="00A31B4E" w:rsidRPr="00A31B4E" w:rsidRDefault="00A31B4E" w:rsidP="00A31B4E">
      <w:pPr>
        <w:jc w:val="both"/>
        <w:rPr>
          <w:rFonts w:ascii="Cambria" w:hAnsi="Cambria" w:cs="Calibri"/>
          <w:iCs/>
          <w:color w:val="auto"/>
          <w:spacing w:val="-2"/>
          <w:sz w:val="21"/>
          <w:szCs w:val="21"/>
        </w:rPr>
      </w:pPr>
    </w:p>
    <w:p w14:paraId="6967145E" w14:textId="79C73F13" w:rsid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Pakiet Omnibus nie obniżył znaczenia ESG, lecz przesunął akcent z formalnego raportowania na budowę jakościowych danych, realnych procesów i faktycznych zmian w modelach biznesowych. Dla firm, </w:t>
      </w:r>
      <w:r w:rsidR="006868C2">
        <w:rPr>
          <w:rFonts w:ascii="Cambria" w:hAnsi="Cambria" w:cs="Calibri"/>
          <w:iCs/>
          <w:color w:val="auto"/>
          <w:spacing w:val="-2"/>
          <w:sz w:val="21"/>
          <w:szCs w:val="21"/>
        </w:rPr>
        <w:br/>
      </w:r>
      <w:r w:rsidRPr="00A31B4E">
        <w:rPr>
          <w:rFonts w:ascii="Cambria" w:hAnsi="Cambria" w:cs="Calibri"/>
          <w:iCs/>
          <w:color w:val="auto"/>
          <w:spacing w:val="-2"/>
          <w:sz w:val="21"/>
          <w:szCs w:val="21"/>
        </w:rPr>
        <w:t>a zwłaszcza dla sektora finansowego, jest to czas nie na wycofanie się z ESG, lecz na jego uporządkowanie i integrację z kluczowymi decyzjami strategicznymi.</w:t>
      </w:r>
    </w:p>
    <w:p w14:paraId="2E9052C8" w14:textId="77777777" w:rsidR="0019419A" w:rsidRDefault="0019419A" w:rsidP="00A31B4E">
      <w:pPr>
        <w:jc w:val="both"/>
        <w:rPr>
          <w:rFonts w:ascii="Cambria" w:hAnsi="Cambria" w:cs="Calibri"/>
          <w:iCs/>
          <w:color w:val="auto"/>
          <w:spacing w:val="-2"/>
          <w:sz w:val="21"/>
          <w:szCs w:val="21"/>
        </w:rPr>
      </w:pPr>
    </w:p>
    <w:p w14:paraId="56A3F7F5" w14:textId="5AB92AE1" w:rsidR="0019419A" w:rsidRPr="00A31B4E" w:rsidRDefault="0019419A" w:rsidP="00A31B4E">
      <w:pPr>
        <w:jc w:val="both"/>
        <w:rPr>
          <w:rFonts w:ascii="Cambria" w:hAnsi="Cambria" w:cs="Calibri"/>
          <w:iCs/>
          <w:color w:val="auto"/>
          <w:spacing w:val="-2"/>
          <w:sz w:val="21"/>
          <w:szCs w:val="21"/>
        </w:rPr>
      </w:pPr>
      <w:r w:rsidRPr="0019419A">
        <w:rPr>
          <w:rFonts w:ascii="Cambria" w:hAnsi="Cambria" w:cs="Calibri"/>
          <w:iCs/>
          <w:color w:val="auto"/>
          <w:spacing w:val="-2"/>
          <w:sz w:val="21"/>
          <w:szCs w:val="21"/>
        </w:rPr>
        <w:t xml:space="preserve">Z perspektywy organizacji branżowej, która od ponad 25 lat reprezentuje interesy podmiotów rynku finansowego i uczestniczy w procesie legislacyjnym, kluczowe jest, aby zmiany regulacyjne przekładały się na spójne, wykonalne i porównywalne standardy rynkowe. </w:t>
      </w:r>
      <w:proofErr w:type="gramStart"/>
      <w:r w:rsidR="00C11B93" w:rsidRPr="0019419A">
        <w:rPr>
          <w:rFonts w:ascii="Cambria" w:hAnsi="Cambria" w:cs="Calibri"/>
          <w:iCs/>
          <w:color w:val="auto"/>
          <w:spacing w:val="-2"/>
          <w:sz w:val="21"/>
          <w:szCs w:val="21"/>
        </w:rPr>
        <w:t>Z</w:t>
      </w:r>
      <w:r w:rsidR="00C11B93">
        <w:rPr>
          <w:rFonts w:ascii="Cambria" w:hAnsi="Cambria" w:cs="Calibri"/>
          <w:iCs/>
          <w:color w:val="auto"/>
          <w:spacing w:val="-2"/>
          <w:sz w:val="21"/>
          <w:szCs w:val="21"/>
        </w:rPr>
        <w:t>PF,</w:t>
      </w:r>
      <w:proofErr w:type="gramEnd"/>
      <w:r w:rsidR="00C11B93">
        <w:rPr>
          <w:rFonts w:ascii="Cambria" w:hAnsi="Cambria" w:cs="Calibri"/>
          <w:iCs/>
          <w:color w:val="auto"/>
          <w:spacing w:val="-2"/>
          <w:sz w:val="21"/>
          <w:szCs w:val="21"/>
        </w:rPr>
        <w:t xml:space="preserve"> </w:t>
      </w:r>
      <w:r w:rsidRPr="0019419A">
        <w:rPr>
          <w:rFonts w:ascii="Cambria" w:hAnsi="Cambria" w:cs="Calibri"/>
          <w:iCs/>
          <w:color w:val="auto"/>
          <w:spacing w:val="-2"/>
          <w:sz w:val="21"/>
          <w:szCs w:val="21"/>
        </w:rPr>
        <w:t>jako partner dialogu społecznego,</w:t>
      </w:r>
      <w:r>
        <w:rPr>
          <w:rFonts w:ascii="Cambria" w:hAnsi="Cambria" w:cs="Calibri"/>
          <w:iCs/>
          <w:color w:val="auto"/>
          <w:spacing w:val="-2"/>
          <w:sz w:val="21"/>
          <w:szCs w:val="21"/>
        </w:rPr>
        <w:t xml:space="preserve"> </w:t>
      </w:r>
      <w:r w:rsidRPr="0019419A">
        <w:rPr>
          <w:rFonts w:ascii="Cambria" w:hAnsi="Cambria" w:cs="Calibri"/>
          <w:iCs/>
          <w:color w:val="auto"/>
          <w:spacing w:val="-2"/>
          <w:sz w:val="21"/>
          <w:szCs w:val="21"/>
        </w:rPr>
        <w:t>wspier</w:t>
      </w:r>
      <w:r>
        <w:rPr>
          <w:rFonts w:ascii="Cambria" w:hAnsi="Cambria" w:cs="Calibri"/>
          <w:iCs/>
          <w:color w:val="auto"/>
          <w:spacing w:val="-2"/>
          <w:sz w:val="21"/>
          <w:szCs w:val="21"/>
        </w:rPr>
        <w:t>a</w:t>
      </w:r>
      <w:r w:rsidRPr="0019419A">
        <w:rPr>
          <w:rFonts w:ascii="Cambria" w:hAnsi="Cambria" w:cs="Calibri"/>
          <w:iCs/>
          <w:color w:val="auto"/>
          <w:spacing w:val="-2"/>
          <w:sz w:val="21"/>
          <w:szCs w:val="21"/>
        </w:rPr>
        <w:t xml:space="preserve"> swoich członków poprzez badania, rekomendacje i interpretacje wpływu nowych regulacji na codzienną praktykę rynkową.</w:t>
      </w:r>
    </w:p>
    <w:p w14:paraId="75325522" w14:textId="77777777" w:rsidR="00A31B4E" w:rsidRDefault="00A31B4E" w:rsidP="00A31B4E">
      <w:pPr>
        <w:jc w:val="both"/>
        <w:rPr>
          <w:rFonts w:ascii="Cambria" w:hAnsi="Cambria" w:cs="Calibri"/>
          <w:iCs/>
          <w:color w:val="auto"/>
          <w:spacing w:val="-2"/>
          <w:sz w:val="21"/>
          <w:szCs w:val="21"/>
        </w:rPr>
      </w:pPr>
    </w:p>
    <w:p w14:paraId="3285442C" w14:textId="230440B0" w:rsidR="00A31B4E" w:rsidRPr="00A31B4E" w:rsidRDefault="00A31B4E" w:rsidP="00A31B4E">
      <w:pPr>
        <w:jc w:val="both"/>
        <w:rPr>
          <w:rFonts w:ascii="Cambria" w:hAnsi="Cambria" w:cs="Calibri"/>
          <w:b/>
          <w:bCs/>
          <w:iCs/>
          <w:color w:val="auto"/>
          <w:spacing w:val="-2"/>
          <w:sz w:val="21"/>
          <w:szCs w:val="21"/>
        </w:rPr>
      </w:pPr>
      <w:r w:rsidRPr="00A31B4E">
        <w:rPr>
          <w:rFonts w:ascii="Cambria" w:hAnsi="Cambria" w:cs="Calibri"/>
          <w:b/>
          <w:bCs/>
          <w:iCs/>
          <w:color w:val="auto"/>
          <w:spacing w:val="-2"/>
          <w:sz w:val="21"/>
          <w:szCs w:val="21"/>
        </w:rPr>
        <w:t>Dlaczego warto działać już teraz?</w:t>
      </w:r>
    </w:p>
    <w:p w14:paraId="41061FF1" w14:textId="77777777" w:rsidR="00A31B4E" w:rsidRDefault="00A31B4E" w:rsidP="00A31B4E">
      <w:pPr>
        <w:jc w:val="both"/>
        <w:rPr>
          <w:rFonts w:ascii="Cambria" w:hAnsi="Cambria" w:cs="Calibri"/>
          <w:iCs/>
          <w:color w:val="auto"/>
          <w:spacing w:val="-2"/>
          <w:sz w:val="21"/>
          <w:szCs w:val="21"/>
        </w:rPr>
      </w:pPr>
    </w:p>
    <w:p w14:paraId="3D9526A6" w14:textId="4CABC172" w:rsidR="00A31B4E" w:rsidRP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 xml:space="preserve">Z </w:t>
      </w:r>
      <w:r w:rsidR="009B17D4">
        <w:rPr>
          <w:rFonts w:ascii="Cambria" w:hAnsi="Cambria" w:cs="Calibri"/>
          <w:iCs/>
          <w:color w:val="auto"/>
          <w:spacing w:val="-2"/>
          <w:sz w:val="21"/>
          <w:szCs w:val="21"/>
        </w:rPr>
        <w:t xml:space="preserve">naszego </w:t>
      </w:r>
      <w:r w:rsidR="009B17D4" w:rsidRPr="00A31B4E">
        <w:rPr>
          <w:rFonts w:ascii="Cambria" w:hAnsi="Cambria" w:cs="Calibri"/>
          <w:iCs/>
          <w:color w:val="auto"/>
          <w:spacing w:val="-2"/>
          <w:sz w:val="21"/>
          <w:szCs w:val="21"/>
        </w:rPr>
        <w:t>doświadczenia</w:t>
      </w:r>
      <w:r w:rsidR="002A6FA3">
        <w:rPr>
          <w:rFonts w:ascii="Cambria" w:hAnsi="Cambria" w:cs="Calibri"/>
          <w:iCs/>
          <w:color w:val="auto"/>
          <w:spacing w:val="-2"/>
          <w:sz w:val="21"/>
          <w:szCs w:val="21"/>
        </w:rPr>
        <w:t xml:space="preserve"> jako ZPF</w:t>
      </w:r>
      <w:r w:rsidRPr="00A31B4E">
        <w:rPr>
          <w:rFonts w:ascii="Cambria" w:hAnsi="Cambria" w:cs="Calibri"/>
          <w:iCs/>
          <w:color w:val="auto"/>
          <w:spacing w:val="-2"/>
          <w:sz w:val="21"/>
          <w:szCs w:val="21"/>
        </w:rPr>
        <w:t xml:space="preserve"> oraz obserwacji trendów rynkowych wynika, że ESG w 2026 roku nie jest jedynie kolejnym obowiązkiem regulacyjnym, lecz fundamentalnym elementem długoterminowego przygotowania organizacji do zmian na rynku kapitałowym i gospodarczym. To moment, w którym organizacje mają szansę przejść od reaktywnego przygotowywania raportów do proaktywnego zarządzania ryzykiem ESG – tak jak dziś zarządzają ryzykiem finansowym czy operacyjnym.</w:t>
      </w:r>
    </w:p>
    <w:p w14:paraId="1394E14E" w14:textId="77777777" w:rsidR="00CE382F" w:rsidRDefault="00CE382F" w:rsidP="00A31B4E">
      <w:pPr>
        <w:jc w:val="both"/>
        <w:rPr>
          <w:rFonts w:ascii="Cambria" w:hAnsi="Cambria" w:cs="Calibri"/>
          <w:iCs/>
          <w:color w:val="auto"/>
          <w:spacing w:val="-2"/>
          <w:sz w:val="21"/>
          <w:szCs w:val="21"/>
        </w:rPr>
      </w:pPr>
    </w:p>
    <w:p w14:paraId="1DF87FE7" w14:textId="2FC0D414" w:rsidR="00A31B4E" w:rsidRDefault="00A31B4E" w:rsidP="00A31B4E">
      <w:pPr>
        <w:jc w:val="both"/>
        <w:rPr>
          <w:rFonts w:ascii="Cambria" w:hAnsi="Cambria" w:cs="Calibri"/>
          <w:iCs/>
          <w:color w:val="auto"/>
          <w:spacing w:val="-2"/>
          <w:sz w:val="21"/>
          <w:szCs w:val="21"/>
        </w:rPr>
      </w:pPr>
      <w:r w:rsidRPr="00A31B4E">
        <w:rPr>
          <w:rFonts w:ascii="Cambria" w:hAnsi="Cambria" w:cs="Calibri"/>
          <w:iCs/>
          <w:color w:val="auto"/>
          <w:spacing w:val="-2"/>
          <w:sz w:val="21"/>
          <w:szCs w:val="21"/>
        </w:rPr>
        <w:t>Warto pamiętać, że dopiero jakość danych, powtarzalność procesów i wiarygodność decyzji biznesowych czynią ESG realną wartością dodaną – nie tylko kwestią zgodności z prawem, ale narzędziem budowania przewagi konkurencyjnej. Dla liderów, którzy potrafią wykorzystać ten czas na porządkowanie fundamentów i integrowanie ESG z decyzjami strategicznymi, rok 2026 może być punktem zwrotnym w budowaniu odporności, zaufania inwestorów i pozycji rynkowej.</w:t>
      </w:r>
    </w:p>
    <w:p w14:paraId="1D1E3B37" w14:textId="77777777" w:rsidR="00A31B4E" w:rsidRDefault="00A31B4E" w:rsidP="00A31B4E">
      <w:pPr>
        <w:jc w:val="center"/>
        <w:rPr>
          <w:rFonts w:ascii="Cambria" w:hAnsi="Cambria" w:cs="Calibri"/>
          <w:iCs/>
          <w:color w:val="auto"/>
          <w:spacing w:val="-2"/>
          <w:sz w:val="16"/>
          <w:szCs w:val="16"/>
        </w:rPr>
      </w:pPr>
    </w:p>
    <w:p w14:paraId="209AE2FC" w14:textId="246A4D25" w:rsidR="00A31B4E" w:rsidRPr="00A31B4E" w:rsidRDefault="00A31B4E" w:rsidP="00A31B4E">
      <w:pPr>
        <w:jc w:val="center"/>
        <w:rPr>
          <w:rFonts w:ascii="Cambria" w:hAnsi="Cambria" w:cs="Calibri"/>
          <w:iCs/>
          <w:color w:val="auto"/>
          <w:spacing w:val="-2"/>
          <w:sz w:val="16"/>
          <w:szCs w:val="16"/>
        </w:rPr>
      </w:pPr>
      <w:r w:rsidRPr="00A31B4E">
        <w:rPr>
          <w:rFonts w:ascii="Cambria" w:hAnsi="Cambria" w:cs="Calibri"/>
          <w:iCs/>
          <w:color w:val="auto"/>
          <w:spacing w:val="-2"/>
          <w:sz w:val="16"/>
          <w:szCs w:val="16"/>
        </w:rPr>
        <w:t>***</w:t>
      </w:r>
    </w:p>
    <w:p w14:paraId="614F9356" w14:textId="77777777" w:rsidR="00A31B4E" w:rsidRPr="00A31B4E" w:rsidRDefault="00A31B4E" w:rsidP="00A31B4E">
      <w:pPr>
        <w:jc w:val="both"/>
        <w:rPr>
          <w:rFonts w:ascii="Cambria" w:hAnsi="Cambria" w:cs="Calibri"/>
          <w:iCs/>
          <w:color w:val="auto"/>
          <w:spacing w:val="-2"/>
          <w:sz w:val="21"/>
          <w:szCs w:val="21"/>
        </w:rPr>
      </w:pPr>
    </w:p>
    <w:p w14:paraId="44D442F4" w14:textId="60D9D7E9" w:rsidR="00A31B4E" w:rsidRPr="009B17D4" w:rsidRDefault="00A31B4E" w:rsidP="00A31B4E">
      <w:pPr>
        <w:jc w:val="both"/>
        <w:rPr>
          <w:rFonts w:ascii="Cambria" w:hAnsi="Cambria" w:cs="Calibri"/>
          <w:iCs/>
          <w:color w:val="auto"/>
          <w:spacing w:val="-2"/>
          <w:sz w:val="18"/>
          <w:szCs w:val="18"/>
        </w:rPr>
      </w:pPr>
      <w:r w:rsidRPr="009B17D4">
        <w:rPr>
          <w:rFonts w:ascii="Cambria" w:hAnsi="Cambria" w:cs="Calibri"/>
          <w:b/>
          <w:bCs/>
          <w:iCs/>
          <w:color w:val="auto"/>
          <w:spacing w:val="-2"/>
          <w:sz w:val="18"/>
          <w:szCs w:val="18"/>
        </w:rPr>
        <w:t>Marta Zbucka-Gargas jest Koordynatorką Zespołu ds. ESG w ZPF</w:t>
      </w:r>
      <w:r w:rsidRPr="009B17D4">
        <w:rPr>
          <w:rFonts w:ascii="Cambria" w:hAnsi="Cambria" w:cs="Calibri"/>
          <w:iCs/>
          <w:color w:val="auto"/>
          <w:spacing w:val="-2"/>
          <w:sz w:val="18"/>
          <w:szCs w:val="18"/>
        </w:rPr>
        <w:t>. To doświadczona ekspertka specjalizująca się w obszarze ESG</w:t>
      </w:r>
      <w:r w:rsidR="00860B31">
        <w:rPr>
          <w:rFonts w:ascii="Cambria" w:hAnsi="Cambria" w:cs="Calibri"/>
          <w:iCs/>
          <w:color w:val="auto"/>
          <w:spacing w:val="-2"/>
          <w:sz w:val="18"/>
          <w:szCs w:val="18"/>
        </w:rPr>
        <w:t xml:space="preserve"> oraz </w:t>
      </w:r>
      <w:r w:rsidRPr="009B17D4">
        <w:rPr>
          <w:rFonts w:ascii="Cambria" w:hAnsi="Cambria" w:cs="Calibri"/>
          <w:iCs/>
          <w:color w:val="auto"/>
          <w:spacing w:val="-2"/>
          <w:sz w:val="18"/>
          <w:szCs w:val="18"/>
        </w:rPr>
        <w:t>prawa pracy</w:t>
      </w:r>
      <w:r w:rsidR="00860B31">
        <w:rPr>
          <w:rFonts w:ascii="Cambria" w:hAnsi="Cambria" w:cs="Calibri"/>
          <w:iCs/>
          <w:color w:val="auto"/>
          <w:spacing w:val="-2"/>
          <w:sz w:val="18"/>
          <w:szCs w:val="18"/>
        </w:rPr>
        <w:t>,</w:t>
      </w:r>
      <w:r w:rsidRPr="009B17D4">
        <w:rPr>
          <w:rFonts w:ascii="Cambria" w:hAnsi="Cambria" w:cs="Calibri"/>
          <w:iCs/>
          <w:color w:val="auto"/>
          <w:spacing w:val="-2"/>
          <w:sz w:val="18"/>
          <w:szCs w:val="18"/>
        </w:rPr>
        <w:t xml:space="preserve"> z wieloletni</w:t>
      </w:r>
      <w:r w:rsidR="00F9649D">
        <w:rPr>
          <w:rFonts w:ascii="Cambria" w:hAnsi="Cambria" w:cs="Calibri"/>
          <w:iCs/>
          <w:color w:val="auto"/>
          <w:spacing w:val="-2"/>
          <w:sz w:val="18"/>
          <w:szCs w:val="18"/>
        </w:rPr>
        <w:t xml:space="preserve">ą </w:t>
      </w:r>
      <w:r w:rsidRPr="009B17D4">
        <w:rPr>
          <w:rFonts w:ascii="Cambria" w:hAnsi="Cambria" w:cs="Calibri"/>
          <w:iCs/>
          <w:color w:val="auto"/>
          <w:spacing w:val="-2"/>
          <w:sz w:val="18"/>
          <w:szCs w:val="18"/>
        </w:rPr>
        <w:t>prakty</w:t>
      </w:r>
      <w:r w:rsidR="00F9649D">
        <w:rPr>
          <w:rFonts w:ascii="Cambria" w:hAnsi="Cambria" w:cs="Calibri"/>
          <w:iCs/>
          <w:color w:val="auto"/>
          <w:spacing w:val="-2"/>
          <w:sz w:val="18"/>
          <w:szCs w:val="18"/>
        </w:rPr>
        <w:t>ką</w:t>
      </w:r>
      <w:r w:rsidRPr="009B17D4">
        <w:rPr>
          <w:rFonts w:ascii="Cambria" w:hAnsi="Cambria" w:cs="Calibri"/>
          <w:iCs/>
          <w:color w:val="auto"/>
          <w:spacing w:val="-2"/>
          <w:sz w:val="18"/>
          <w:szCs w:val="18"/>
        </w:rPr>
        <w:t>. Posiada ponad 20-letnie doświadczenie menedżerskie. Jest członkiem Rady Ochrony Pracy (XII kadencji od roku 2024) przy Sejmie RP. Doktor prawa, adiunkt na Wydziale Prawa i Administracji Uniwersytetu Gdańskiego.</w:t>
      </w:r>
    </w:p>
    <w:p w14:paraId="3856D0A9" w14:textId="77777777" w:rsidR="00A31B4E" w:rsidRPr="009B17D4" w:rsidRDefault="00A31B4E" w:rsidP="00A31B4E">
      <w:pPr>
        <w:jc w:val="both"/>
        <w:rPr>
          <w:rFonts w:ascii="Cambria" w:hAnsi="Cambria" w:cs="Calibri"/>
          <w:iCs/>
          <w:color w:val="auto"/>
          <w:spacing w:val="-2"/>
          <w:sz w:val="18"/>
          <w:szCs w:val="18"/>
        </w:rPr>
      </w:pPr>
    </w:p>
    <w:p w14:paraId="343E7C92" w14:textId="2BD27E5B" w:rsidR="0024131D" w:rsidRPr="009B17D4" w:rsidRDefault="00A31B4E" w:rsidP="002D212D">
      <w:pPr>
        <w:jc w:val="both"/>
        <w:rPr>
          <w:rFonts w:ascii="Cambria" w:hAnsi="Cambria" w:cs="Calibri"/>
          <w:iCs/>
          <w:color w:val="auto"/>
          <w:spacing w:val="-2"/>
          <w:sz w:val="18"/>
          <w:szCs w:val="18"/>
        </w:rPr>
      </w:pPr>
      <w:r w:rsidRPr="009B17D4">
        <w:rPr>
          <w:rFonts w:ascii="Cambria" w:hAnsi="Cambria" w:cs="Calibri"/>
          <w:iCs/>
          <w:color w:val="auto"/>
          <w:spacing w:val="-2"/>
          <w:sz w:val="18"/>
          <w:szCs w:val="18"/>
        </w:rPr>
        <w:t xml:space="preserve">Celem Zespołu ds. ESG jest wsparcie ZPF swoim eksperckim głosem w toczących się procesach legislacyjnych, inicjowanie nowych tematów, którymi Związek mógłby się zajmować, jak i koordynacja tych działań, które w obszarze zjawiska zrównoważonego rozwoju już podejmuje. </w:t>
      </w:r>
    </w:p>
    <w:p w14:paraId="424F18EA" w14:textId="77777777" w:rsidR="003E37F3" w:rsidRDefault="003E37F3" w:rsidP="00FF60A6">
      <w:pPr>
        <w:jc w:val="center"/>
        <w:rPr>
          <w:rFonts w:ascii="Cambria" w:hAnsi="Cambria" w:cs="Calibri"/>
          <w:iCs/>
          <w:color w:val="auto"/>
          <w:spacing w:val="-2"/>
          <w:sz w:val="18"/>
          <w:szCs w:val="18"/>
        </w:rPr>
      </w:pPr>
    </w:p>
    <w:p w14:paraId="720F93F0" w14:textId="77777777" w:rsidR="003E37F3" w:rsidRDefault="003E37F3" w:rsidP="00FF60A6">
      <w:pPr>
        <w:jc w:val="center"/>
        <w:rPr>
          <w:rFonts w:ascii="Cambria" w:hAnsi="Cambria" w:cs="Calibri"/>
          <w:iCs/>
          <w:color w:val="auto"/>
          <w:spacing w:val="-2"/>
          <w:sz w:val="18"/>
          <w:szCs w:val="18"/>
        </w:rPr>
      </w:pPr>
    </w:p>
    <w:p w14:paraId="77FE1A5A" w14:textId="77777777" w:rsidR="003E37F3" w:rsidRDefault="003E37F3" w:rsidP="00FF60A6">
      <w:pPr>
        <w:jc w:val="center"/>
        <w:rPr>
          <w:rFonts w:ascii="Cambria" w:hAnsi="Cambria" w:cs="Calibri"/>
          <w:iCs/>
          <w:color w:val="auto"/>
          <w:spacing w:val="-2"/>
          <w:sz w:val="18"/>
          <w:szCs w:val="18"/>
        </w:rPr>
      </w:pPr>
    </w:p>
    <w:p w14:paraId="203EA17E" w14:textId="5AAB4836" w:rsidR="006F342F" w:rsidRPr="009B17D4" w:rsidRDefault="006F342F" w:rsidP="00FF60A6">
      <w:pPr>
        <w:jc w:val="center"/>
        <w:rPr>
          <w:rFonts w:ascii="Cambria" w:hAnsi="Cambria" w:cs="Calibri"/>
          <w:iCs/>
          <w:color w:val="auto"/>
          <w:spacing w:val="-2"/>
          <w:sz w:val="18"/>
          <w:szCs w:val="18"/>
        </w:rPr>
      </w:pPr>
      <w:r w:rsidRPr="009B17D4">
        <w:rPr>
          <w:rFonts w:ascii="Cambria" w:hAnsi="Cambria" w:cs="Calibri"/>
          <w:iCs/>
          <w:color w:val="auto"/>
          <w:spacing w:val="-2"/>
          <w:sz w:val="18"/>
          <w:szCs w:val="18"/>
        </w:rPr>
        <w:lastRenderedPageBreak/>
        <w:t>***</w:t>
      </w:r>
    </w:p>
    <w:p w14:paraId="411E3F87" w14:textId="77777777" w:rsidR="0065044E" w:rsidRPr="009B17D4" w:rsidRDefault="0065044E" w:rsidP="0065044E">
      <w:pPr>
        <w:rPr>
          <w:rFonts w:ascii="Cambria" w:hAnsi="Cambria"/>
          <w:sz w:val="18"/>
          <w:szCs w:val="18"/>
        </w:rPr>
      </w:pPr>
    </w:p>
    <w:p w14:paraId="400398A9" w14:textId="77777777" w:rsidR="0065044E" w:rsidRPr="009B17D4" w:rsidRDefault="0065044E" w:rsidP="0065044E">
      <w:pPr>
        <w:spacing w:line="276" w:lineRule="auto"/>
        <w:jc w:val="both"/>
        <w:rPr>
          <w:rFonts w:ascii="Cambria" w:hAnsi="Cambria"/>
          <w:sz w:val="18"/>
          <w:szCs w:val="18"/>
        </w:rPr>
      </w:pPr>
      <w:r w:rsidRPr="009B17D4">
        <w:rPr>
          <w:rFonts w:ascii="Cambria" w:hAnsi="Cambria"/>
          <w:b/>
          <w:bCs/>
          <w:sz w:val="18"/>
          <w:szCs w:val="18"/>
        </w:rPr>
        <w:t>Związek Przedsiębiorstw Finansowych w Polsce</w:t>
      </w:r>
      <w:r w:rsidRPr="009B17D4">
        <w:rPr>
          <w:rFonts w:ascii="Cambria" w:hAnsi="Cambria"/>
          <w:sz w:val="18"/>
          <w:szCs w:val="18"/>
        </w:rPr>
        <w:t xml:space="preserve"> (wcześniej Konferencja Przedsiębiorstw Finansowych w Polsce) powstał 27 października 1999 roku i obecnie skupia ponad 110 przedsiębiorstw z wielu sektorów polskiego rynku finansowego, w tym bankowości, zarządzania wierzytelnościami, pośredników finansowych, instytucji pożyczkowych, zarządzających informacją gospodarczą, odwróconej hipoteki w modelu sprzedażowym, </w:t>
      </w:r>
      <w:proofErr w:type="spellStart"/>
      <w:r w:rsidRPr="009B17D4">
        <w:rPr>
          <w:rFonts w:ascii="Cambria" w:hAnsi="Cambria"/>
          <w:sz w:val="18"/>
          <w:szCs w:val="18"/>
        </w:rPr>
        <w:t>fintech</w:t>
      </w:r>
      <w:proofErr w:type="spellEnd"/>
      <w:r w:rsidRPr="009B17D4">
        <w:rPr>
          <w:rFonts w:ascii="Cambria" w:hAnsi="Cambria"/>
          <w:sz w:val="18"/>
          <w:szCs w:val="18"/>
        </w:rPr>
        <w:t xml:space="preserve">. Jest największą </w:t>
      </w:r>
      <w:proofErr w:type="spellStart"/>
      <w:r w:rsidRPr="009B17D4">
        <w:rPr>
          <w:rFonts w:ascii="Cambria" w:hAnsi="Cambria"/>
          <w:sz w:val="18"/>
          <w:szCs w:val="18"/>
        </w:rPr>
        <w:t>multisektorową</w:t>
      </w:r>
      <w:proofErr w:type="spellEnd"/>
      <w:r w:rsidRPr="009B17D4">
        <w:rPr>
          <w:rFonts w:ascii="Cambria" w:hAnsi="Cambria"/>
          <w:sz w:val="18"/>
          <w:szCs w:val="18"/>
        </w:rPr>
        <w:t xml:space="preserve"> organizacją podmiotów rynku finansowego w Polsce.</w:t>
      </w:r>
    </w:p>
    <w:p w14:paraId="650450C7" w14:textId="77777777" w:rsidR="0065044E" w:rsidRPr="009B17D4" w:rsidRDefault="0065044E" w:rsidP="0065044E">
      <w:pPr>
        <w:spacing w:line="276" w:lineRule="auto"/>
        <w:jc w:val="both"/>
        <w:rPr>
          <w:rFonts w:ascii="Cambria" w:hAnsi="Cambria"/>
          <w:sz w:val="18"/>
          <w:szCs w:val="18"/>
        </w:rPr>
      </w:pPr>
    </w:p>
    <w:p w14:paraId="719BC3C6" w14:textId="77777777" w:rsidR="0065044E" w:rsidRPr="009B17D4" w:rsidRDefault="0065044E" w:rsidP="0065044E">
      <w:pPr>
        <w:spacing w:line="276" w:lineRule="auto"/>
        <w:jc w:val="both"/>
        <w:rPr>
          <w:rFonts w:ascii="Cambria" w:hAnsi="Cambria"/>
          <w:sz w:val="18"/>
          <w:szCs w:val="18"/>
        </w:rPr>
      </w:pPr>
      <w:r w:rsidRPr="009B17D4">
        <w:rPr>
          <w:rFonts w:ascii="Cambria" w:hAnsi="Cambria"/>
          <w:sz w:val="18"/>
          <w:szCs w:val="18"/>
        </w:rPr>
        <w:t>Od ponad 25 lat ZPF działa na rzecz rozwoju rynku finansowego w Polsce i podnoszenia standardów etycznych w branży, występuje aktywnie jako partner społeczny w procesach legislacyjnych, a także reprezentuje polskie instytucje finansowe w UE. ZPF to członek dwóch organizacji samorządowych na szczeblu europejskim: EUROFINAS (</w:t>
      </w:r>
      <w:proofErr w:type="spellStart"/>
      <w:r w:rsidRPr="009B17D4">
        <w:rPr>
          <w:rFonts w:ascii="Cambria" w:hAnsi="Cambria"/>
          <w:sz w:val="18"/>
          <w:szCs w:val="18"/>
        </w:rPr>
        <w:t>European</w:t>
      </w:r>
      <w:proofErr w:type="spellEnd"/>
      <w:r w:rsidRPr="009B17D4">
        <w:rPr>
          <w:rFonts w:ascii="Cambria" w:hAnsi="Cambria"/>
          <w:sz w:val="18"/>
          <w:szCs w:val="18"/>
        </w:rPr>
        <w:t xml:space="preserve"> </w:t>
      </w:r>
      <w:proofErr w:type="spellStart"/>
      <w:r w:rsidRPr="009B17D4">
        <w:rPr>
          <w:rFonts w:ascii="Cambria" w:hAnsi="Cambria"/>
          <w:sz w:val="18"/>
          <w:szCs w:val="18"/>
        </w:rPr>
        <w:t>Federation</w:t>
      </w:r>
      <w:proofErr w:type="spellEnd"/>
      <w:r w:rsidRPr="009B17D4">
        <w:rPr>
          <w:rFonts w:ascii="Cambria" w:hAnsi="Cambria"/>
          <w:sz w:val="18"/>
          <w:szCs w:val="18"/>
        </w:rPr>
        <w:t xml:space="preserve"> of Finance House </w:t>
      </w:r>
      <w:proofErr w:type="spellStart"/>
      <w:r w:rsidRPr="009B17D4">
        <w:rPr>
          <w:rFonts w:ascii="Cambria" w:hAnsi="Cambria"/>
          <w:sz w:val="18"/>
          <w:szCs w:val="18"/>
        </w:rPr>
        <w:t>Associations</w:t>
      </w:r>
      <w:proofErr w:type="spellEnd"/>
      <w:r w:rsidRPr="009B17D4">
        <w:rPr>
          <w:rFonts w:ascii="Cambria" w:hAnsi="Cambria"/>
          <w:sz w:val="18"/>
          <w:szCs w:val="18"/>
        </w:rPr>
        <w:t>), zrzeszającej instytucje związane z rynkiem kredytu konsumenckiego w Europie oraz FENCA (</w:t>
      </w:r>
      <w:proofErr w:type="spellStart"/>
      <w:r w:rsidRPr="009B17D4">
        <w:rPr>
          <w:rFonts w:ascii="Cambria" w:hAnsi="Cambria"/>
          <w:sz w:val="18"/>
          <w:szCs w:val="18"/>
        </w:rPr>
        <w:t>Federation</w:t>
      </w:r>
      <w:proofErr w:type="spellEnd"/>
      <w:r w:rsidRPr="009B17D4">
        <w:rPr>
          <w:rFonts w:ascii="Cambria" w:hAnsi="Cambria"/>
          <w:sz w:val="18"/>
          <w:szCs w:val="18"/>
        </w:rPr>
        <w:t xml:space="preserve"> of </w:t>
      </w:r>
      <w:proofErr w:type="spellStart"/>
      <w:r w:rsidRPr="009B17D4">
        <w:rPr>
          <w:rFonts w:ascii="Cambria" w:hAnsi="Cambria"/>
          <w:sz w:val="18"/>
          <w:szCs w:val="18"/>
        </w:rPr>
        <w:t>European</w:t>
      </w:r>
      <w:proofErr w:type="spellEnd"/>
      <w:r w:rsidRPr="009B17D4">
        <w:rPr>
          <w:rFonts w:ascii="Cambria" w:hAnsi="Cambria"/>
          <w:sz w:val="18"/>
          <w:szCs w:val="18"/>
        </w:rPr>
        <w:t xml:space="preserve"> </w:t>
      </w:r>
      <w:proofErr w:type="spellStart"/>
      <w:r w:rsidRPr="009B17D4">
        <w:rPr>
          <w:rFonts w:ascii="Cambria" w:hAnsi="Cambria"/>
          <w:sz w:val="18"/>
          <w:szCs w:val="18"/>
        </w:rPr>
        <w:t>National</w:t>
      </w:r>
      <w:proofErr w:type="spellEnd"/>
      <w:r w:rsidRPr="009B17D4">
        <w:rPr>
          <w:rFonts w:ascii="Cambria" w:hAnsi="Cambria"/>
          <w:sz w:val="18"/>
          <w:szCs w:val="18"/>
        </w:rPr>
        <w:t xml:space="preserve"> Collection </w:t>
      </w:r>
      <w:proofErr w:type="spellStart"/>
      <w:r w:rsidRPr="009B17D4">
        <w:rPr>
          <w:rFonts w:ascii="Cambria" w:hAnsi="Cambria"/>
          <w:sz w:val="18"/>
          <w:szCs w:val="18"/>
        </w:rPr>
        <w:t>Associations</w:t>
      </w:r>
      <w:proofErr w:type="spellEnd"/>
      <w:r w:rsidRPr="009B17D4">
        <w:rPr>
          <w:rFonts w:ascii="Cambria" w:hAnsi="Cambria"/>
          <w:sz w:val="18"/>
          <w:szCs w:val="18"/>
        </w:rPr>
        <w:t>), która reprezentuje interesy sektora zarządzania wierzytelnościami w Europie.</w:t>
      </w:r>
    </w:p>
    <w:p w14:paraId="7FB268D4" w14:textId="77777777" w:rsidR="0065044E" w:rsidRPr="009B17D4" w:rsidRDefault="0065044E" w:rsidP="0065044E">
      <w:pPr>
        <w:spacing w:line="276" w:lineRule="auto"/>
        <w:jc w:val="both"/>
        <w:rPr>
          <w:rFonts w:ascii="Cambria" w:hAnsi="Cambria"/>
          <w:sz w:val="18"/>
          <w:szCs w:val="18"/>
        </w:rPr>
      </w:pPr>
    </w:p>
    <w:p w14:paraId="7A6C8E6A" w14:textId="77777777" w:rsidR="0065044E" w:rsidRPr="009B17D4" w:rsidRDefault="0065044E" w:rsidP="0065044E">
      <w:pPr>
        <w:spacing w:line="276" w:lineRule="auto"/>
        <w:jc w:val="both"/>
        <w:rPr>
          <w:rFonts w:ascii="Cambria" w:hAnsi="Cambria"/>
          <w:sz w:val="18"/>
          <w:szCs w:val="18"/>
        </w:rPr>
      </w:pPr>
      <w:r w:rsidRPr="009B17D4">
        <w:rPr>
          <w:rFonts w:ascii="Cambria" w:hAnsi="Cambria"/>
          <w:sz w:val="18"/>
          <w:szCs w:val="18"/>
        </w:rPr>
        <w:t xml:space="preserve">ZPF ma w swoim dorobku badawczym kilkaset raportów branżowych. Jest też organizatorem kongresów, </w:t>
      </w:r>
      <w:proofErr w:type="spellStart"/>
      <w:r w:rsidRPr="009B17D4">
        <w:rPr>
          <w:rFonts w:ascii="Cambria" w:hAnsi="Cambria"/>
          <w:sz w:val="18"/>
          <w:szCs w:val="18"/>
        </w:rPr>
        <w:t>webinarów</w:t>
      </w:r>
      <w:proofErr w:type="spellEnd"/>
      <w:r w:rsidRPr="009B17D4">
        <w:rPr>
          <w:rFonts w:ascii="Cambria" w:hAnsi="Cambria"/>
          <w:sz w:val="18"/>
          <w:szCs w:val="18"/>
        </w:rPr>
        <w:t xml:space="preserve"> i innych inicjatyw dla branży finansowej.</w:t>
      </w:r>
    </w:p>
    <w:p w14:paraId="31A06D06" w14:textId="77777777" w:rsidR="0065044E" w:rsidRPr="009B17D4" w:rsidRDefault="0065044E" w:rsidP="0065044E">
      <w:pPr>
        <w:jc w:val="both"/>
        <w:rPr>
          <w:rFonts w:ascii="Cambria" w:hAnsi="Cambria"/>
          <w:sz w:val="18"/>
          <w:szCs w:val="18"/>
        </w:rPr>
      </w:pPr>
    </w:p>
    <w:p w14:paraId="72834409" w14:textId="43D74EF7" w:rsidR="0065044E" w:rsidRPr="009B17D4" w:rsidRDefault="0065044E" w:rsidP="0065044E">
      <w:pPr>
        <w:jc w:val="both"/>
        <w:rPr>
          <w:rFonts w:ascii="Cambria" w:hAnsi="Cambria"/>
          <w:b/>
          <w:color w:val="000090"/>
          <w:sz w:val="18"/>
          <w:szCs w:val="18"/>
        </w:rPr>
      </w:pPr>
      <w:r w:rsidRPr="009B17D4">
        <w:rPr>
          <w:rFonts w:ascii="Cambria" w:hAnsi="Cambria"/>
          <w:noProof/>
          <w:sz w:val="18"/>
          <w:szCs w:val="18"/>
        </w:rPr>
        <w:drawing>
          <wp:anchor distT="0" distB="0" distL="114300" distR="114300" simplePos="0" relativeHeight="251661312" behindDoc="0" locked="0" layoutInCell="1" allowOverlap="1" wp14:anchorId="28938FE2" wp14:editId="1510E2BE">
            <wp:simplePos x="0" y="0"/>
            <wp:positionH relativeFrom="margin">
              <wp:align>left</wp:align>
            </wp:positionH>
            <wp:positionV relativeFrom="paragraph">
              <wp:posOffset>74930</wp:posOffset>
            </wp:positionV>
            <wp:extent cx="252095" cy="252095"/>
            <wp:effectExtent l="0" t="0" r="0" b="0"/>
            <wp:wrapSquare wrapText="bothSides"/>
            <wp:docPr id="611109592" name="Obraz 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tekst, clipar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pic:spPr>
                </pic:pic>
              </a:graphicData>
            </a:graphic>
            <wp14:sizeRelH relativeFrom="page">
              <wp14:pctWidth>0</wp14:pctWidth>
            </wp14:sizeRelH>
            <wp14:sizeRelV relativeFrom="page">
              <wp14:pctHeight>0</wp14:pctHeight>
            </wp14:sizeRelV>
          </wp:anchor>
        </w:drawing>
      </w:r>
    </w:p>
    <w:p w14:paraId="30D60AB3" w14:textId="77777777" w:rsidR="0065044E" w:rsidRPr="009B17D4" w:rsidRDefault="0065044E" w:rsidP="0065044E">
      <w:pPr>
        <w:jc w:val="both"/>
        <w:rPr>
          <w:rStyle w:val="Hipercze"/>
          <w:rFonts w:ascii="Cambria" w:eastAsiaTheme="majorEastAsia" w:hAnsi="Cambria"/>
          <w:sz w:val="18"/>
          <w:szCs w:val="18"/>
        </w:rPr>
      </w:pPr>
      <w:hyperlink r:id="rId8" w:history="1">
        <w:r w:rsidRPr="009B17D4">
          <w:rPr>
            <w:rStyle w:val="Hipercze"/>
            <w:rFonts w:ascii="Cambria" w:eastAsiaTheme="majorEastAsia" w:hAnsi="Cambria"/>
            <w:sz w:val="18"/>
            <w:szCs w:val="18"/>
          </w:rPr>
          <w:t>http://www.linkedin.com/company/zpf</w:t>
        </w:r>
      </w:hyperlink>
    </w:p>
    <w:p w14:paraId="1DC618FF" w14:textId="77777777" w:rsidR="006F342F" w:rsidRPr="00A31B4E" w:rsidRDefault="006F342F" w:rsidP="00E319EA">
      <w:pPr>
        <w:spacing w:line="276" w:lineRule="auto"/>
        <w:jc w:val="both"/>
        <w:rPr>
          <w:rFonts w:ascii="Cambria" w:hAnsi="Cambria" w:cs="Calibri"/>
          <w:iCs/>
          <w:color w:val="auto"/>
          <w:spacing w:val="-2"/>
          <w:sz w:val="16"/>
          <w:szCs w:val="16"/>
        </w:rPr>
      </w:pPr>
    </w:p>
    <w:p w14:paraId="17BC34E6" w14:textId="77777777" w:rsidR="0065044E" w:rsidRPr="00A31B4E" w:rsidRDefault="0065044E" w:rsidP="00E319EA">
      <w:pPr>
        <w:spacing w:line="276" w:lineRule="auto"/>
        <w:jc w:val="both"/>
        <w:rPr>
          <w:rFonts w:ascii="Cambria" w:hAnsi="Cambria" w:cs="Calibri"/>
          <w:iCs/>
          <w:color w:val="auto"/>
          <w:spacing w:val="-2"/>
          <w:sz w:val="16"/>
          <w:szCs w:val="16"/>
        </w:rPr>
      </w:pPr>
    </w:p>
    <w:p w14:paraId="5C3CFD44" w14:textId="77777777" w:rsidR="0065044E" w:rsidRPr="00A31B4E" w:rsidRDefault="0065044E" w:rsidP="00E319EA">
      <w:pPr>
        <w:spacing w:line="276" w:lineRule="auto"/>
        <w:jc w:val="both"/>
        <w:rPr>
          <w:rFonts w:ascii="Cambria" w:hAnsi="Cambria" w:cs="Calibri"/>
          <w:iCs/>
          <w:color w:val="auto"/>
          <w:spacing w:val="-2"/>
          <w:sz w:val="16"/>
          <w:szCs w:val="16"/>
        </w:rPr>
      </w:pPr>
    </w:p>
    <w:p w14:paraId="14F78A9B" w14:textId="4F7C2505" w:rsidR="006F342F" w:rsidRPr="00A31B4E" w:rsidRDefault="006F342F" w:rsidP="00E319EA">
      <w:pPr>
        <w:jc w:val="both"/>
        <w:rPr>
          <w:rStyle w:val="Hipercze"/>
          <w:rFonts w:ascii="Cambria" w:hAnsi="Cambria" w:cs="Arial"/>
          <w:b/>
          <w:color w:val="000090"/>
          <w:sz w:val="16"/>
          <w:szCs w:val="16"/>
          <w:u w:val="none"/>
        </w:rPr>
      </w:pPr>
    </w:p>
    <w:p w14:paraId="778D21EA" w14:textId="77777777" w:rsidR="006F342F" w:rsidRPr="00A31B4E" w:rsidRDefault="006F342F" w:rsidP="00E319EA">
      <w:pPr>
        <w:jc w:val="both"/>
        <w:rPr>
          <w:rStyle w:val="Hipercze"/>
          <w:rFonts w:ascii="Cambria" w:hAnsi="Cambria"/>
          <w:sz w:val="16"/>
          <w:szCs w:val="16"/>
        </w:rPr>
      </w:pPr>
    </w:p>
    <w:p w14:paraId="7C5B0464" w14:textId="77777777" w:rsidR="006F342F" w:rsidRPr="00A31B4E" w:rsidRDefault="006F342F" w:rsidP="00E319EA">
      <w:pPr>
        <w:jc w:val="both"/>
        <w:rPr>
          <w:rFonts w:ascii="Cambria" w:hAnsi="Cambria"/>
          <w:iCs/>
          <w:color w:val="auto"/>
          <w:spacing w:val="-2"/>
          <w:sz w:val="16"/>
          <w:szCs w:val="16"/>
        </w:rPr>
      </w:pPr>
      <w:r w:rsidRPr="00A31B4E">
        <w:rPr>
          <w:rFonts w:ascii="Cambria" w:hAnsi="Cambria"/>
          <w:noProof/>
          <w:sz w:val="16"/>
          <w:szCs w:val="16"/>
        </w:rPr>
        <w:drawing>
          <wp:inline distT="0" distB="0" distL="0" distR="0" wp14:anchorId="207A1346" wp14:editId="5145C27F">
            <wp:extent cx="2369820" cy="601980"/>
            <wp:effectExtent l="0" t="0" r="0" b="7620"/>
            <wp:docPr id="1170994824" name="Obraz 4" descr="Obraz zawierający Grafika, zrzut ekranu, projekt graficzny,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94824" name="Obraz 4" descr="Obraz zawierający Grafika, zrzut ekranu, projekt graficzny, Czcionka&#10;&#10;Zawartość wygenerowana przez AI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9820" cy="601980"/>
                    </a:xfrm>
                    <a:prstGeom prst="rect">
                      <a:avLst/>
                    </a:prstGeom>
                    <a:noFill/>
                    <a:ln>
                      <a:noFill/>
                    </a:ln>
                  </pic:spPr>
                </pic:pic>
              </a:graphicData>
            </a:graphic>
          </wp:inline>
        </w:drawing>
      </w:r>
    </w:p>
    <w:p w14:paraId="4AC4703B" w14:textId="77777777" w:rsidR="006F342F" w:rsidRPr="00A31B4E" w:rsidRDefault="006F342F" w:rsidP="00E319EA">
      <w:pPr>
        <w:spacing w:line="276" w:lineRule="auto"/>
        <w:jc w:val="both"/>
        <w:rPr>
          <w:rFonts w:ascii="Cambria" w:hAnsi="Cambria"/>
          <w:iCs/>
          <w:color w:val="auto"/>
          <w:spacing w:val="-2"/>
          <w:sz w:val="16"/>
          <w:szCs w:val="16"/>
        </w:rPr>
      </w:pPr>
    </w:p>
    <w:p w14:paraId="40929628" w14:textId="77777777" w:rsidR="00047E3C" w:rsidRPr="00A31B4E" w:rsidRDefault="00047E3C" w:rsidP="00E319EA">
      <w:pPr>
        <w:jc w:val="both"/>
        <w:rPr>
          <w:rFonts w:ascii="Cambria" w:hAnsi="Cambria"/>
          <w:sz w:val="16"/>
          <w:szCs w:val="16"/>
        </w:rPr>
      </w:pPr>
    </w:p>
    <w:sectPr w:rsidR="00047E3C" w:rsidRPr="00A31B4E" w:rsidSect="006F342F">
      <w:headerReference w:type="default" r:id="rId10"/>
      <w:footerReference w:type="default" r:id="rId11"/>
      <w:pgSz w:w="11906" w:h="16838"/>
      <w:pgMar w:top="1843"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DBEF" w14:textId="77777777" w:rsidR="00CA21AC" w:rsidRDefault="00CA21AC">
      <w:r>
        <w:separator/>
      </w:r>
    </w:p>
  </w:endnote>
  <w:endnote w:type="continuationSeparator" w:id="0">
    <w:p w14:paraId="3021E26D" w14:textId="77777777" w:rsidR="00CA21AC" w:rsidRDefault="00CA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50545918"/>
      <w:docPartObj>
        <w:docPartGallery w:val="Page Numbers (Bottom of Page)"/>
        <w:docPartUnique/>
      </w:docPartObj>
    </w:sdtPr>
    <w:sdtContent>
      <w:sdt>
        <w:sdtPr>
          <w:rPr>
            <w:rFonts w:asciiTheme="majorHAnsi" w:hAnsiTheme="majorHAnsi"/>
            <w:sz w:val="18"/>
            <w:szCs w:val="18"/>
          </w:rPr>
          <w:id w:val="-1329895559"/>
          <w:docPartObj>
            <w:docPartGallery w:val="Page Numbers (Top of Page)"/>
            <w:docPartUnique/>
          </w:docPartObj>
        </w:sdtPr>
        <w:sdtContent>
          <w:p w14:paraId="02FBD410" w14:textId="77777777" w:rsidR="006F342F" w:rsidRPr="001A0714" w:rsidRDefault="006F342F">
            <w:pPr>
              <w:pStyle w:val="Stopka"/>
              <w:jc w:val="right"/>
              <w:rPr>
                <w:rFonts w:asciiTheme="majorHAnsi" w:hAnsiTheme="majorHAnsi"/>
                <w:sz w:val="18"/>
                <w:szCs w:val="18"/>
              </w:rPr>
            </w:pPr>
            <w:r w:rsidRPr="001A0714">
              <w:rPr>
                <w:rFonts w:asciiTheme="majorHAnsi" w:hAnsiTheme="majorHAnsi"/>
                <w:noProof/>
                <w:sz w:val="18"/>
                <w:szCs w:val="18"/>
              </w:rPr>
              <w:drawing>
                <wp:anchor distT="0" distB="0" distL="114300" distR="114300" simplePos="0" relativeHeight="251659264" behindDoc="0" locked="0" layoutInCell="1" allowOverlap="1" wp14:anchorId="1B45800B" wp14:editId="544DF139">
                  <wp:simplePos x="0" y="0"/>
                  <wp:positionH relativeFrom="column">
                    <wp:posOffset>-900430</wp:posOffset>
                  </wp:positionH>
                  <wp:positionV relativeFrom="paragraph">
                    <wp:posOffset>-178435</wp:posOffset>
                  </wp:positionV>
                  <wp:extent cx="5732145" cy="748030"/>
                  <wp:effectExtent l="0" t="0" r="0" b="0"/>
                  <wp:wrapNone/>
                  <wp:docPr id="10" name="Obraz 10" descr="D:\Dokumenty KPF\GRAFIKA\_ZPF_Identyfikacja wizualna\ZPF_DOKUMENTY\ZPF_stopka-bez-eur-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 KPF\GRAFIKA\_ZPF_Identyfikacja wizualna\ZPF_DOKUMENTY\ZPF_stopka-bez-eur-25.wm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42" t="-3" r="30226" b="3160"/>
                          <a:stretch/>
                        </pic:blipFill>
                        <pic:spPr bwMode="auto">
                          <a:xfrm>
                            <a:off x="0" y="0"/>
                            <a:ext cx="573214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0714">
              <w:rPr>
                <w:rFonts w:asciiTheme="majorHAnsi" w:hAnsiTheme="majorHAnsi"/>
                <w:sz w:val="18"/>
                <w:szCs w:val="18"/>
              </w:rPr>
              <w:t xml:space="preserve">Strona </w:t>
            </w:r>
            <w:r w:rsidRPr="001A0714">
              <w:rPr>
                <w:rFonts w:asciiTheme="majorHAnsi" w:hAnsiTheme="majorHAnsi"/>
                <w:sz w:val="18"/>
                <w:szCs w:val="18"/>
              </w:rPr>
              <w:fldChar w:fldCharType="begin"/>
            </w:r>
            <w:r w:rsidRPr="001A0714">
              <w:rPr>
                <w:rFonts w:asciiTheme="majorHAnsi" w:hAnsiTheme="majorHAnsi"/>
                <w:sz w:val="18"/>
                <w:szCs w:val="18"/>
              </w:rPr>
              <w:instrText>PAGE</w:instrText>
            </w:r>
            <w:r w:rsidRPr="001A0714">
              <w:rPr>
                <w:rFonts w:asciiTheme="majorHAnsi" w:hAnsiTheme="majorHAnsi"/>
                <w:sz w:val="18"/>
                <w:szCs w:val="18"/>
              </w:rPr>
              <w:fldChar w:fldCharType="separate"/>
            </w:r>
            <w:r w:rsidRPr="001A0714">
              <w:rPr>
                <w:rFonts w:asciiTheme="majorHAnsi" w:hAnsiTheme="majorHAnsi"/>
                <w:sz w:val="18"/>
                <w:szCs w:val="18"/>
              </w:rPr>
              <w:t>3</w:t>
            </w:r>
            <w:r w:rsidRPr="001A0714">
              <w:rPr>
                <w:rFonts w:asciiTheme="majorHAnsi" w:hAnsiTheme="majorHAnsi"/>
                <w:sz w:val="18"/>
                <w:szCs w:val="18"/>
              </w:rPr>
              <w:fldChar w:fldCharType="end"/>
            </w:r>
            <w:r w:rsidRPr="001A0714">
              <w:rPr>
                <w:rFonts w:asciiTheme="majorHAnsi" w:hAnsiTheme="majorHAnsi"/>
                <w:sz w:val="18"/>
                <w:szCs w:val="18"/>
              </w:rPr>
              <w:t xml:space="preserve"> z </w:t>
            </w:r>
            <w:r w:rsidRPr="001A0714">
              <w:rPr>
                <w:rFonts w:asciiTheme="majorHAnsi" w:hAnsiTheme="majorHAnsi"/>
                <w:sz w:val="18"/>
                <w:szCs w:val="18"/>
              </w:rPr>
              <w:fldChar w:fldCharType="begin"/>
            </w:r>
            <w:r w:rsidRPr="001A0714">
              <w:rPr>
                <w:rFonts w:asciiTheme="majorHAnsi" w:hAnsiTheme="majorHAnsi"/>
                <w:sz w:val="18"/>
                <w:szCs w:val="18"/>
              </w:rPr>
              <w:instrText>NUMPAGES</w:instrText>
            </w:r>
            <w:r w:rsidRPr="001A0714">
              <w:rPr>
                <w:rFonts w:asciiTheme="majorHAnsi" w:hAnsiTheme="majorHAnsi"/>
                <w:sz w:val="18"/>
                <w:szCs w:val="18"/>
              </w:rPr>
              <w:fldChar w:fldCharType="separate"/>
            </w:r>
            <w:r w:rsidRPr="001A0714">
              <w:rPr>
                <w:rFonts w:asciiTheme="majorHAnsi" w:hAnsiTheme="majorHAnsi"/>
                <w:sz w:val="18"/>
                <w:szCs w:val="18"/>
              </w:rPr>
              <w:t>3</w:t>
            </w:r>
            <w:r w:rsidRPr="001A0714">
              <w:rPr>
                <w:rFonts w:asciiTheme="majorHAnsi" w:hAnsiTheme="majorHAns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A756" w14:textId="77777777" w:rsidR="00CA21AC" w:rsidRDefault="00CA21AC">
      <w:r>
        <w:separator/>
      </w:r>
    </w:p>
  </w:footnote>
  <w:footnote w:type="continuationSeparator" w:id="0">
    <w:p w14:paraId="286CF0E8" w14:textId="77777777" w:rsidR="00CA21AC" w:rsidRDefault="00CA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9BAF" w14:textId="77777777" w:rsidR="006F342F" w:rsidRPr="001A0714" w:rsidRDefault="006F342F">
    <w:pPr>
      <w:pStyle w:val="Nagwek"/>
    </w:pPr>
    <w:r w:rsidRPr="001A0714">
      <w:rPr>
        <w:rFonts w:asciiTheme="minorHAnsi" w:hAnsiTheme="minorHAnsi"/>
        <w:noProof/>
        <w:color w:val="1C2442"/>
      </w:rPr>
      <w:drawing>
        <wp:inline distT="0" distB="0" distL="0" distR="0" wp14:anchorId="69AEBC12" wp14:editId="6F71FCCA">
          <wp:extent cx="1963973" cy="461729"/>
          <wp:effectExtent l="0" t="0" r="0" b="0"/>
          <wp:docPr id="9" name="Obraz 9" descr="D:\Dokumenty KPF\GRAFIKA\_ZPF_Identyfikacja wizualna\logo-zpf-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 KPF\GRAFIKA\_ZPF_Identyfikacja wizualna\logo-zpf-wmf.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095" cy="463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72"/>
    <w:rsid w:val="00002253"/>
    <w:rsid w:val="000202FC"/>
    <w:rsid w:val="00021A13"/>
    <w:rsid w:val="00030FEF"/>
    <w:rsid w:val="000401D4"/>
    <w:rsid w:val="00047E3C"/>
    <w:rsid w:val="000535EE"/>
    <w:rsid w:val="00071F3A"/>
    <w:rsid w:val="00077387"/>
    <w:rsid w:val="000B470C"/>
    <w:rsid w:val="000C3DB7"/>
    <w:rsid w:val="000D19B0"/>
    <w:rsid w:val="000E0AB2"/>
    <w:rsid w:val="000E1112"/>
    <w:rsid w:val="000E16F1"/>
    <w:rsid w:val="000E1C75"/>
    <w:rsid w:val="000E7CAC"/>
    <w:rsid w:val="0010471C"/>
    <w:rsid w:val="001055E2"/>
    <w:rsid w:val="00116C62"/>
    <w:rsid w:val="001172C1"/>
    <w:rsid w:val="00117E4D"/>
    <w:rsid w:val="0012371C"/>
    <w:rsid w:val="001335C2"/>
    <w:rsid w:val="00133DB5"/>
    <w:rsid w:val="00137F0A"/>
    <w:rsid w:val="00185AF3"/>
    <w:rsid w:val="0019419A"/>
    <w:rsid w:val="001B1A35"/>
    <w:rsid w:val="001C7DDA"/>
    <w:rsid w:val="001D1F6F"/>
    <w:rsid w:val="001D4451"/>
    <w:rsid w:val="001E0126"/>
    <w:rsid w:val="00211021"/>
    <w:rsid w:val="00222BCB"/>
    <w:rsid w:val="00223566"/>
    <w:rsid w:val="00230BC0"/>
    <w:rsid w:val="0023354A"/>
    <w:rsid w:val="0024131D"/>
    <w:rsid w:val="00242BF7"/>
    <w:rsid w:val="00242C09"/>
    <w:rsid w:val="00256EFA"/>
    <w:rsid w:val="00275D52"/>
    <w:rsid w:val="00277308"/>
    <w:rsid w:val="00281B7B"/>
    <w:rsid w:val="00287850"/>
    <w:rsid w:val="00293826"/>
    <w:rsid w:val="002A35D1"/>
    <w:rsid w:val="002A45E3"/>
    <w:rsid w:val="002A4848"/>
    <w:rsid w:val="002A6FA3"/>
    <w:rsid w:val="002B3C65"/>
    <w:rsid w:val="002B4CE2"/>
    <w:rsid w:val="002B7A4C"/>
    <w:rsid w:val="002C511C"/>
    <w:rsid w:val="002C6DB1"/>
    <w:rsid w:val="002D212D"/>
    <w:rsid w:val="002D2BCF"/>
    <w:rsid w:val="002F2A5C"/>
    <w:rsid w:val="003106CA"/>
    <w:rsid w:val="00312E57"/>
    <w:rsid w:val="00331404"/>
    <w:rsid w:val="00345891"/>
    <w:rsid w:val="00345D23"/>
    <w:rsid w:val="0035082B"/>
    <w:rsid w:val="003564B5"/>
    <w:rsid w:val="00373AB7"/>
    <w:rsid w:val="003833A9"/>
    <w:rsid w:val="00396DCD"/>
    <w:rsid w:val="003B18C4"/>
    <w:rsid w:val="003B6BFD"/>
    <w:rsid w:val="003C09AF"/>
    <w:rsid w:val="003D08D0"/>
    <w:rsid w:val="003D37D9"/>
    <w:rsid w:val="003E37F3"/>
    <w:rsid w:val="00403210"/>
    <w:rsid w:val="00403C68"/>
    <w:rsid w:val="00417BA6"/>
    <w:rsid w:val="00421374"/>
    <w:rsid w:val="00423649"/>
    <w:rsid w:val="00432028"/>
    <w:rsid w:val="00442C38"/>
    <w:rsid w:val="00447739"/>
    <w:rsid w:val="004546BE"/>
    <w:rsid w:val="00482E07"/>
    <w:rsid w:val="004A426D"/>
    <w:rsid w:val="004B14DC"/>
    <w:rsid w:val="004C1380"/>
    <w:rsid w:val="004C13BE"/>
    <w:rsid w:val="004D31F3"/>
    <w:rsid w:val="004D6267"/>
    <w:rsid w:val="004E1153"/>
    <w:rsid w:val="004E3305"/>
    <w:rsid w:val="004E5551"/>
    <w:rsid w:val="004F29DC"/>
    <w:rsid w:val="004F45F3"/>
    <w:rsid w:val="005051D3"/>
    <w:rsid w:val="00524787"/>
    <w:rsid w:val="005407AB"/>
    <w:rsid w:val="0055151D"/>
    <w:rsid w:val="00551C07"/>
    <w:rsid w:val="00582737"/>
    <w:rsid w:val="005B2727"/>
    <w:rsid w:val="005C53FA"/>
    <w:rsid w:val="005D50F5"/>
    <w:rsid w:val="005E75D0"/>
    <w:rsid w:val="005F7BE0"/>
    <w:rsid w:val="0060096A"/>
    <w:rsid w:val="006026DC"/>
    <w:rsid w:val="00620192"/>
    <w:rsid w:val="006215EA"/>
    <w:rsid w:val="00641109"/>
    <w:rsid w:val="0065044E"/>
    <w:rsid w:val="006571D0"/>
    <w:rsid w:val="0066746D"/>
    <w:rsid w:val="0067127E"/>
    <w:rsid w:val="00684210"/>
    <w:rsid w:val="006868C2"/>
    <w:rsid w:val="00692840"/>
    <w:rsid w:val="006C102F"/>
    <w:rsid w:val="006F342F"/>
    <w:rsid w:val="00700B07"/>
    <w:rsid w:val="00712641"/>
    <w:rsid w:val="00714EBB"/>
    <w:rsid w:val="007278FF"/>
    <w:rsid w:val="00735049"/>
    <w:rsid w:val="00735AB0"/>
    <w:rsid w:val="00740778"/>
    <w:rsid w:val="00766D17"/>
    <w:rsid w:val="007712B5"/>
    <w:rsid w:val="007B6721"/>
    <w:rsid w:val="007B6EFD"/>
    <w:rsid w:val="007C4559"/>
    <w:rsid w:val="008035D2"/>
    <w:rsid w:val="00820EB0"/>
    <w:rsid w:val="00823614"/>
    <w:rsid w:val="00830A7F"/>
    <w:rsid w:val="00836B87"/>
    <w:rsid w:val="008371AB"/>
    <w:rsid w:val="008468BE"/>
    <w:rsid w:val="00850B32"/>
    <w:rsid w:val="00860B31"/>
    <w:rsid w:val="0087078E"/>
    <w:rsid w:val="00876647"/>
    <w:rsid w:val="00886E46"/>
    <w:rsid w:val="008921A3"/>
    <w:rsid w:val="0089694A"/>
    <w:rsid w:val="008C7112"/>
    <w:rsid w:val="008D06D3"/>
    <w:rsid w:val="008D5BBD"/>
    <w:rsid w:val="008D72B8"/>
    <w:rsid w:val="008F2457"/>
    <w:rsid w:val="00925D8F"/>
    <w:rsid w:val="00927DDA"/>
    <w:rsid w:val="0093375F"/>
    <w:rsid w:val="00940B47"/>
    <w:rsid w:val="0095584D"/>
    <w:rsid w:val="009A3330"/>
    <w:rsid w:val="009A5DF1"/>
    <w:rsid w:val="009B082A"/>
    <w:rsid w:val="009B17D4"/>
    <w:rsid w:val="009C4D8B"/>
    <w:rsid w:val="009C511E"/>
    <w:rsid w:val="009D3028"/>
    <w:rsid w:val="009D6409"/>
    <w:rsid w:val="009E1081"/>
    <w:rsid w:val="009E2F6A"/>
    <w:rsid w:val="009F1B89"/>
    <w:rsid w:val="00A1051E"/>
    <w:rsid w:val="00A26733"/>
    <w:rsid w:val="00A31B4E"/>
    <w:rsid w:val="00A50857"/>
    <w:rsid w:val="00A52DB8"/>
    <w:rsid w:val="00A71DF3"/>
    <w:rsid w:val="00A72A6B"/>
    <w:rsid w:val="00A80EE7"/>
    <w:rsid w:val="00A90AE1"/>
    <w:rsid w:val="00A92680"/>
    <w:rsid w:val="00AA279F"/>
    <w:rsid w:val="00AB5D6B"/>
    <w:rsid w:val="00AC572E"/>
    <w:rsid w:val="00AD2BF7"/>
    <w:rsid w:val="00AD3DB6"/>
    <w:rsid w:val="00AD49DB"/>
    <w:rsid w:val="00AE1381"/>
    <w:rsid w:val="00AE696C"/>
    <w:rsid w:val="00AE7A1A"/>
    <w:rsid w:val="00AF176D"/>
    <w:rsid w:val="00B05512"/>
    <w:rsid w:val="00B11D70"/>
    <w:rsid w:val="00B25293"/>
    <w:rsid w:val="00B31DA5"/>
    <w:rsid w:val="00B45071"/>
    <w:rsid w:val="00B501AF"/>
    <w:rsid w:val="00B5181D"/>
    <w:rsid w:val="00BA375A"/>
    <w:rsid w:val="00BA56BF"/>
    <w:rsid w:val="00BB0309"/>
    <w:rsid w:val="00BB332F"/>
    <w:rsid w:val="00BD2A43"/>
    <w:rsid w:val="00BF6788"/>
    <w:rsid w:val="00BF7182"/>
    <w:rsid w:val="00C07617"/>
    <w:rsid w:val="00C11B93"/>
    <w:rsid w:val="00C159CA"/>
    <w:rsid w:val="00C17E23"/>
    <w:rsid w:val="00C333F1"/>
    <w:rsid w:val="00C52D81"/>
    <w:rsid w:val="00C85567"/>
    <w:rsid w:val="00C85A3F"/>
    <w:rsid w:val="00C93580"/>
    <w:rsid w:val="00CA0D83"/>
    <w:rsid w:val="00CA21AC"/>
    <w:rsid w:val="00CB16E8"/>
    <w:rsid w:val="00CB62A6"/>
    <w:rsid w:val="00CC5A46"/>
    <w:rsid w:val="00CC7972"/>
    <w:rsid w:val="00CD5274"/>
    <w:rsid w:val="00CD62F3"/>
    <w:rsid w:val="00CE382F"/>
    <w:rsid w:val="00CF27FA"/>
    <w:rsid w:val="00D13D2A"/>
    <w:rsid w:val="00D26A8C"/>
    <w:rsid w:val="00D4749F"/>
    <w:rsid w:val="00D52C85"/>
    <w:rsid w:val="00D54E90"/>
    <w:rsid w:val="00D54EBE"/>
    <w:rsid w:val="00D82645"/>
    <w:rsid w:val="00D85409"/>
    <w:rsid w:val="00DB2915"/>
    <w:rsid w:val="00DB2993"/>
    <w:rsid w:val="00DC2608"/>
    <w:rsid w:val="00DD4922"/>
    <w:rsid w:val="00E0466F"/>
    <w:rsid w:val="00E12D0A"/>
    <w:rsid w:val="00E135C1"/>
    <w:rsid w:val="00E14586"/>
    <w:rsid w:val="00E20D8C"/>
    <w:rsid w:val="00E319EA"/>
    <w:rsid w:val="00E62784"/>
    <w:rsid w:val="00E65046"/>
    <w:rsid w:val="00E65538"/>
    <w:rsid w:val="00E94316"/>
    <w:rsid w:val="00EB3176"/>
    <w:rsid w:val="00EB5A8F"/>
    <w:rsid w:val="00EC65D3"/>
    <w:rsid w:val="00ED4AEF"/>
    <w:rsid w:val="00EE008C"/>
    <w:rsid w:val="00EF7B05"/>
    <w:rsid w:val="00F077A0"/>
    <w:rsid w:val="00F14509"/>
    <w:rsid w:val="00F17973"/>
    <w:rsid w:val="00F26DD7"/>
    <w:rsid w:val="00F32614"/>
    <w:rsid w:val="00F34637"/>
    <w:rsid w:val="00F42082"/>
    <w:rsid w:val="00F9649D"/>
    <w:rsid w:val="00F974F0"/>
    <w:rsid w:val="00FC404A"/>
    <w:rsid w:val="00FC4C41"/>
    <w:rsid w:val="00FD6C34"/>
    <w:rsid w:val="00FD79B1"/>
    <w:rsid w:val="00FE76F6"/>
    <w:rsid w:val="00FF60A6"/>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5263"/>
  <w15:chartTrackingRefBased/>
  <w15:docId w15:val="{76A52E5D-0D3D-410C-9CF5-C6D1824A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42F"/>
    <w:pPr>
      <w:spacing w:after="0" w:line="240" w:lineRule="auto"/>
    </w:pPr>
    <w:rPr>
      <w:rFonts w:ascii="Trebuchet MS" w:eastAsia="Times New Roman" w:hAnsi="Trebuchet MS" w:cs="Arial"/>
      <w:color w:val="000000"/>
      <w:kern w:val="0"/>
      <w:sz w:val="20"/>
      <w:szCs w:val="20"/>
      <w:lang w:eastAsia="pl-PL"/>
      <w14:ligatures w14:val="none"/>
    </w:rPr>
  </w:style>
  <w:style w:type="paragraph" w:styleId="Nagwek1">
    <w:name w:val="heading 1"/>
    <w:basedOn w:val="Normalny"/>
    <w:next w:val="Normalny"/>
    <w:link w:val="Nagwek1Znak"/>
    <w:uiPriority w:val="9"/>
    <w:qFormat/>
    <w:rsid w:val="00CC79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CC79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CC79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CC79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CC797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CC797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CC797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CC797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CC797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79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C79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C79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79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79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79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79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79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7972"/>
    <w:rPr>
      <w:rFonts w:eastAsiaTheme="majorEastAsia" w:cstheme="majorBidi"/>
      <w:color w:val="272727" w:themeColor="text1" w:themeTint="D8"/>
    </w:rPr>
  </w:style>
  <w:style w:type="paragraph" w:styleId="Tytu">
    <w:name w:val="Title"/>
    <w:basedOn w:val="Normalny"/>
    <w:next w:val="Normalny"/>
    <w:link w:val="TytuZnak"/>
    <w:uiPriority w:val="10"/>
    <w:qFormat/>
    <w:rsid w:val="00CC7972"/>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C79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79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CC79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797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CC7972"/>
    <w:rPr>
      <w:i/>
      <w:iCs/>
      <w:color w:val="404040" w:themeColor="text1" w:themeTint="BF"/>
    </w:rPr>
  </w:style>
  <w:style w:type="paragraph" w:styleId="Akapitzlist">
    <w:name w:val="List Paragraph"/>
    <w:basedOn w:val="Normalny"/>
    <w:uiPriority w:val="34"/>
    <w:qFormat/>
    <w:rsid w:val="00CC7972"/>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Wyrnienieintensywne">
    <w:name w:val="Intense Emphasis"/>
    <w:basedOn w:val="Domylnaczcionkaakapitu"/>
    <w:uiPriority w:val="21"/>
    <w:qFormat/>
    <w:rsid w:val="00CC7972"/>
    <w:rPr>
      <w:i/>
      <w:iCs/>
      <w:color w:val="0F4761" w:themeColor="accent1" w:themeShade="BF"/>
    </w:rPr>
  </w:style>
  <w:style w:type="paragraph" w:styleId="Cytatintensywny">
    <w:name w:val="Intense Quote"/>
    <w:basedOn w:val="Normalny"/>
    <w:next w:val="Normalny"/>
    <w:link w:val="CytatintensywnyZnak"/>
    <w:uiPriority w:val="30"/>
    <w:qFormat/>
    <w:rsid w:val="00CC79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CC7972"/>
    <w:rPr>
      <w:i/>
      <w:iCs/>
      <w:color w:val="0F4761" w:themeColor="accent1" w:themeShade="BF"/>
    </w:rPr>
  </w:style>
  <w:style w:type="character" w:styleId="Odwoanieintensywne">
    <w:name w:val="Intense Reference"/>
    <w:basedOn w:val="Domylnaczcionkaakapitu"/>
    <w:uiPriority w:val="32"/>
    <w:qFormat/>
    <w:rsid w:val="00CC7972"/>
    <w:rPr>
      <w:b/>
      <w:bCs/>
      <w:smallCaps/>
      <w:color w:val="0F4761" w:themeColor="accent1" w:themeShade="BF"/>
      <w:spacing w:val="5"/>
    </w:rPr>
  </w:style>
  <w:style w:type="paragraph" w:styleId="Nagwek">
    <w:name w:val="header"/>
    <w:basedOn w:val="Normalny"/>
    <w:link w:val="NagwekZnak"/>
    <w:uiPriority w:val="99"/>
    <w:rsid w:val="006F342F"/>
    <w:pPr>
      <w:tabs>
        <w:tab w:val="center" w:pos="4536"/>
        <w:tab w:val="right" w:pos="9072"/>
      </w:tabs>
    </w:pPr>
  </w:style>
  <w:style w:type="character" w:customStyle="1" w:styleId="NagwekZnak">
    <w:name w:val="Nagłówek Znak"/>
    <w:basedOn w:val="Domylnaczcionkaakapitu"/>
    <w:link w:val="Nagwek"/>
    <w:uiPriority w:val="99"/>
    <w:rsid w:val="006F342F"/>
    <w:rPr>
      <w:rFonts w:ascii="Trebuchet MS" w:eastAsia="Times New Roman" w:hAnsi="Trebuchet MS" w:cs="Arial"/>
      <w:color w:val="000000"/>
      <w:kern w:val="0"/>
      <w:sz w:val="20"/>
      <w:szCs w:val="20"/>
      <w:lang w:eastAsia="pl-PL"/>
      <w14:ligatures w14:val="none"/>
    </w:rPr>
  </w:style>
  <w:style w:type="paragraph" w:styleId="Stopka">
    <w:name w:val="footer"/>
    <w:basedOn w:val="Normalny"/>
    <w:link w:val="StopkaZnak"/>
    <w:uiPriority w:val="99"/>
    <w:rsid w:val="006F342F"/>
    <w:pPr>
      <w:tabs>
        <w:tab w:val="center" w:pos="4536"/>
        <w:tab w:val="right" w:pos="9072"/>
      </w:tabs>
    </w:pPr>
  </w:style>
  <w:style w:type="character" w:customStyle="1" w:styleId="StopkaZnak">
    <w:name w:val="Stopka Znak"/>
    <w:basedOn w:val="Domylnaczcionkaakapitu"/>
    <w:link w:val="Stopka"/>
    <w:uiPriority w:val="99"/>
    <w:rsid w:val="006F342F"/>
    <w:rPr>
      <w:rFonts w:ascii="Trebuchet MS" w:eastAsia="Times New Roman" w:hAnsi="Trebuchet MS" w:cs="Arial"/>
      <w:color w:val="000000"/>
      <w:kern w:val="0"/>
      <w:sz w:val="20"/>
      <w:szCs w:val="20"/>
      <w:lang w:eastAsia="pl-PL"/>
      <w14:ligatures w14:val="none"/>
    </w:rPr>
  </w:style>
  <w:style w:type="character" w:styleId="Hipercze">
    <w:name w:val="Hyperlink"/>
    <w:semiHidden/>
    <w:rsid w:val="006F342F"/>
    <w:rPr>
      <w:rFonts w:cs="Times New Roman"/>
      <w:color w:val="0000FF"/>
      <w:u w:val="single"/>
    </w:rPr>
  </w:style>
  <w:style w:type="paragraph" w:styleId="NormalnyWeb">
    <w:name w:val="Normal (Web)"/>
    <w:basedOn w:val="Normalny"/>
    <w:uiPriority w:val="99"/>
    <w:semiHidden/>
    <w:unhideWhenUsed/>
    <w:rsid w:val="00E319EA"/>
    <w:pPr>
      <w:spacing w:before="100" w:beforeAutospacing="1" w:after="100" w:afterAutospacing="1"/>
    </w:pPr>
    <w:rPr>
      <w:rFonts w:ascii="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823614"/>
    <w:rPr>
      <w:sz w:val="16"/>
      <w:szCs w:val="16"/>
    </w:rPr>
  </w:style>
  <w:style w:type="paragraph" w:styleId="Tekstkomentarza">
    <w:name w:val="annotation text"/>
    <w:basedOn w:val="Normalny"/>
    <w:link w:val="TekstkomentarzaZnak"/>
    <w:uiPriority w:val="99"/>
    <w:unhideWhenUsed/>
    <w:rsid w:val="00823614"/>
  </w:style>
  <w:style w:type="character" w:customStyle="1" w:styleId="TekstkomentarzaZnak">
    <w:name w:val="Tekst komentarza Znak"/>
    <w:basedOn w:val="Domylnaczcionkaakapitu"/>
    <w:link w:val="Tekstkomentarza"/>
    <w:uiPriority w:val="99"/>
    <w:rsid w:val="00823614"/>
    <w:rPr>
      <w:rFonts w:ascii="Trebuchet MS" w:eastAsia="Times New Roman" w:hAnsi="Trebuchet MS" w:cs="Arial"/>
      <w:color w:val="000000"/>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23614"/>
    <w:rPr>
      <w:b/>
      <w:bCs/>
    </w:rPr>
  </w:style>
  <w:style w:type="character" w:customStyle="1" w:styleId="TematkomentarzaZnak">
    <w:name w:val="Temat komentarza Znak"/>
    <w:basedOn w:val="TekstkomentarzaZnak"/>
    <w:link w:val="Tematkomentarza"/>
    <w:uiPriority w:val="99"/>
    <w:semiHidden/>
    <w:rsid w:val="00823614"/>
    <w:rPr>
      <w:rFonts w:ascii="Trebuchet MS" w:eastAsia="Times New Roman" w:hAnsi="Trebuchet MS" w:cs="Arial"/>
      <w:b/>
      <w:bCs/>
      <w:color w:val="000000"/>
      <w:kern w:val="0"/>
      <w:sz w:val="20"/>
      <w:szCs w:val="20"/>
      <w:lang w:eastAsia="pl-PL"/>
      <w14:ligatures w14:val="none"/>
    </w:rPr>
  </w:style>
  <w:style w:type="paragraph" w:styleId="Poprawka">
    <w:name w:val="Revision"/>
    <w:hidden/>
    <w:uiPriority w:val="99"/>
    <w:semiHidden/>
    <w:rsid w:val="00223566"/>
    <w:pPr>
      <w:spacing w:after="0" w:line="240" w:lineRule="auto"/>
    </w:pPr>
    <w:rPr>
      <w:rFonts w:ascii="Trebuchet MS" w:eastAsia="Times New Roman" w:hAnsi="Trebuchet MS" w:cs="Arial"/>
      <w:color w:val="000000"/>
      <w:kern w:val="0"/>
      <w:sz w:val="20"/>
      <w:szCs w:val="20"/>
      <w:lang w:eastAsia="pl-PL"/>
      <w14:ligatures w14:val="none"/>
    </w:rPr>
  </w:style>
  <w:style w:type="character" w:styleId="Nierozpoznanawzmianka">
    <w:name w:val="Unresolved Mention"/>
    <w:basedOn w:val="Domylnaczcionkaakapitu"/>
    <w:uiPriority w:val="99"/>
    <w:semiHidden/>
    <w:unhideWhenUsed/>
    <w:rsid w:val="00DB2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z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A51-9BDB-44B8-A38A-5E7AFED6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1217</Words>
  <Characters>7302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Frąckowiak</dc:creator>
  <cp:keywords/>
  <dc:description/>
  <cp:lastModifiedBy>Agnieszka Frąckowiak</cp:lastModifiedBy>
  <cp:revision>10</cp:revision>
  <cp:lastPrinted>2026-02-17T08:13:00Z</cp:lastPrinted>
  <dcterms:created xsi:type="dcterms:W3CDTF">2026-02-17T07:43:00Z</dcterms:created>
  <dcterms:modified xsi:type="dcterms:W3CDTF">2026-02-17T08:38:00Z</dcterms:modified>
</cp:coreProperties>
</file>