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2C86" w14:textId="3AFF997E" w:rsidR="008D5C70" w:rsidRPr="008D5C70" w:rsidRDefault="008D5C70" w:rsidP="00A06DF6">
      <w:pPr>
        <w:jc w:val="right"/>
        <w:rPr>
          <w:rFonts w:ascii="Intrum Sans" w:hAnsi="Intrum Sans"/>
          <w:sz w:val="16"/>
          <w:szCs w:val="16"/>
        </w:rPr>
      </w:pPr>
      <w:r w:rsidRPr="008D5C70">
        <w:rPr>
          <w:rFonts w:ascii="Intrum Sans" w:hAnsi="Intrum Sans"/>
          <w:sz w:val="16"/>
          <w:szCs w:val="16"/>
        </w:rPr>
        <w:t xml:space="preserve">materiał prasowy, </w:t>
      </w:r>
      <w:r w:rsidR="006D35FD">
        <w:rPr>
          <w:rFonts w:ascii="Intrum Sans" w:hAnsi="Intrum Sans"/>
          <w:sz w:val="16"/>
          <w:szCs w:val="16"/>
        </w:rPr>
        <w:t>18.02.2026</w:t>
      </w:r>
    </w:p>
    <w:p w14:paraId="721BFB96" w14:textId="4B11FB9A" w:rsidR="00E061DD" w:rsidRPr="00FA780F" w:rsidRDefault="00E061DD" w:rsidP="00A06DF6">
      <w:pPr>
        <w:rPr>
          <w:rFonts w:ascii="Intrum Sans" w:hAnsi="Intrum Sans"/>
          <w:b/>
          <w:bCs/>
          <w:sz w:val="28"/>
          <w:szCs w:val="28"/>
        </w:rPr>
      </w:pPr>
      <w:r w:rsidRPr="00FA780F">
        <w:rPr>
          <w:rFonts w:ascii="Intrum Sans" w:hAnsi="Intrum Sans"/>
          <w:b/>
          <w:bCs/>
          <w:sz w:val="28"/>
          <w:szCs w:val="28"/>
        </w:rPr>
        <w:t xml:space="preserve">Nie tylko zarobki. </w:t>
      </w:r>
      <w:r w:rsidR="001863DE" w:rsidRPr="00FA780F">
        <w:rPr>
          <w:rFonts w:ascii="Intrum Sans" w:hAnsi="Intrum Sans"/>
          <w:b/>
          <w:bCs/>
          <w:sz w:val="28"/>
          <w:szCs w:val="28"/>
        </w:rPr>
        <w:t>Jak przewidzieć czy konsument spłaci zaciągnięte zobowiązanie?</w:t>
      </w:r>
    </w:p>
    <w:p w14:paraId="15CE3A85" w14:textId="6C4A2B12" w:rsidR="003E6C46" w:rsidRPr="00FA780F" w:rsidRDefault="00E13704" w:rsidP="00A06DF6">
      <w:pPr>
        <w:rPr>
          <w:rFonts w:ascii="Intrum Sans" w:hAnsi="Intrum Sans"/>
          <w:b/>
          <w:bCs/>
        </w:rPr>
      </w:pPr>
      <w:r w:rsidRPr="00FA780F">
        <w:rPr>
          <w:rFonts w:ascii="Intrum Sans" w:hAnsi="Intrum Sans"/>
          <w:b/>
          <w:bCs/>
        </w:rPr>
        <w:t xml:space="preserve">Według raportu </w:t>
      </w:r>
      <w:bookmarkStart w:id="0" w:name="_Hlk219416095"/>
      <w:r w:rsidR="00851829" w:rsidRPr="00FA780F">
        <w:rPr>
          <w:rFonts w:ascii="Intrum Sans" w:hAnsi="Intrum Sans"/>
          <w:b/>
          <w:bCs/>
        </w:rPr>
        <w:t xml:space="preserve">Intrum </w:t>
      </w:r>
      <w:bookmarkStart w:id="1" w:name="_Hlk220579205"/>
      <w:r w:rsidRPr="00FA780F">
        <w:rPr>
          <w:rFonts w:ascii="Intrum Sans" w:hAnsi="Intrum Sans"/>
          <w:b/>
          <w:bCs/>
        </w:rPr>
        <w:t>European Consumer Payment</w:t>
      </w:r>
      <w:bookmarkEnd w:id="1"/>
      <w:r w:rsidR="00851829" w:rsidRPr="00FA780F">
        <w:rPr>
          <w:rFonts w:ascii="Intrum Sans" w:hAnsi="Intrum Sans"/>
          <w:b/>
          <w:bCs/>
        </w:rPr>
        <w:t>,</w:t>
      </w:r>
      <w:r w:rsidRPr="00FA780F">
        <w:rPr>
          <w:rFonts w:ascii="Intrum Sans" w:hAnsi="Intrum Sans"/>
          <w:b/>
          <w:bCs/>
        </w:rPr>
        <w:t xml:space="preserve"> </w:t>
      </w:r>
      <w:bookmarkEnd w:id="0"/>
      <w:r w:rsidR="00DB0134" w:rsidRPr="00FA780F">
        <w:rPr>
          <w:rFonts w:ascii="Intrum Sans" w:hAnsi="Intrum Sans"/>
          <w:b/>
          <w:bCs/>
        </w:rPr>
        <w:t xml:space="preserve">11 </w:t>
      </w:r>
      <w:r w:rsidRPr="00FA780F">
        <w:rPr>
          <w:rFonts w:ascii="Intrum Sans" w:hAnsi="Intrum Sans"/>
          <w:b/>
          <w:bCs/>
        </w:rPr>
        <w:t xml:space="preserve">proc. </w:t>
      </w:r>
      <w:r w:rsidR="000C0BA7" w:rsidRPr="00FA780F">
        <w:rPr>
          <w:rFonts w:ascii="Intrum Sans" w:hAnsi="Intrum Sans"/>
          <w:b/>
          <w:bCs/>
        </w:rPr>
        <w:t>polskich konsumentów</w:t>
      </w:r>
      <w:r w:rsidRPr="00FA780F">
        <w:rPr>
          <w:rFonts w:ascii="Intrum Sans" w:hAnsi="Intrum Sans"/>
          <w:b/>
          <w:bCs/>
        </w:rPr>
        <w:t xml:space="preserve"> ma trudności ze spłatą zobowiązań. </w:t>
      </w:r>
      <w:r w:rsidR="00111FCC" w:rsidRPr="00FA780F">
        <w:rPr>
          <w:rFonts w:ascii="Intrum Sans" w:hAnsi="Intrum Sans"/>
          <w:b/>
          <w:bCs/>
        </w:rPr>
        <w:t xml:space="preserve">Za </w:t>
      </w:r>
      <w:r w:rsidRPr="00FA780F">
        <w:rPr>
          <w:rFonts w:ascii="Intrum Sans" w:hAnsi="Intrum Sans"/>
          <w:b/>
          <w:bCs/>
        </w:rPr>
        <w:t>finansowe wyzwania odpowiadają przede wszystkim wysokie koszty życia, na które wskazuje 54 proc. osób</w:t>
      </w:r>
      <w:r w:rsidR="00AB312E" w:rsidRPr="00FA780F">
        <w:rPr>
          <w:rStyle w:val="Odwoanieprzypisudolnego"/>
          <w:rFonts w:ascii="Intrum Sans" w:hAnsi="Intrum Sans"/>
          <w:b/>
          <w:bCs/>
        </w:rPr>
        <w:footnoteReference w:id="1"/>
      </w:r>
      <w:r w:rsidRPr="00FA780F">
        <w:rPr>
          <w:rFonts w:ascii="Intrum Sans" w:hAnsi="Intrum Sans"/>
          <w:b/>
          <w:bCs/>
        </w:rPr>
        <w:t>.</w:t>
      </w:r>
      <w:r w:rsidR="007374EE" w:rsidRPr="00FA780F">
        <w:rPr>
          <w:rFonts w:ascii="Intrum Sans" w:hAnsi="Intrum Sans"/>
          <w:b/>
          <w:bCs/>
        </w:rPr>
        <w:t xml:space="preserve"> Duże znaczenie mają także </w:t>
      </w:r>
      <w:r w:rsidRPr="00FA780F">
        <w:rPr>
          <w:rFonts w:ascii="Intrum Sans" w:hAnsi="Intrum Sans"/>
          <w:b/>
          <w:bCs/>
        </w:rPr>
        <w:t xml:space="preserve">nieoczekiwane wydatki </w:t>
      </w:r>
      <w:r w:rsidR="007374EE" w:rsidRPr="00FA780F">
        <w:rPr>
          <w:rFonts w:ascii="Intrum Sans" w:hAnsi="Intrum Sans"/>
          <w:b/>
          <w:bCs/>
        </w:rPr>
        <w:t xml:space="preserve">(42 proc. odpowiedzi) </w:t>
      </w:r>
      <w:r w:rsidRPr="00FA780F">
        <w:rPr>
          <w:rFonts w:ascii="Intrum Sans" w:hAnsi="Intrum Sans"/>
          <w:b/>
          <w:bCs/>
        </w:rPr>
        <w:t>oraz stagnacja wynagrodzeń</w:t>
      </w:r>
      <w:r w:rsidR="007374EE" w:rsidRPr="00FA780F">
        <w:rPr>
          <w:rFonts w:ascii="Intrum Sans" w:hAnsi="Intrum Sans"/>
          <w:b/>
          <w:bCs/>
        </w:rPr>
        <w:t xml:space="preserve"> (25 proc.)</w:t>
      </w:r>
      <w:r w:rsidR="00AB312E" w:rsidRPr="00FA780F">
        <w:rPr>
          <w:rStyle w:val="Odwoanieprzypisudolnego"/>
          <w:rFonts w:ascii="Intrum Sans" w:hAnsi="Intrum Sans"/>
          <w:b/>
          <w:bCs/>
        </w:rPr>
        <w:footnoteReference w:id="2"/>
      </w:r>
      <w:r w:rsidRPr="00FA780F">
        <w:rPr>
          <w:rFonts w:ascii="Intrum Sans" w:hAnsi="Intrum Sans"/>
          <w:b/>
          <w:bCs/>
        </w:rPr>
        <w:t>.</w:t>
      </w:r>
      <w:r w:rsidR="007374EE" w:rsidRPr="00FA780F">
        <w:rPr>
          <w:rFonts w:ascii="Intrum Sans" w:hAnsi="Intrum Sans"/>
          <w:b/>
          <w:bCs/>
        </w:rPr>
        <w:t xml:space="preserve"> </w:t>
      </w:r>
      <w:r w:rsidR="00851829" w:rsidRPr="00FA780F">
        <w:rPr>
          <w:rFonts w:ascii="Intrum Sans" w:hAnsi="Intrum Sans"/>
          <w:b/>
          <w:bCs/>
        </w:rPr>
        <w:t>Jednak, wbrew ogólnemu przekonaniu,</w:t>
      </w:r>
      <w:r w:rsidR="007374EE" w:rsidRPr="00FA780F">
        <w:rPr>
          <w:rFonts w:ascii="Intrum Sans" w:hAnsi="Intrum Sans"/>
          <w:b/>
          <w:bCs/>
        </w:rPr>
        <w:t xml:space="preserve"> trudności w spłacie zobowiązań nie zawsze są powiązane z niską płacą</w:t>
      </w:r>
      <w:r w:rsidR="00F63820" w:rsidRPr="00FA780F">
        <w:rPr>
          <w:rFonts w:ascii="Intrum Sans" w:hAnsi="Intrum Sans"/>
          <w:b/>
          <w:bCs/>
        </w:rPr>
        <w:t xml:space="preserve"> - część osób zarabiających znacznie powyżej średniej krajowej również ma problemy z</w:t>
      </w:r>
      <w:r w:rsidR="00AA20FD" w:rsidRPr="00FA780F">
        <w:rPr>
          <w:rFonts w:ascii="Intrum Sans" w:hAnsi="Intrum Sans"/>
          <w:b/>
          <w:bCs/>
        </w:rPr>
        <w:t xml:space="preserve"> regulowaniem płatności</w:t>
      </w:r>
      <w:r w:rsidR="00F63820" w:rsidRPr="00FA780F">
        <w:rPr>
          <w:rFonts w:ascii="Intrum Sans" w:hAnsi="Intrum Sans"/>
          <w:b/>
          <w:bCs/>
        </w:rPr>
        <w:t xml:space="preserve"> na czas. </w:t>
      </w:r>
      <w:r w:rsidR="00AB312E" w:rsidRPr="00FA780F">
        <w:rPr>
          <w:rFonts w:ascii="Intrum Sans" w:hAnsi="Intrum Sans"/>
          <w:b/>
          <w:bCs/>
        </w:rPr>
        <w:t>Dlaczego tak się dzieje? Odpowiedź na to pytanie przynosi Money Management Index</w:t>
      </w:r>
      <w:r w:rsidR="00851829" w:rsidRPr="00FA780F">
        <w:rPr>
          <w:rFonts w:ascii="Intrum Sans" w:hAnsi="Intrum Sans"/>
          <w:b/>
          <w:bCs/>
        </w:rPr>
        <w:t>.</w:t>
      </w:r>
      <w:r w:rsidR="00F63820" w:rsidRPr="00FA780F">
        <w:rPr>
          <w:rFonts w:ascii="Intrum Sans" w:hAnsi="Intrum Sans"/>
          <w:b/>
          <w:bCs/>
        </w:rPr>
        <w:t xml:space="preserve"> </w:t>
      </w:r>
    </w:p>
    <w:p w14:paraId="41CABBFC" w14:textId="08FD3065" w:rsidR="003E6C46" w:rsidRPr="00FA780F" w:rsidRDefault="003E6C46" w:rsidP="00A06DF6">
      <w:pPr>
        <w:pStyle w:val="Nagwek2"/>
        <w:rPr>
          <w:rFonts w:ascii="Intrum Sans" w:hAnsi="Intrum Sans"/>
          <w:sz w:val="24"/>
          <w:szCs w:val="24"/>
        </w:rPr>
      </w:pPr>
      <w:bookmarkStart w:id="2" w:name="_Hlk219425190"/>
      <w:r w:rsidRPr="00FA780F">
        <w:rPr>
          <w:rFonts w:ascii="Intrum Sans" w:hAnsi="Intrum Sans"/>
          <w:sz w:val="24"/>
          <w:szCs w:val="24"/>
        </w:rPr>
        <w:t>Money Management Index</w:t>
      </w:r>
      <w:r w:rsidR="00BA60E7" w:rsidRPr="00FA780F">
        <w:rPr>
          <w:rFonts w:ascii="Intrum Sans" w:hAnsi="Intrum Sans"/>
          <w:sz w:val="24"/>
          <w:szCs w:val="24"/>
        </w:rPr>
        <w:t xml:space="preserve"> </w:t>
      </w:r>
      <w:bookmarkEnd w:id="2"/>
      <w:r w:rsidR="00BA60E7" w:rsidRPr="00FA780F">
        <w:rPr>
          <w:rFonts w:ascii="Intrum Sans" w:hAnsi="Intrum Sans"/>
          <w:sz w:val="24"/>
          <w:szCs w:val="24"/>
        </w:rPr>
        <w:t>– co się za nim kryje?</w:t>
      </w:r>
    </w:p>
    <w:p w14:paraId="200E5740" w14:textId="4644DA05" w:rsidR="00AD6582" w:rsidRPr="00FA780F" w:rsidRDefault="007177AA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Money Management Index to </w:t>
      </w:r>
      <w:r w:rsidR="00F01C15" w:rsidRPr="00FA780F">
        <w:rPr>
          <w:rFonts w:ascii="Intrum Sans" w:hAnsi="Intrum Sans"/>
          <w:sz w:val="20"/>
          <w:szCs w:val="20"/>
        </w:rPr>
        <w:t xml:space="preserve">nowy </w:t>
      </w:r>
      <w:r w:rsidRPr="00FA780F">
        <w:rPr>
          <w:rFonts w:ascii="Intrum Sans" w:hAnsi="Intrum Sans"/>
          <w:sz w:val="20"/>
          <w:szCs w:val="20"/>
        </w:rPr>
        <w:t>wskaźnik</w:t>
      </w:r>
      <w:r w:rsidR="004F0D0F" w:rsidRPr="00FA780F">
        <w:rPr>
          <w:rFonts w:ascii="Intrum Sans" w:hAnsi="Intrum Sans"/>
          <w:sz w:val="20"/>
          <w:szCs w:val="20"/>
        </w:rPr>
        <w:t xml:space="preserve"> </w:t>
      </w:r>
      <w:r w:rsidR="00EA6A6E" w:rsidRPr="00FA780F">
        <w:rPr>
          <w:rFonts w:ascii="Intrum Sans" w:hAnsi="Intrum Sans"/>
          <w:sz w:val="20"/>
          <w:szCs w:val="20"/>
        </w:rPr>
        <w:t xml:space="preserve">opracowany przez </w:t>
      </w:r>
      <w:r w:rsidR="004F0D0F" w:rsidRPr="00FA780F">
        <w:rPr>
          <w:rFonts w:ascii="Intrum Sans" w:hAnsi="Intrum Sans"/>
          <w:sz w:val="20"/>
          <w:szCs w:val="20"/>
        </w:rPr>
        <w:t>Intrum</w:t>
      </w:r>
      <w:r w:rsidR="00CD2710" w:rsidRPr="00FA780F">
        <w:rPr>
          <w:rFonts w:ascii="Intrum Sans" w:hAnsi="Intrum Sans"/>
          <w:sz w:val="20"/>
          <w:szCs w:val="20"/>
        </w:rPr>
        <w:t>,</w:t>
      </w:r>
      <w:r w:rsidRPr="00FA780F">
        <w:rPr>
          <w:rFonts w:ascii="Intrum Sans" w:hAnsi="Intrum Sans"/>
          <w:sz w:val="20"/>
          <w:szCs w:val="20"/>
        </w:rPr>
        <w:t xml:space="preserve"> </w:t>
      </w:r>
      <w:r w:rsidR="00F63820" w:rsidRPr="00FA780F">
        <w:rPr>
          <w:rFonts w:ascii="Intrum Sans" w:hAnsi="Intrum Sans"/>
          <w:sz w:val="20"/>
          <w:szCs w:val="20"/>
        </w:rPr>
        <w:t>dzięki któremu, można</w:t>
      </w:r>
      <w:r w:rsidR="00F01C15" w:rsidRPr="00FA780F">
        <w:rPr>
          <w:rFonts w:ascii="Intrum Sans" w:hAnsi="Intrum Sans"/>
          <w:sz w:val="20"/>
          <w:szCs w:val="20"/>
        </w:rPr>
        <w:t xml:space="preserve"> </w:t>
      </w:r>
      <w:r w:rsidR="00F63820" w:rsidRPr="00FA780F">
        <w:rPr>
          <w:rFonts w:ascii="Intrum Sans" w:hAnsi="Intrum Sans"/>
          <w:sz w:val="20"/>
          <w:szCs w:val="20"/>
        </w:rPr>
        <w:t xml:space="preserve">ocenić </w:t>
      </w:r>
      <w:r w:rsidR="00F01C15" w:rsidRPr="00FA780F">
        <w:rPr>
          <w:rFonts w:ascii="Intrum Sans" w:hAnsi="Intrum Sans"/>
          <w:sz w:val="20"/>
          <w:szCs w:val="20"/>
        </w:rPr>
        <w:t>skuteczność zarządzania finansami przez konsumenta</w:t>
      </w:r>
      <w:r w:rsidR="00CD2710" w:rsidRPr="00FA780F">
        <w:rPr>
          <w:rFonts w:ascii="Intrum Sans" w:hAnsi="Intrum Sans"/>
          <w:sz w:val="20"/>
          <w:szCs w:val="20"/>
        </w:rPr>
        <w:t xml:space="preserve"> w oparciu o analizę jego postaw i zachowań</w:t>
      </w:r>
      <w:r w:rsidR="00F01C15" w:rsidRPr="00FA780F">
        <w:rPr>
          <w:rFonts w:ascii="Intrum Sans" w:hAnsi="Intrum Sans"/>
          <w:sz w:val="20"/>
          <w:szCs w:val="20"/>
        </w:rPr>
        <w:t xml:space="preserve">. Podczas tworzenia indeksu eksperci wykorzystali statystyczny model uczenia głębokiego. </w:t>
      </w:r>
      <w:r w:rsidR="00A45976" w:rsidRPr="00FA780F">
        <w:rPr>
          <w:rFonts w:ascii="Intrum Sans" w:hAnsi="Intrum Sans"/>
          <w:sz w:val="20"/>
          <w:szCs w:val="20"/>
        </w:rPr>
        <w:t xml:space="preserve">Oznacza to </w:t>
      </w:r>
      <w:r w:rsidR="00851829" w:rsidRPr="00FA780F">
        <w:rPr>
          <w:rFonts w:ascii="Intrum Sans" w:hAnsi="Intrum Sans"/>
          <w:sz w:val="20"/>
          <w:szCs w:val="20"/>
        </w:rPr>
        <w:t xml:space="preserve">trenowanie </w:t>
      </w:r>
      <w:r w:rsidR="00F01C15" w:rsidRPr="00FA780F">
        <w:rPr>
          <w:rFonts w:ascii="Intrum Sans" w:hAnsi="Intrum Sans"/>
          <w:sz w:val="20"/>
          <w:szCs w:val="20"/>
        </w:rPr>
        <w:t>na dużych zbiorach danych</w:t>
      </w:r>
      <w:r w:rsidR="00D85431" w:rsidRPr="00FA780F">
        <w:rPr>
          <w:rFonts w:ascii="Intrum Sans" w:hAnsi="Intrum Sans"/>
          <w:sz w:val="20"/>
          <w:szCs w:val="20"/>
        </w:rPr>
        <w:t xml:space="preserve"> i </w:t>
      </w:r>
      <w:r w:rsidR="00F01C15" w:rsidRPr="00FA780F">
        <w:rPr>
          <w:rFonts w:ascii="Intrum Sans" w:hAnsi="Intrum Sans"/>
          <w:sz w:val="20"/>
          <w:szCs w:val="20"/>
        </w:rPr>
        <w:t>automatycz</w:t>
      </w:r>
      <w:r w:rsidR="00A45976" w:rsidRPr="00FA780F">
        <w:rPr>
          <w:rFonts w:ascii="Intrum Sans" w:hAnsi="Intrum Sans"/>
          <w:sz w:val="20"/>
          <w:szCs w:val="20"/>
        </w:rPr>
        <w:t>n</w:t>
      </w:r>
      <w:r w:rsidR="00F01C15" w:rsidRPr="00FA780F">
        <w:rPr>
          <w:rFonts w:ascii="Intrum Sans" w:hAnsi="Intrum Sans"/>
          <w:sz w:val="20"/>
          <w:szCs w:val="20"/>
        </w:rPr>
        <w:t>e wykrywanie złożonych zależności</w:t>
      </w:r>
      <w:r w:rsidR="00CD2710" w:rsidRPr="00FA780F">
        <w:rPr>
          <w:rFonts w:ascii="Intrum Sans" w:hAnsi="Intrum Sans"/>
          <w:sz w:val="20"/>
          <w:szCs w:val="20"/>
        </w:rPr>
        <w:t xml:space="preserve">. </w:t>
      </w:r>
    </w:p>
    <w:p w14:paraId="6B0DAD85" w14:textId="0B4EBDB2" w:rsidR="003E6C46" w:rsidRPr="00FA780F" w:rsidRDefault="00AD6582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- </w:t>
      </w:r>
      <w:r w:rsidRPr="00FA780F">
        <w:rPr>
          <w:rFonts w:ascii="Intrum Sans" w:hAnsi="Intrum Sans"/>
          <w:i/>
          <w:iCs/>
          <w:sz w:val="20"/>
          <w:szCs w:val="20"/>
        </w:rPr>
        <w:t>Wskaźnik</w:t>
      </w:r>
      <w:r w:rsidRPr="00FA780F">
        <w:rPr>
          <w:rFonts w:ascii="Intrum Sans" w:hAnsi="Intrum Sans"/>
          <w:sz w:val="20"/>
          <w:szCs w:val="20"/>
        </w:rPr>
        <w:t xml:space="preserve"> </w:t>
      </w:r>
      <w:r w:rsidRPr="00FA780F">
        <w:rPr>
          <w:rFonts w:ascii="Intrum Sans" w:hAnsi="Intrum Sans"/>
          <w:i/>
          <w:iCs/>
          <w:sz w:val="20"/>
          <w:szCs w:val="20"/>
        </w:rPr>
        <w:t>u</w:t>
      </w:r>
      <w:r w:rsidR="007519A4" w:rsidRPr="00FA780F">
        <w:rPr>
          <w:rFonts w:ascii="Intrum Sans" w:hAnsi="Intrum Sans"/>
          <w:i/>
          <w:iCs/>
          <w:sz w:val="20"/>
          <w:szCs w:val="20"/>
        </w:rPr>
        <w:t xml:space="preserve">względnia </w:t>
      </w:r>
      <w:r w:rsidR="000C483F" w:rsidRPr="00FA780F">
        <w:rPr>
          <w:rFonts w:ascii="Intrum Sans" w:hAnsi="Intrum Sans"/>
          <w:i/>
          <w:iCs/>
          <w:sz w:val="20"/>
          <w:szCs w:val="20"/>
        </w:rPr>
        <w:t xml:space="preserve">między innymi prawdopodobieństwo opóźnień w płatnościach rachunków, </w:t>
      </w:r>
      <w:r w:rsidR="00A45976" w:rsidRPr="00FA780F">
        <w:rPr>
          <w:rFonts w:ascii="Intrum Sans" w:hAnsi="Intrum Sans"/>
          <w:i/>
          <w:iCs/>
          <w:sz w:val="20"/>
          <w:szCs w:val="20"/>
        </w:rPr>
        <w:t>spłacanie bieżących zobowiązań przy pomocy kolejnych pożyczek lub kredytów</w:t>
      </w:r>
      <w:r w:rsidRPr="00FA780F">
        <w:rPr>
          <w:rFonts w:ascii="Intrum Sans" w:hAnsi="Intrum Sans"/>
          <w:i/>
          <w:iCs/>
          <w:sz w:val="20"/>
          <w:szCs w:val="20"/>
        </w:rPr>
        <w:t xml:space="preserve">. </w:t>
      </w:r>
      <w:r w:rsidR="000E3F7A">
        <w:rPr>
          <w:rFonts w:ascii="Intrum Sans" w:hAnsi="Intrum Sans"/>
          <w:i/>
          <w:iCs/>
          <w:sz w:val="20"/>
          <w:szCs w:val="20"/>
        </w:rPr>
        <w:t xml:space="preserve">Brane są również </w:t>
      </w:r>
      <w:r w:rsidRPr="00FA780F">
        <w:rPr>
          <w:rFonts w:ascii="Intrum Sans" w:hAnsi="Intrum Sans"/>
          <w:i/>
          <w:iCs/>
          <w:sz w:val="20"/>
          <w:szCs w:val="20"/>
        </w:rPr>
        <w:t xml:space="preserve">pod uwagę także </w:t>
      </w:r>
      <w:r w:rsidR="00A45976" w:rsidRPr="00FA780F">
        <w:rPr>
          <w:rFonts w:ascii="Intrum Sans" w:hAnsi="Intrum Sans"/>
          <w:i/>
          <w:iCs/>
          <w:sz w:val="20"/>
          <w:szCs w:val="20"/>
        </w:rPr>
        <w:t>poziom niezabezpieczonego zadłużenia</w:t>
      </w:r>
      <w:r w:rsidR="00D27C2F" w:rsidRPr="00FA780F">
        <w:rPr>
          <w:rFonts w:ascii="Intrum Sans" w:hAnsi="Intrum Sans"/>
          <w:i/>
          <w:iCs/>
          <w:sz w:val="20"/>
          <w:szCs w:val="20"/>
        </w:rPr>
        <w:t xml:space="preserve"> oraz zdolność do spłaty posiadanych długów. Ważną rolę odgrywają także aspekty subiektywne, takie jak poczucie pewności</w:t>
      </w:r>
      <w:r w:rsidR="00D449BF" w:rsidRPr="00FA780F">
        <w:rPr>
          <w:rFonts w:ascii="Intrum Sans" w:hAnsi="Intrum Sans"/>
          <w:i/>
          <w:iCs/>
          <w:sz w:val="20"/>
          <w:szCs w:val="20"/>
        </w:rPr>
        <w:t xml:space="preserve"> </w:t>
      </w:r>
      <w:r w:rsidR="00D27C2F" w:rsidRPr="00FA780F">
        <w:rPr>
          <w:rFonts w:ascii="Intrum Sans" w:hAnsi="Intrum Sans"/>
          <w:i/>
          <w:iCs/>
          <w:sz w:val="20"/>
          <w:szCs w:val="20"/>
        </w:rPr>
        <w:t xml:space="preserve">w przypadku konieczności pokrycia nieprzewidzianych wydatków, zachowania zakupowe i społeczne, a także podejście do oszczędzania. </w:t>
      </w:r>
      <w:r w:rsidR="004651AD" w:rsidRPr="00FA780F">
        <w:rPr>
          <w:rFonts w:ascii="Intrum Sans" w:hAnsi="Intrum Sans"/>
          <w:i/>
          <w:iCs/>
          <w:sz w:val="20"/>
          <w:szCs w:val="20"/>
        </w:rPr>
        <w:t xml:space="preserve">To właśnie połączenie </w:t>
      </w:r>
      <w:r w:rsidR="00F21178" w:rsidRPr="00FA780F">
        <w:rPr>
          <w:rFonts w:ascii="Intrum Sans" w:hAnsi="Intrum Sans"/>
          <w:i/>
          <w:iCs/>
          <w:sz w:val="20"/>
          <w:szCs w:val="20"/>
        </w:rPr>
        <w:t xml:space="preserve">obiektywnych danych z </w:t>
      </w:r>
      <w:r w:rsidR="00D27C2F" w:rsidRPr="00FA780F">
        <w:rPr>
          <w:rFonts w:ascii="Intrum Sans" w:hAnsi="Intrum Sans"/>
          <w:i/>
          <w:iCs/>
          <w:sz w:val="20"/>
          <w:szCs w:val="20"/>
        </w:rPr>
        <w:t>osobistym</w:t>
      </w:r>
      <w:r w:rsidR="00F21178" w:rsidRPr="00FA780F">
        <w:rPr>
          <w:rFonts w:ascii="Intrum Sans" w:hAnsi="Intrum Sans"/>
          <w:i/>
          <w:iCs/>
          <w:sz w:val="20"/>
          <w:szCs w:val="20"/>
        </w:rPr>
        <w:t xml:space="preserve"> poczuciem kontroli nad pieniędzmi </w:t>
      </w:r>
      <w:r w:rsidR="004651AD" w:rsidRPr="00FA780F">
        <w:rPr>
          <w:rFonts w:ascii="Intrum Sans" w:hAnsi="Intrum Sans"/>
          <w:i/>
          <w:iCs/>
          <w:sz w:val="20"/>
          <w:szCs w:val="20"/>
        </w:rPr>
        <w:t>pozwala na</w:t>
      </w:r>
      <w:r w:rsidR="00F21178" w:rsidRPr="00FA780F">
        <w:rPr>
          <w:rFonts w:ascii="Intrum Sans" w:hAnsi="Intrum Sans"/>
          <w:i/>
          <w:iCs/>
          <w:sz w:val="20"/>
          <w:szCs w:val="20"/>
        </w:rPr>
        <w:t xml:space="preserve"> ocenę </w:t>
      </w:r>
      <w:r w:rsidR="00D27C2F" w:rsidRPr="00FA780F">
        <w:rPr>
          <w:rFonts w:ascii="Intrum Sans" w:hAnsi="Intrum Sans"/>
          <w:i/>
          <w:iCs/>
          <w:sz w:val="20"/>
          <w:szCs w:val="20"/>
        </w:rPr>
        <w:t>rzeczywistej</w:t>
      </w:r>
      <w:r w:rsidR="00F21178" w:rsidRPr="00FA780F">
        <w:rPr>
          <w:rFonts w:ascii="Intrum Sans" w:hAnsi="Intrum Sans"/>
          <w:i/>
          <w:iCs/>
          <w:sz w:val="20"/>
          <w:szCs w:val="20"/>
        </w:rPr>
        <w:t xml:space="preserve"> odporności finansowej konsument</w:t>
      </w:r>
      <w:r w:rsidR="00D27C2F" w:rsidRPr="00FA780F">
        <w:rPr>
          <w:rFonts w:ascii="Intrum Sans" w:hAnsi="Intrum Sans"/>
          <w:i/>
          <w:iCs/>
          <w:sz w:val="20"/>
          <w:szCs w:val="20"/>
        </w:rPr>
        <w:t>a</w:t>
      </w:r>
      <w:r w:rsidR="004651AD" w:rsidRPr="00FA780F">
        <w:rPr>
          <w:rFonts w:ascii="Intrum Sans" w:hAnsi="Intrum Sans"/>
          <w:i/>
          <w:iCs/>
          <w:sz w:val="20"/>
          <w:szCs w:val="20"/>
        </w:rPr>
        <w:t>. Chroni także przed wyciągnięciem błędnych wniosków wyłącznie na podstawie danych o zarobkach czy wysokości zobowiązań</w:t>
      </w:r>
      <w:r w:rsidR="00F21178" w:rsidRPr="00FA780F">
        <w:rPr>
          <w:rFonts w:ascii="Intrum Sans" w:hAnsi="Intrum Sans"/>
          <w:sz w:val="20"/>
          <w:szCs w:val="20"/>
        </w:rPr>
        <w:t xml:space="preserve"> – wyjaśnia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Anna Zabrodzka-Averianov</w:t>
      </w:r>
      <w:r w:rsidR="00F21178" w:rsidRPr="00FA780F">
        <w:rPr>
          <w:rFonts w:ascii="Intrum Sans" w:hAnsi="Intrum Sans"/>
          <w:b/>
          <w:bCs/>
          <w:sz w:val="20"/>
          <w:szCs w:val="20"/>
        </w:rPr>
        <w:t>,</w:t>
      </w:r>
      <w:r w:rsidR="004F0D0F" w:rsidRPr="00FA780F">
        <w:rPr>
          <w:rFonts w:ascii="Intrum Sans" w:hAnsi="Intrum Sans"/>
          <w:b/>
          <w:bCs/>
          <w:sz w:val="20"/>
          <w:szCs w:val="20"/>
        </w:rPr>
        <w:t xml:space="preserve"> Senior Economist w</w:t>
      </w:r>
      <w:r w:rsidR="00F21178" w:rsidRPr="00FA780F">
        <w:rPr>
          <w:rFonts w:ascii="Intrum Sans" w:hAnsi="Intrum Sans"/>
          <w:b/>
          <w:bCs/>
          <w:sz w:val="20"/>
          <w:szCs w:val="20"/>
        </w:rPr>
        <w:t xml:space="preserve"> Intrum</w:t>
      </w:r>
      <w:r w:rsidR="00F21178" w:rsidRPr="00FA780F">
        <w:rPr>
          <w:rFonts w:ascii="Intrum Sans" w:hAnsi="Intrum Sans"/>
          <w:sz w:val="20"/>
          <w:szCs w:val="20"/>
        </w:rPr>
        <w:t>.</w:t>
      </w:r>
    </w:p>
    <w:p w14:paraId="1BC4CDE5" w14:textId="4DBB4156" w:rsidR="003E6C46" w:rsidRPr="00FA780F" w:rsidRDefault="004651AD" w:rsidP="00A06DF6">
      <w:pPr>
        <w:pStyle w:val="Nagwek2"/>
        <w:rPr>
          <w:rFonts w:ascii="Intrum Sans" w:hAnsi="Intrum Sans"/>
          <w:sz w:val="24"/>
          <w:szCs w:val="24"/>
        </w:rPr>
      </w:pPr>
      <w:r w:rsidRPr="00FA780F">
        <w:rPr>
          <w:rFonts w:ascii="Intrum Sans" w:hAnsi="Intrum Sans"/>
          <w:sz w:val="24"/>
          <w:szCs w:val="24"/>
        </w:rPr>
        <w:t>Zróżnicowane</w:t>
      </w:r>
      <w:r w:rsidR="00BA60E7" w:rsidRPr="00FA780F">
        <w:rPr>
          <w:rFonts w:ascii="Intrum Sans" w:hAnsi="Intrum Sans"/>
          <w:sz w:val="24"/>
          <w:szCs w:val="24"/>
        </w:rPr>
        <w:t xml:space="preserve"> p</w:t>
      </w:r>
      <w:r w:rsidR="003E6C46" w:rsidRPr="00FA780F">
        <w:rPr>
          <w:rFonts w:ascii="Intrum Sans" w:hAnsi="Intrum Sans"/>
          <w:sz w:val="24"/>
          <w:szCs w:val="24"/>
        </w:rPr>
        <w:t>oziomy kondycji finansowej konsumentów</w:t>
      </w:r>
    </w:p>
    <w:p w14:paraId="0F0BE1A0" w14:textId="0038B04F" w:rsidR="00251C4E" w:rsidRPr="00FA780F" w:rsidRDefault="000E3F7A" w:rsidP="00A06DF6">
      <w:pPr>
        <w:rPr>
          <w:rFonts w:ascii="Intrum Sans" w:hAnsi="Intrum Sans"/>
          <w:sz w:val="20"/>
          <w:szCs w:val="20"/>
        </w:rPr>
      </w:pPr>
      <w:r>
        <w:rPr>
          <w:rFonts w:ascii="Intrum Sans" w:hAnsi="Intrum Sans"/>
          <w:sz w:val="20"/>
          <w:szCs w:val="20"/>
        </w:rPr>
        <w:t xml:space="preserve">Na podstawie </w:t>
      </w:r>
      <w:r w:rsidR="00251C4E" w:rsidRPr="00FA780F">
        <w:rPr>
          <w:rFonts w:ascii="Intrum Sans" w:hAnsi="Intrum Sans"/>
          <w:sz w:val="20"/>
          <w:szCs w:val="20"/>
        </w:rPr>
        <w:t>Money Management Index</w:t>
      </w:r>
      <w:r w:rsidR="00853170">
        <w:rPr>
          <w:rFonts w:ascii="Intrum Sans" w:hAnsi="Intrum Sans"/>
          <w:sz w:val="20"/>
          <w:szCs w:val="20"/>
        </w:rPr>
        <w:t xml:space="preserve"> </w:t>
      </w:r>
      <w:r>
        <w:rPr>
          <w:rFonts w:ascii="Intrum Sans" w:hAnsi="Intrum Sans"/>
          <w:sz w:val="20"/>
          <w:szCs w:val="20"/>
        </w:rPr>
        <w:t>k</w:t>
      </w:r>
      <w:r w:rsidR="00251C4E" w:rsidRPr="00FA780F">
        <w:rPr>
          <w:rFonts w:ascii="Intrum Sans" w:hAnsi="Intrum Sans"/>
          <w:sz w:val="20"/>
          <w:szCs w:val="20"/>
        </w:rPr>
        <w:t xml:space="preserve">ażdemu respondentowi </w:t>
      </w:r>
      <w:r>
        <w:rPr>
          <w:rFonts w:ascii="Intrum Sans" w:hAnsi="Intrum Sans"/>
          <w:sz w:val="20"/>
          <w:szCs w:val="20"/>
        </w:rPr>
        <w:t xml:space="preserve">ankiety do raportu </w:t>
      </w:r>
      <w:r w:rsidRPr="000E3F7A">
        <w:rPr>
          <w:rFonts w:ascii="Intrum Sans" w:hAnsi="Intrum Sans"/>
          <w:sz w:val="20"/>
          <w:szCs w:val="20"/>
        </w:rPr>
        <w:t xml:space="preserve">European Consumer Payment </w:t>
      </w:r>
      <w:r w:rsidR="00251C4E" w:rsidRPr="00FA780F">
        <w:rPr>
          <w:rFonts w:ascii="Intrum Sans" w:hAnsi="Intrum Sans"/>
          <w:sz w:val="20"/>
          <w:szCs w:val="20"/>
        </w:rPr>
        <w:t>przypisano wartość wskaźnika od 0 do 100. Analiza wyników umożliwiła wyodrębnienie i charakterystykę trzech głównych grup konsumenckich pod względem skuteczności zarządzania finansami</w:t>
      </w:r>
      <w:r w:rsidR="009C031A" w:rsidRPr="00FA780F">
        <w:rPr>
          <w:rFonts w:ascii="Intrum Sans" w:hAnsi="Intrum Sans"/>
          <w:sz w:val="20"/>
          <w:szCs w:val="20"/>
        </w:rPr>
        <w:t>:</w:t>
      </w:r>
    </w:p>
    <w:p w14:paraId="7B397D2B" w14:textId="745C551B" w:rsidR="009C031A" w:rsidRPr="00FA780F" w:rsidRDefault="009C031A" w:rsidP="00A06DF6">
      <w:pPr>
        <w:pStyle w:val="Akapitzlist"/>
        <w:numPr>
          <w:ilvl w:val="0"/>
          <w:numId w:val="6"/>
        </w:num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>Fragile</w:t>
      </w:r>
      <w:r w:rsidRPr="00FA780F">
        <w:rPr>
          <w:rFonts w:ascii="Intrum Sans" w:hAnsi="Intrum Sans"/>
          <w:sz w:val="20"/>
          <w:szCs w:val="20"/>
        </w:rPr>
        <w:t xml:space="preserve"> (</w:t>
      </w:r>
      <w:r w:rsidR="00AE2AE2" w:rsidRPr="00FA780F">
        <w:rPr>
          <w:rFonts w:ascii="Intrum Sans" w:hAnsi="Intrum Sans"/>
          <w:sz w:val="20"/>
          <w:szCs w:val="20"/>
        </w:rPr>
        <w:t>a</w:t>
      </w:r>
      <w:r w:rsidRPr="00FA780F">
        <w:rPr>
          <w:rFonts w:ascii="Intrum Sans" w:hAnsi="Intrum Sans"/>
          <w:sz w:val="20"/>
          <w:szCs w:val="20"/>
        </w:rPr>
        <w:t xml:space="preserve">ng. </w:t>
      </w:r>
      <w:r w:rsidRPr="00FA780F">
        <w:rPr>
          <w:rFonts w:ascii="Intrum Sans" w:hAnsi="Intrum Sans"/>
          <w:i/>
          <w:iCs/>
          <w:sz w:val="20"/>
          <w:szCs w:val="20"/>
        </w:rPr>
        <w:t>wrażliwi</w:t>
      </w:r>
      <w:r w:rsidRPr="00FA780F">
        <w:rPr>
          <w:rFonts w:ascii="Intrum Sans" w:hAnsi="Intrum Sans"/>
          <w:sz w:val="20"/>
          <w:szCs w:val="20"/>
        </w:rPr>
        <w:t>) – średnia wartość indeksu: 62,</w:t>
      </w:r>
    </w:p>
    <w:p w14:paraId="2D38DE80" w14:textId="690D0C02" w:rsidR="009C031A" w:rsidRPr="00FA780F" w:rsidRDefault="009C031A" w:rsidP="00A06DF6">
      <w:pPr>
        <w:pStyle w:val="Akapitzlist"/>
        <w:numPr>
          <w:ilvl w:val="0"/>
          <w:numId w:val="6"/>
        </w:num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>Coping</w:t>
      </w:r>
      <w:r w:rsidRPr="00FA780F">
        <w:rPr>
          <w:rFonts w:ascii="Intrum Sans" w:hAnsi="Intrum Sans"/>
          <w:sz w:val="20"/>
          <w:szCs w:val="20"/>
        </w:rPr>
        <w:t xml:space="preserve"> (</w:t>
      </w:r>
      <w:r w:rsidR="00AE2AE2" w:rsidRPr="00FA780F">
        <w:rPr>
          <w:rFonts w:ascii="Intrum Sans" w:hAnsi="Intrum Sans"/>
          <w:sz w:val="20"/>
          <w:szCs w:val="20"/>
        </w:rPr>
        <w:t>a</w:t>
      </w:r>
      <w:r w:rsidRPr="00FA780F">
        <w:rPr>
          <w:rFonts w:ascii="Intrum Sans" w:hAnsi="Intrum Sans"/>
          <w:sz w:val="20"/>
          <w:szCs w:val="20"/>
        </w:rPr>
        <w:t xml:space="preserve">ng. </w:t>
      </w:r>
      <w:r w:rsidRPr="00FA780F">
        <w:rPr>
          <w:rFonts w:ascii="Intrum Sans" w:hAnsi="Intrum Sans"/>
          <w:i/>
          <w:iCs/>
          <w:sz w:val="20"/>
          <w:szCs w:val="20"/>
        </w:rPr>
        <w:t>radzący sobie</w:t>
      </w:r>
      <w:r w:rsidRPr="00FA780F">
        <w:rPr>
          <w:rFonts w:ascii="Intrum Sans" w:hAnsi="Intrum Sans"/>
          <w:sz w:val="20"/>
          <w:szCs w:val="20"/>
        </w:rPr>
        <w:t>) - średnia wartość indeksu: 84,</w:t>
      </w:r>
    </w:p>
    <w:p w14:paraId="1985BACD" w14:textId="7400E256" w:rsidR="009C031A" w:rsidRPr="00FA780F" w:rsidRDefault="009C031A" w:rsidP="00A06DF6">
      <w:pPr>
        <w:pStyle w:val="Akapitzlist"/>
        <w:numPr>
          <w:ilvl w:val="0"/>
          <w:numId w:val="6"/>
        </w:num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>Resilient</w:t>
      </w:r>
      <w:r w:rsidRPr="00FA780F">
        <w:rPr>
          <w:rFonts w:ascii="Intrum Sans" w:hAnsi="Intrum Sans"/>
          <w:sz w:val="20"/>
          <w:szCs w:val="20"/>
        </w:rPr>
        <w:t xml:space="preserve"> (</w:t>
      </w:r>
      <w:r w:rsidR="00AE2AE2" w:rsidRPr="00FA780F">
        <w:rPr>
          <w:rFonts w:ascii="Intrum Sans" w:hAnsi="Intrum Sans"/>
          <w:sz w:val="20"/>
          <w:szCs w:val="20"/>
        </w:rPr>
        <w:t>a</w:t>
      </w:r>
      <w:r w:rsidRPr="00FA780F">
        <w:rPr>
          <w:rFonts w:ascii="Intrum Sans" w:hAnsi="Intrum Sans"/>
          <w:sz w:val="20"/>
          <w:szCs w:val="20"/>
        </w:rPr>
        <w:t xml:space="preserve">ng. </w:t>
      </w:r>
      <w:r w:rsidRPr="00FA780F">
        <w:rPr>
          <w:rFonts w:ascii="Intrum Sans" w:hAnsi="Intrum Sans"/>
          <w:i/>
          <w:iCs/>
          <w:sz w:val="20"/>
          <w:szCs w:val="20"/>
        </w:rPr>
        <w:t>odporni</w:t>
      </w:r>
      <w:r w:rsidRPr="00FA780F">
        <w:rPr>
          <w:rFonts w:ascii="Intrum Sans" w:hAnsi="Intrum Sans"/>
          <w:sz w:val="20"/>
          <w:szCs w:val="20"/>
        </w:rPr>
        <w:t>) - średnia wartość indeksu: 94.</w:t>
      </w:r>
    </w:p>
    <w:p w14:paraId="1EDB52E3" w14:textId="1BD03F7B" w:rsidR="009C031A" w:rsidRPr="00FA780F" w:rsidRDefault="004E65DF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Grupa </w:t>
      </w:r>
      <w:r w:rsidR="004F0D0F" w:rsidRPr="00FA780F">
        <w:rPr>
          <w:rFonts w:ascii="Intrum Sans" w:hAnsi="Intrum Sans"/>
          <w:sz w:val="20"/>
          <w:szCs w:val="20"/>
        </w:rPr>
        <w:t>F</w:t>
      </w:r>
      <w:r w:rsidRPr="00FA780F">
        <w:rPr>
          <w:rFonts w:ascii="Intrum Sans" w:hAnsi="Intrum Sans"/>
          <w:sz w:val="20"/>
          <w:szCs w:val="20"/>
        </w:rPr>
        <w:t>ragile</w:t>
      </w:r>
      <w:r w:rsidR="00BC3025" w:rsidRPr="00FA780F">
        <w:rPr>
          <w:rFonts w:ascii="Intrum Sans" w:hAnsi="Intrum Sans"/>
          <w:sz w:val="20"/>
          <w:szCs w:val="20"/>
        </w:rPr>
        <w:t xml:space="preserve"> (</w:t>
      </w:r>
      <w:r w:rsidR="004F0D0F" w:rsidRPr="00FA780F">
        <w:rPr>
          <w:rFonts w:ascii="Intrum Sans" w:hAnsi="Intrum Sans"/>
          <w:sz w:val="20"/>
          <w:szCs w:val="20"/>
        </w:rPr>
        <w:t>wrażliwa</w:t>
      </w:r>
      <w:r w:rsidR="00BC3025" w:rsidRPr="00FA780F">
        <w:rPr>
          <w:rFonts w:ascii="Intrum Sans" w:hAnsi="Intrum Sans"/>
          <w:sz w:val="20"/>
          <w:szCs w:val="20"/>
        </w:rPr>
        <w:t>)</w:t>
      </w:r>
      <w:r w:rsidRPr="00FA780F">
        <w:rPr>
          <w:rFonts w:ascii="Intrum Sans" w:hAnsi="Intrum Sans"/>
          <w:sz w:val="20"/>
          <w:szCs w:val="20"/>
        </w:rPr>
        <w:t xml:space="preserve"> określa </w:t>
      </w:r>
      <w:r w:rsidR="00AE2AE2" w:rsidRPr="00FA780F">
        <w:rPr>
          <w:rFonts w:ascii="Intrum Sans" w:hAnsi="Intrum Sans"/>
          <w:sz w:val="20"/>
          <w:szCs w:val="20"/>
        </w:rPr>
        <w:t>osoby</w:t>
      </w:r>
      <w:r w:rsidRPr="00FA780F">
        <w:rPr>
          <w:rFonts w:ascii="Intrum Sans" w:hAnsi="Intrum Sans"/>
          <w:sz w:val="20"/>
          <w:szCs w:val="20"/>
        </w:rPr>
        <w:t xml:space="preserve"> o wysokim stopniu podatności finansowej</w:t>
      </w:r>
      <w:r w:rsidR="00AE2AE2" w:rsidRPr="00FA780F">
        <w:rPr>
          <w:rFonts w:ascii="Intrum Sans" w:hAnsi="Intrum Sans"/>
          <w:sz w:val="20"/>
          <w:szCs w:val="20"/>
        </w:rPr>
        <w:t>,</w:t>
      </w:r>
      <w:r w:rsidRPr="00FA780F">
        <w:rPr>
          <w:rFonts w:ascii="Intrum Sans" w:hAnsi="Intrum Sans"/>
          <w:sz w:val="20"/>
          <w:szCs w:val="20"/>
        </w:rPr>
        <w:t xml:space="preserve"> dla których bieżące regulowanie zobowiązań finansowych stanowi spore wyzwanie.</w:t>
      </w:r>
      <w:r w:rsidR="00AE2AE2" w:rsidRPr="00FA780F">
        <w:rPr>
          <w:rFonts w:ascii="Intrum Sans" w:hAnsi="Intrum Sans"/>
          <w:sz w:val="20"/>
          <w:szCs w:val="20"/>
        </w:rPr>
        <w:t xml:space="preserve"> W gronie </w:t>
      </w:r>
      <w:r w:rsidR="004F0D0F" w:rsidRPr="00FA780F">
        <w:rPr>
          <w:rFonts w:ascii="Intrum Sans" w:hAnsi="Intrum Sans"/>
          <w:sz w:val="20"/>
          <w:szCs w:val="20"/>
        </w:rPr>
        <w:t>C</w:t>
      </w:r>
      <w:r w:rsidR="00AE2AE2" w:rsidRPr="00FA780F">
        <w:rPr>
          <w:rFonts w:ascii="Intrum Sans" w:hAnsi="Intrum Sans"/>
          <w:sz w:val="20"/>
          <w:szCs w:val="20"/>
        </w:rPr>
        <w:t>oping</w:t>
      </w:r>
      <w:r w:rsidR="00BC3025" w:rsidRPr="00FA780F">
        <w:rPr>
          <w:rFonts w:ascii="Intrum Sans" w:hAnsi="Intrum Sans"/>
          <w:sz w:val="20"/>
          <w:szCs w:val="20"/>
        </w:rPr>
        <w:t xml:space="preserve"> (</w:t>
      </w:r>
      <w:r w:rsidR="004F0D0F" w:rsidRPr="00FA780F">
        <w:rPr>
          <w:rFonts w:ascii="Intrum Sans" w:hAnsi="Intrum Sans"/>
          <w:sz w:val="20"/>
          <w:szCs w:val="20"/>
        </w:rPr>
        <w:t>radzących sobie</w:t>
      </w:r>
      <w:r w:rsidR="00BC3025" w:rsidRPr="00FA780F">
        <w:rPr>
          <w:rFonts w:ascii="Intrum Sans" w:hAnsi="Intrum Sans"/>
          <w:sz w:val="20"/>
          <w:szCs w:val="20"/>
        </w:rPr>
        <w:t>)</w:t>
      </w:r>
      <w:r w:rsidR="00AE2AE2" w:rsidRPr="00FA780F">
        <w:rPr>
          <w:rFonts w:ascii="Intrum Sans" w:hAnsi="Intrum Sans"/>
          <w:sz w:val="20"/>
          <w:szCs w:val="20"/>
        </w:rPr>
        <w:t xml:space="preserve"> znajdują się konsumenci, którzy z codziennymi wydatkami radzą sobie całkiem nieźle, jednak wykazują ograniczoną odporność na nieoczekiwane koszty. </w:t>
      </w:r>
      <w:r w:rsidR="00D3358F" w:rsidRPr="00FA780F">
        <w:rPr>
          <w:rFonts w:ascii="Intrum Sans" w:hAnsi="Intrum Sans"/>
          <w:sz w:val="20"/>
          <w:szCs w:val="20"/>
        </w:rPr>
        <w:t xml:space="preserve">Ostatnią grupę – </w:t>
      </w:r>
      <w:r w:rsidR="004F0D0F" w:rsidRPr="00FA780F">
        <w:rPr>
          <w:rFonts w:ascii="Intrum Sans" w:hAnsi="Intrum Sans"/>
          <w:sz w:val="20"/>
          <w:szCs w:val="20"/>
        </w:rPr>
        <w:t>R</w:t>
      </w:r>
      <w:r w:rsidR="00D3358F" w:rsidRPr="00FA780F">
        <w:rPr>
          <w:rFonts w:ascii="Intrum Sans" w:hAnsi="Intrum Sans"/>
          <w:sz w:val="20"/>
          <w:szCs w:val="20"/>
        </w:rPr>
        <w:t>esilient</w:t>
      </w:r>
      <w:r w:rsidR="00BC3025" w:rsidRPr="00FA780F">
        <w:rPr>
          <w:rFonts w:ascii="Intrum Sans" w:hAnsi="Intrum Sans"/>
          <w:sz w:val="20"/>
          <w:szCs w:val="20"/>
        </w:rPr>
        <w:t xml:space="preserve"> (</w:t>
      </w:r>
      <w:r w:rsidR="004F0D0F" w:rsidRPr="00FA780F">
        <w:rPr>
          <w:rFonts w:ascii="Intrum Sans" w:hAnsi="Intrum Sans"/>
          <w:sz w:val="20"/>
          <w:szCs w:val="20"/>
        </w:rPr>
        <w:t>odpornych</w:t>
      </w:r>
      <w:r w:rsidR="00BC3025" w:rsidRPr="00FA780F">
        <w:rPr>
          <w:rFonts w:ascii="Intrum Sans" w:hAnsi="Intrum Sans"/>
          <w:sz w:val="20"/>
          <w:szCs w:val="20"/>
        </w:rPr>
        <w:t>)</w:t>
      </w:r>
      <w:r w:rsidR="00D3358F" w:rsidRPr="00FA780F">
        <w:rPr>
          <w:rFonts w:ascii="Intrum Sans" w:hAnsi="Intrum Sans"/>
          <w:sz w:val="20"/>
          <w:szCs w:val="20"/>
        </w:rPr>
        <w:t xml:space="preserve"> – tworzą </w:t>
      </w:r>
      <w:r w:rsidR="00AE2AE2" w:rsidRPr="00FA780F">
        <w:rPr>
          <w:rFonts w:ascii="Intrum Sans" w:hAnsi="Intrum Sans"/>
          <w:sz w:val="20"/>
          <w:szCs w:val="20"/>
        </w:rPr>
        <w:t>respondenci</w:t>
      </w:r>
      <w:r w:rsidR="00D3358F" w:rsidRPr="00FA780F">
        <w:rPr>
          <w:rFonts w:ascii="Intrum Sans" w:hAnsi="Intrum Sans"/>
          <w:sz w:val="20"/>
          <w:szCs w:val="20"/>
        </w:rPr>
        <w:t xml:space="preserve"> stabilni finansowo</w:t>
      </w:r>
      <w:r w:rsidR="004F0D0F" w:rsidRPr="00FA780F">
        <w:rPr>
          <w:rFonts w:ascii="Intrum Sans" w:hAnsi="Intrum Sans"/>
          <w:sz w:val="20"/>
          <w:szCs w:val="20"/>
        </w:rPr>
        <w:t xml:space="preserve"> –</w:t>
      </w:r>
      <w:r w:rsidR="00AE2AE2" w:rsidRPr="00FA780F">
        <w:rPr>
          <w:rFonts w:ascii="Intrum Sans" w:hAnsi="Intrum Sans"/>
          <w:sz w:val="20"/>
          <w:szCs w:val="20"/>
        </w:rPr>
        <w:t xml:space="preserve"> </w:t>
      </w:r>
      <w:r w:rsidR="004F0D0F" w:rsidRPr="00FA780F">
        <w:rPr>
          <w:rFonts w:ascii="Intrum Sans" w:hAnsi="Intrum Sans"/>
          <w:sz w:val="20"/>
          <w:szCs w:val="20"/>
        </w:rPr>
        <w:t>i</w:t>
      </w:r>
      <w:r w:rsidR="00AE2AE2" w:rsidRPr="00FA780F">
        <w:rPr>
          <w:rFonts w:ascii="Intrum Sans" w:hAnsi="Intrum Sans"/>
          <w:sz w:val="20"/>
          <w:szCs w:val="20"/>
        </w:rPr>
        <w:t xml:space="preserve">ch aktualna </w:t>
      </w:r>
      <w:r w:rsidR="00D3358F" w:rsidRPr="00FA780F">
        <w:rPr>
          <w:rFonts w:ascii="Intrum Sans" w:hAnsi="Intrum Sans"/>
          <w:sz w:val="20"/>
          <w:szCs w:val="20"/>
        </w:rPr>
        <w:t>sytuacja jest zbudowana na solidnych podstawach i wysokim poziomie pewności.</w:t>
      </w:r>
    </w:p>
    <w:p w14:paraId="63F5015A" w14:textId="05BA1AB0" w:rsidR="009C031A" w:rsidRPr="00FA780F" w:rsidRDefault="009C031A" w:rsidP="00A06DF6">
      <w:pPr>
        <w:rPr>
          <w:rFonts w:ascii="Intrum Sans" w:hAnsi="Intrum Sans"/>
          <w:i/>
          <w:iCs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>–</w:t>
      </w:r>
      <w:r w:rsidR="00E56632">
        <w:rPr>
          <w:rFonts w:ascii="Intrum Sans" w:hAnsi="Intrum Sans"/>
          <w:i/>
          <w:iCs/>
          <w:sz w:val="20"/>
          <w:szCs w:val="20"/>
        </w:rPr>
        <w:t>Nasza a</w:t>
      </w:r>
      <w:r w:rsidR="00E56632" w:rsidRPr="00E56632">
        <w:rPr>
          <w:rFonts w:ascii="Intrum Sans" w:hAnsi="Intrum Sans"/>
          <w:i/>
          <w:iCs/>
          <w:sz w:val="20"/>
          <w:szCs w:val="20"/>
        </w:rPr>
        <w:t xml:space="preserve">naliza pokazuje, że przynależność do poszczególnych grup nie jest prostym odzwierciedleniem poziomu dochodów. Wśród konsumentów zaklasyfikowanych jako Resilient, czyli najbardziej odpornych finansowo, 17 proc. stanowią osoby zarabiające poniżej średniej krajowej. Z drugiej strony, nawet w grupie </w:t>
      </w:r>
      <w:r w:rsidR="00E56632" w:rsidRPr="00E56632">
        <w:rPr>
          <w:rFonts w:ascii="Intrum Sans" w:hAnsi="Intrum Sans"/>
          <w:i/>
          <w:iCs/>
          <w:sz w:val="20"/>
          <w:szCs w:val="20"/>
        </w:rPr>
        <w:lastRenderedPageBreak/>
        <w:t>Fragile – najbardziej narażonej na niestabilność finansową – znalazły się osoby o relatywnie wysokich dochodach: 5 proc. z nich zarabia powyżej średniej.</w:t>
      </w:r>
      <w:r w:rsidR="00E56632">
        <w:rPr>
          <w:rFonts w:ascii="Intrum Sans" w:hAnsi="Intrum Sans"/>
          <w:i/>
          <w:iCs/>
          <w:sz w:val="20"/>
          <w:szCs w:val="20"/>
        </w:rPr>
        <w:t xml:space="preserve"> </w:t>
      </w:r>
      <w:r w:rsidR="004E65DF" w:rsidRPr="00FA780F">
        <w:rPr>
          <w:rFonts w:ascii="Intrum Sans" w:hAnsi="Intrum Sans"/>
          <w:i/>
          <w:iCs/>
          <w:sz w:val="20"/>
          <w:szCs w:val="20"/>
        </w:rPr>
        <w:t>Zróżnicowanie Money Management Index pokazuje zatem, że kondycja finansowa nie jest zależna wyłącznie od dochodu, statusu zawodowego czy posiadanych zaległości finansowych – to wypadkowa tych i wielu innych czynników, takich jak zarządzanie pieniędzmi czy odporność na presję ekonomiczną</w:t>
      </w:r>
      <w:r w:rsidRPr="00FA780F">
        <w:rPr>
          <w:rFonts w:ascii="Intrum Sans" w:hAnsi="Intrum Sans"/>
          <w:sz w:val="20"/>
          <w:szCs w:val="20"/>
        </w:rPr>
        <w:t xml:space="preserve"> – wyjaśnia </w:t>
      </w:r>
      <w:r w:rsidR="00E17165" w:rsidRPr="00FA780F">
        <w:rPr>
          <w:rFonts w:ascii="Intrum Sans" w:hAnsi="Intrum Sans"/>
          <w:b/>
          <w:bCs/>
          <w:sz w:val="20"/>
          <w:szCs w:val="20"/>
        </w:rPr>
        <w:t>Anna</w:t>
      </w:r>
      <w:r w:rsidR="00E17165" w:rsidRPr="00FA780F">
        <w:rPr>
          <w:rFonts w:ascii="Intrum Sans" w:hAnsi="Intrum Sans"/>
          <w:sz w:val="20"/>
          <w:szCs w:val="20"/>
        </w:rPr>
        <w:t xml:space="preserve">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Zabrodzka-Averianov</w:t>
      </w:r>
      <w:r w:rsidRPr="00FA780F">
        <w:rPr>
          <w:rFonts w:ascii="Intrum Sans" w:hAnsi="Intrum Sans"/>
          <w:b/>
          <w:bCs/>
          <w:sz w:val="20"/>
          <w:szCs w:val="20"/>
        </w:rPr>
        <w:t>, Intrum</w:t>
      </w:r>
      <w:r w:rsidRPr="00FA780F">
        <w:rPr>
          <w:rFonts w:ascii="Intrum Sans" w:hAnsi="Intrum Sans"/>
          <w:sz w:val="20"/>
          <w:szCs w:val="20"/>
        </w:rPr>
        <w:t>.</w:t>
      </w:r>
    </w:p>
    <w:p w14:paraId="49B2D6CA" w14:textId="0DA24FF0" w:rsidR="003E6C46" w:rsidRPr="00FA780F" w:rsidRDefault="003E6C46" w:rsidP="00A06DF6">
      <w:pPr>
        <w:pStyle w:val="Nagwek2"/>
        <w:rPr>
          <w:rFonts w:ascii="Intrum Sans" w:hAnsi="Intrum Sans"/>
          <w:sz w:val="24"/>
          <w:szCs w:val="24"/>
          <w:lang w:val="en-US"/>
        </w:rPr>
      </w:pPr>
      <w:r w:rsidRPr="00FA780F">
        <w:rPr>
          <w:rFonts w:ascii="Intrum Sans" w:hAnsi="Intrum Sans"/>
          <w:sz w:val="24"/>
          <w:szCs w:val="24"/>
          <w:lang w:val="en-US"/>
        </w:rPr>
        <w:t xml:space="preserve">Financial Personas </w:t>
      </w:r>
      <w:r w:rsidR="005E58B9" w:rsidRPr="00FA780F">
        <w:rPr>
          <w:rFonts w:ascii="Intrum Sans" w:hAnsi="Intrum Sans"/>
          <w:sz w:val="24"/>
          <w:szCs w:val="24"/>
          <w:lang w:val="en-US"/>
        </w:rPr>
        <w:t>jako uzupełnienie</w:t>
      </w:r>
      <w:r w:rsidR="00FF0309" w:rsidRPr="00FA780F">
        <w:rPr>
          <w:rFonts w:ascii="Intrum Sans" w:hAnsi="Intrum Sans"/>
          <w:sz w:val="24"/>
          <w:szCs w:val="24"/>
          <w:lang w:val="en-US"/>
        </w:rPr>
        <w:t xml:space="preserve"> Money Management Index</w:t>
      </w:r>
    </w:p>
    <w:p w14:paraId="435A3909" w14:textId="77777777" w:rsidR="00C204B6" w:rsidRPr="00FA780F" w:rsidRDefault="00FF0309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Money Management Index dostarcza informacji o kondycji finansowej konsumentów. Aby móc ją poprawić, konieczne jest poznanie przyczyn określonej wartości wskaźnika. W wyjaśnieniu wzorców zachowań, które doprowadziły do przypisania respondentów do jednej z trzech powyższych grup, pomagają Financial Personas (ang. </w:t>
      </w:r>
      <w:r w:rsidRPr="00FA780F">
        <w:rPr>
          <w:rFonts w:ascii="Intrum Sans" w:hAnsi="Intrum Sans"/>
          <w:i/>
          <w:iCs/>
          <w:sz w:val="20"/>
          <w:szCs w:val="20"/>
        </w:rPr>
        <w:t>persony finansowe</w:t>
      </w:r>
      <w:r w:rsidRPr="00FA780F">
        <w:rPr>
          <w:rFonts w:ascii="Intrum Sans" w:hAnsi="Intrum Sans"/>
          <w:sz w:val="20"/>
          <w:szCs w:val="20"/>
        </w:rPr>
        <w:t xml:space="preserve">). Badania pozwoliły na </w:t>
      </w:r>
      <w:r w:rsidR="00C204B6" w:rsidRPr="00FA780F">
        <w:rPr>
          <w:rFonts w:ascii="Intrum Sans" w:hAnsi="Intrum Sans"/>
          <w:sz w:val="20"/>
          <w:szCs w:val="20"/>
        </w:rPr>
        <w:t>stworzenie czterech profili:</w:t>
      </w:r>
    </w:p>
    <w:p w14:paraId="17FD53A3" w14:textId="2A8216F2" w:rsidR="00FF0309" w:rsidRPr="00FA780F" w:rsidRDefault="00BC3025" w:rsidP="00A06DF6">
      <w:pPr>
        <w:pStyle w:val="Akapitzlist"/>
        <w:numPr>
          <w:ilvl w:val="0"/>
          <w:numId w:val="7"/>
        </w:numPr>
        <w:rPr>
          <w:rFonts w:ascii="Intrum Sans" w:hAnsi="Intrum Sans"/>
          <w:sz w:val="20"/>
          <w:szCs w:val="20"/>
          <w:lang w:val="en-US"/>
        </w:rPr>
      </w:pPr>
      <w:r w:rsidRPr="00FA780F">
        <w:rPr>
          <w:rFonts w:ascii="Intrum Sans" w:hAnsi="Intrum Sans"/>
          <w:b/>
          <w:bCs/>
          <w:sz w:val="20"/>
          <w:szCs w:val="20"/>
          <w:lang w:val="en-US"/>
        </w:rPr>
        <w:t>S</w:t>
      </w:r>
      <w:r w:rsidR="00C204B6" w:rsidRPr="00FA780F">
        <w:rPr>
          <w:rFonts w:ascii="Intrum Sans" w:hAnsi="Intrum Sans"/>
          <w:b/>
          <w:bCs/>
          <w:sz w:val="20"/>
          <w:szCs w:val="20"/>
          <w:lang w:val="en-US"/>
        </w:rPr>
        <w:t xml:space="preserve">elf-disciplined </w:t>
      </w:r>
      <w:r w:rsidRPr="00FA780F">
        <w:rPr>
          <w:rFonts w:ascii="Intrum Sans" w:hAnsi="Intrum Sans"/>
          <w:b/>
          <w:bCs/>
          <w:sz w:val="20"/>
          <w:szCs w:val="20"/>
          <w:lang w:val="en-US"/>
        </w:rPr>
        <w:t>O</w:t>
      </w:r>
      <w:r w:rsidR="00C204B6" w:rsidRPr="00FA780F">
        <w:rPr>
          <w:rFonts w:ascii="Intrum Sans" w:hAnsi="Intrum Sans"/>
          <w:b/>
          <w:bCs/>
          <w:sz w:val="20"/>
          <w:szCs w:val="20"/>
          <w:lang w:val="en-US"/>
        </w:rPr>
        <w:t>ptimisers</w:t>
      </w:r>
      <w:r w:rsidR="00C204B6" w:rsidRPr="00FA780F">
        <w:rPr>
          <w:rFonts w:ascii="Intrum Sans" w:hAnsi="Intrum Sans"/>
          <w:sz w:val="20"/>
          <w:szCs w:val="20"/>
          <w:lang w:val="en-US"/>
        </w:rPr>
        <w:t xml:space="preserve"> (ang. </w:t>
      </w:r>
      <w:r w:rsidR="00C204B6" w:rsidRPr="00FA780F">
        <w:rPr>
          <w:rFonts w:ascii="Intrum Sans" w:hAnsi="Intrum Sans"/>
          <w:i/>
          <w:iCs/>
          <w:sz w:val="20"/>
          <w:szCs w:val="20"/>
          <w:lang w:val="en-US"/>
        </w:rPr>
        <w:t>zdyscyplinowani optymalizujący</w:t>
      </w:r>
      <w:r w:rsidR="00C204B6" w:rsidRPr="00FA780F">
        <w:rPr>
          <w:rFonts w:ascii="Intrum Sans" w:hAnsi="Intrum Sans"/>
          <w:sz w:val="20"/>
          <w:szCs w:val="20"/>
          <w:lang w:val="en-US"/>
        </w:rPr>
        <w:t>),</w:t>
      </w:r>
    </w:p>
    <w:p w14:paraId="07454513" w14:textId="62E4403A" w:rsidR="00C204B6" w:rsidRPr="00FA780F" w:rsidRDefault="00BC3025" w:rsidP="00A06DF6">
      <w:pPr>
        <w:pStyle w:val="Akapitzlist"/>
        <w:numPr>
          <w:ilvl w:val="0"/>
          <w:numId w:val="7"/>
        </w:num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>C</w:t>
      </w:r>
      <w:r w:rsidR="00C204B6" w:rsidRPr="00FA780F">
        <w:rPr>
          <w:rFonts w:ascii="Intrum Sans" w:hAnsi="Intrum Sans"/>
          <w:b/>
          <w:bCs/>
          <w:sz w:val="20"/>
          <w:szCs w:val="20"/>
        </w:rPr>
        <w:t xml:space="preserve">autious </w:t>
      </w:r>
      <w:r w:rsidRPr="00FA780F">
        <w:rPr>
          <w:rFonts w:ascii="Intrum Sans" w:hAnsi="Intrum Sans"/>
          <w:b/>
          <w:bCs/>
          <w:sz w:val="20"/>
          <w:szCs w:val="20"/>
        </w:rPr>
        <w:t>S</w:t>
      </w:r>
      <w:r w:rsidR="00C204B6" w:rsidRPr="00FA780F">
        <w:rPr>
          <w:rFonts w:ascii="Intrum Sans" w:hAnsi="Intrum Sans"/>
          <w:b/>
          <w:bCs/>
          <w:sz w:val="20"/>
          <w:szCs w:val="20"/>
        </w:rPr>
        <w:t>avers</w:t>
      </w:r>
      <w:r w:rsidR="00C204B6" w:rsidRPr="00FA780F">
        <w:rPr>
          <w:rFonts w:ascii="Intrum Sans" w:hAnsi="Intrum Sans"/>
          <w:sz w:val="20"/>
          <w:szCs w:val="20"/>
        </w:rPr>
        <w:t xml:space="preserve"> (ang. </w:t>
      </w:r>
      <w:r w:rsidR="00C204B6" w:rsidRPr="00FA780F">
        <w:rPr>
          <w:rFonts w:ascii="Intrum Sans" w:hAnsi="Intrum Sans"/>
          <w:i/>
          <w:iCs/>
          <w:sz w:val="20"/>
          <w:szCs w:val="20"/>
        </w:rPr>
        <w:t>ostrożni oszczędzający</w:t>
      </w:r>
      <w:r w:rsidR="00C204B6" w:rsidRPr="00FA780F">
        <w:rPr>
          <w:rFonts w:ascii="Intrum Sans" w:hAnsi="Intrum Sans"/>
          <w:sz w:val="20"/>
          <w:szCs w:val="20"/>
        </w:rPr>
        <w:t>),</w:t>
      </w:r>
    </w:p>
    <w:p w14:paraId="2D3A6873" w14:textId="225C67C0" w:rsidR="00C204B6" w:rsidRPr="00FA780F" w:rsidRDefault="00BC3025" w:rsidP="00A06DF6">
      <w:pPr>
        <w:pStyle w:val="Akapitzlist"/>
        <w:numPr>
          <w:ilvl w:val="0"/>
          <w:numId w:val="7"/>
        </w:num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>F</w:t>
      </w:r>
      <w:r w:rsidR="00C204B6" w:rsidRPr="00FA780F">
        <w:rPr>
          <w:rFonts w:ascii="Intrum Sans" w:hAnsi="Intrum Sans"/>
          <w:b/>
          <w:bCs/>
          <w:sz w:val="20"/>
          <w:szCs w:val="20"/>
        </w:rPr>
        <w:t xml:space="preserve">inancially </w:t>
      </w:r>
      <w:r w:rsidRPr="00FA780F">
        <w:rPr>
          <w:rFonts w:ascii="Intrum Sans" w:hAnsi="Intrum Sans"/>
          <w:b/>
          <w:bCs/>
          <w:sz w:val="20"/>
          <w:szCs w:val="20"/>
        </w:rPr>
        <w:t>S</w:t>
      </w:r>
      <w:r w:rsidR="00C204B6" w:rsidRPr="00FA780F">
        <w:rPr>
          <w:rFonts w:ascii="Intrum Sans" w:hAnsi="Intrum Sans"/>
          <w:b/>
          <w:bCs/>
          <w:sz w:val="20"/>
          <w:szCs w:val="20"/>
        </w:rPr>
        <w:t xml:space="preserve">trained and </w:t>
      </w:r>
      <w:r w:rsidRPr="00FA780F">
        <w:rPr>
          <w:rFonts w:ascii="Intrum Sans" w:hAnsi="Intrum Sans"/>
          <w:b/>
          <w:bCs/>
          <w:sz w:val="20"/>
          <w:szCs w:val="20"/>
        </w:rPr>
        <w:t>J</w:t>
      </w:r>
      <w:r w:rsidR="00C204B6" w:rsidRPr="00FA780F">
        <w:rPr>
          <w:rFonts w:ascii="Intrum Sans" w:hAnsi="Intrum Sans"/>
          <w:b/>
          <w:bCs/>
          <w:sz w:val="20"/>
          <w:szCs w:val="20"/>
        </w:rPr>
        <w:t>ob-anxious</w:t>
      </w:r>
      <w:r w:rsidR="00C204B6" w:rsidRPr="00FA780F">
        <w:rPr>
          <w:rFonts w:ascii="Intrum Sans" w:hAnsi="Intrum Sans"/>
          <w:sz w:val="20"/>
          <w:szCs w:val="20"/>
        </w:rPr>
        <w:t xml:space="preserve"> (ang. </w:t>
      </w:r>
      <w:r w:rsidR="00C204B6" w:rsidRPr="00FA780F">
        <w:rPr>
          <w:rFonts w:ascii="Intrum Sans" w:hAnsi="Intrum Sans"/>
          <w:i/>
          <w:iCs/>
          <w:sz w:val="20"/>
          <w:szCs w:val="20"/>
        </w:rPr>
        <w:t>pod presją finansową i zaniepokojeni o pracę</w:t>
      </w:r>
      <w:r w:rsidR="00C204B6" w:rsidRPr="00FA780F">
        <w:rPr>
          <w:rFonts w:ascii="Intrum Sans" w:hAnsi="Intrum Sans"/>
          <w:sz w:val="20"/>
          <w:szCs w:val="20"/>
        </w:rPr>
        <w:t>),</w:t>
      </w:r>
    </w:p>
    <w:p w14:paraId="4082167F" w14:textId="39AD4D6A" w:rsidR="0008284D" w:rsidRPr="00FA780F" w:rsidRDefault="00BC3025" w:rsidP="00A06DF6">
      <w:pPr>
        <w:pStyle w:val="Akapitzlist"/>
        <w:numPr>
          <w:ilvl w:val="0"/>
          <w:numId w:val="7"/>
        </w:num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>D</w:t>
      </w:r>
      <w:r w:rsidR="00C204B6" w:rsidRPr="00FA780F">
        <w:rPr>
          <w:rFonts w:ascii="Intrum Sans" w:hAnsi="Intrum Sans"/>
          <w:b/>
          <w:bCs/>
          <w:sz w:val="20"/>
          <w:szCs w:val="20"/>
        </w:rPr>
        <w:t xml:space="preserve">ebt-burdened and </w:t>
      </w:r>
      <w:r w:rsidRPr="00FA780F">
        <w:rPr>
          <w:rFonts w:ascii="Intrum Sans" w:hAnsi="Intrum Sans"/>
          <w:b/>
          <w:bCs/>
          <w:sz w:val="20"/>
          <w:szCs w:val="20"/>
        </w:rPr>
        <w:t>F</w:t>
      </w:r>
      <w:r w:rsidR="00C204B6" w:rsidRPr="00FA780F">
        <w:rPr>
          <w:rFonts w:ascii="Intrum Sans" w:hAnsi="Intrum Sans"/>
          <w:b/>
          <w:bCs/>
          <w:sz w:val="20"/>
          <w:szCs w:val="20"/>
        </w:rPr>
        <w:t xml:space="preserve">inancially </w:t>
      </w:r>
      <w:r w:rsidRPr="00FA780F">
        <w:rPr>
          <w:rFonts w:ascii="Intrum Sans" w:hAnsi="Intrum Sans"/>
          <w:b/>
          <w:bCs/>
          <w:sz w:val="20"/>
          <w:szCs w:val="20"/>
        </w:rPr>
        <w:t>F</w:t>
      </w:r>
      <w:r w:rsidR="00C204B6" w:rsidRPr="00FA780F">
        <w:rPr>
          <w:rFonts w:ascii="Intrum Sans" w:hAnsi="Intrum Sans"/>
          <w:b/>
          <w:bCs/>
          <w:sz w:val="20"/>
          <w:szCs w:val="20"/>
        </w:rPr>
        <w:t>ragile</w:t>
      </w:r>
      <w:r w:rsidR="00C204B6" w:rsidRPr="00FA780F">
        <w:rPr>
          <w:rFonts w:ascii="Intrum Sans" w:hAnsi="Intrum Sans"/>
          <w:sz w:val="20"/>
          <w:szCs w:val="20"/>
        </w:rPr>
        <w:t xml:space="preserve"> (ang. </w:t>
      </w:r>
      <w:r w:rsidR="00C204B6" w:rsidRPr="00FA780F">
        <w:rPr>
          <w:rFonts w:ascii="Intrum Sans" w:hAnsi="Intrum Sans"/>
          <w:i/>
          <w:iCs/>
          <w:sz w:val="20"/>
          <w:szCs w:val="20"/>
        </w:rPr>
        <w:t>obciążeni długami i finansowo wrażliwi</w:t>
      </w:r>
      <w:r w:rsidR="00C204B6" w:rsidRPr="00FA780F">
        <w:rPr>
          <w:rFonts w:ascii="Intrum Sans" w:hAnsi="Intrum Sans"/>
          <w:sz w:val="20"/>
          <w:szCs w:val="20"/>
        </w:rPr>
        <w:t>).</w:t>
      </w:r>
    </w:p>
    <w:p w14:paraId="093DAA38" w14:textId="24558B5B" w:rsidR="0008284D" w:rsidRPr="00FA780F" w:rsidRDefault="0008284D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– </w:t>
      </w:r>
      <w:r w:rsidRPr="00FA780F">
        <w:rPr>
          <w:rFonts w:ascii="Intrum Sans" w:hAnsi="Intrum Sans"/>
          <w:i/>
          <w:iCs/>
          <w:sz w:val="20"/>
          <w:szCs w:val="20"/>
        </w:rPr>
        <w:t xml:space="preserve">Persony pozwalają firmom na lepsze zrozumienie potrzeb i preferencji konsumentów, </w:t>
      </w:r>
      <w:r w:rsidR="00AE2533" w:rsidRPr="00FA780F">
        <w:rPr>
          <w:rFonts w:ascii="Intrum Sans" w:hAnsi="Intrum Sans"/>
          <w:i/>
          <w:iCs/>
          <w:sz w:val="20"/>
          <w:szCs w:val="20"/>
        </w:rPr>
        <w:t>dzięki czemu można dopasować najbardziej odpowiedni i efektywny sposób komunikacji np. w przypadku zaległości płatniczych</w:t>
      </w:r>
      <w:r w:rsidRPr="00FA780F">
        <w:rPr>
          <w:rFonts w:ascii="Intrum Sans" w:hAnsi="Intrum Sans"/>
          <w:i/>
          <w:iCs/>
          <w:sz w:val="20"/>
          <w:szCs w:val="20"/>
        </w:rPr>
        <w:t xml:space="preserve">. Każda z person ma odmienne preferencje w tym zakresie. Self-disciplined Optimisers oczekują minimalnego, nienachalnego kontaktu w sprawach zarządzania płatnościami. Cautious Savers sami przejmują kontrolę nad swoimi finansami przy pomocy portali i aplikacji samoobsługowych. Osoby z grupy Financially Strained and Job-anxious chętnie korzystają z łatwo dostępnych, opartych na sztucznej inteligencji narzędzi do zarządzania zadłużeniem, choć w razie potrzeby nie stronią od kontaktu z człowiekiem, na </w:t>
      </w:r>
      <w:r w:rsidR="00391B3F" w:rsidRPr="00FA780F">
        <w:rPr>
          <w:rFonts w:ascii="Intrum Sans" w:hAnsi="Intrum Sans"/>
          <w:i/>
          <w:iCs/>
          <w:sz w:val="20"/>
          <w:szCs w:val="20"/>
        </w:rPr>
        <w:t>przykład,</w:t>
      </w:r>
      <w:r w:rsidRPr="00FA780F">
        <w:rPr>
          <w:rFonts w:ascii="Intrum Sans" w:hAnsi="Intrum Sans"/>
          <w:i/>
          <w:iCs/>
          <w:sz w:val="20"/>
          <w:szCs w:val="20"/>
        </w:rPr>
        <w:t xml:space="preserve"> gdy rozważają stworzenie planu spłaty zobowiązań. Ostatnia grupa – Debt-burdened and Financially Fragile – preferuje z kolei telefoniczny lub osobisty kontakt z człowiekiem w sprawie zadłużenia</w:t>
      </w:r>
      <w:r w:rsidRPr="00FA780F">
        <w:rPr>
          <w:rFonts w:ascii="Intrum Sans" w:hAnsi="Intrum Sans"/>
          <w:sz w:val="20"/>
          <w:szCs w:val="20"/>
        </w:rPr>
        <w:t xml:space="preserve"> – dodaje </w:t>
      </w:r>
      <w:r w:rsidRPr="00FA780F">
        <w:rPr>
          <w:rFonts w:ascii="Intrum Sans" w:hAnsi="Intrum Sans"/>
          <w:b/>
          <w:bCs/>
          <w:sz w:val="20"/>
          <w:szCs w:val="20"/>
        </w:rPr>
        <w:t>Anna</w:t>
      </w:r>
      <w:r w:rsidRPr="00FA780F">
        <w:rPr>
          <w:rFonts w:ascii="Intrum Sans" w:hAnsi="Intrum Sans"/>
          <w:sz w:val="20"/>
          <w:szCs w:val="20"/>
        </w:rPr>
        <w:t xml:space="preserve"> </w:t>
      </w:r>
      <w:r w:rsidRPr="00FA780F">
        <w:rPr>
          <w:rFonts w:ascii="Intrum Sans" w:hAnsi="Intrum Sans"/>
          <w:b/>
          <w:bCs/>
          <w:sz w:val="20"/>
          <w:szCs w:val="20"/>
        </w:rPr>
        <w:t>Zabrodzka-Averianov, Intrum</w:t>
      </w:r>
      <w:r w:rsidRPr="00FA780F">
        <w:rPr>
          <w:rFonts w:ascii="Intrum Sans" w:hAnsi="Intrum Sans"/>
          <w:sz w:val="20"/>
          <w:szCs w:val="20"/>
        </w:rPr>
        <w:t>.</w:t>
      </w:r>
    </w:p>
    <w:p w14:paraId="44F9CAF9" w14:textId="4BE4F86A" w:rsidR="0008284D" w:rsidRPr="00FA780F" w:rsidRDefault="0008284D" w:rsidP="00A06DF6">
      <w:pPr>
        <w:pStyle w:val="Nagwek2"/>
        <w:rPr>
          <w:rFonts w:ascii="Intrum Sans" w:hAnsi="Intrum Sans"/>
          <w:sz w:val="24"/>
          <w:szCs w:val="24"/>
        </w:rPr>
      </w:pPr>
      <w:r w:rsidRPr="00FA780F">
        <w:rPr>
          <w:rFonts w:ascii="Intrum Sans" w:hAnsi="Intrum Sans"/>
          <w:sz w:val="24"/>
          <w:szCs w:val="24"/>
        </w:rPr>
        <w:t>Kim są Financial Personas?</w:t>
      </w:r>
    </w:p>
    <w:p w14:paraId="21660BBE" w14:textId="3BF0876B" w:rsidR="003317FD" w:rsidRPr="00FA780F" w:rsidRDefault="00C204B6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Persona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S</w:t>
      </w:r>
      <w:r w:rsidR="00AD2D14" w:rsidRPr="00FA780F">
        <w:rPr>
          <w:rFonts w:ascii="Intrum Sans" w:hAnsi="Intrum Sans"/>
          <w:b/>
          <w:bCs/>
          <w:sz w:val="20"/>
          <w:szCs w:val="20"/>
        </w:rPr>
        <w:t xml:space="preserve">elf-disciplined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O</w:t>
      </w:r>
      <w:r w:rsidR="00AD2D14" w:rsidRPr="00FA780F">
        <w:rPr>
          <w:rFonts w:ascii="Intrum Sans" w:hAnsi="Intrum Sans"/>
          <w:b/>
          <w:bCs/>
          <w:sz w:val="20"/>
          <w:szCs w:val="20"/>
        </w:rPr>
        <w:t>ptimisers</w:t>
      </w:r>
      <w:r w:rsidRPr="00FA780F">
        <w:rPr>
          <w:rFonts w:ascii="Intrum Sans" w:hAnsi="Intrum Sans"/>
          <w:sz w:val="20"/>
          <w:szCs w:val="20"/>
        </w:rPr>
        <w:t xml:space="preserve"> opisuje konsumentów o najsilniejszej pozycji finansowej. </w:t>
      </w:r>
      <w:r w:rsidR="003317FD" w:rsidRPr="00FA780F">
        <w:rPr>
          <w:rFonts w:ascii="Intrum Sans" w:hAnsi="Intrum Sans"/>
          <w:sz w:val="20"/>
          <w:szCs w:val="20"/>
        </w:rPr>
        <w:t xml:space="preserve">Są to osoby, które nie obawiają się o swoją przyszłość, co wynika po części z aktywnego oszczędzania. </w:t>
      </w:r>
      <w:r w:rsidR="00145CC4" w:rsidRPr="00FA780F">
        <w:rPr>
          <w:rFonts w:ascii="Intrum Sans" w:hAnsi="Intrum Sans"/>
          <w:sz w:val="20"/>
          <w:szCs w:val="20"/>
        </w:rPr>
        <w:t>Na tle innych person k</w:t>
      </w:r>
      <w:r w:rsidR="005D0DA6" w:rsidRPr="00FA780F">
        <w:rPr>
          <w:rFonts w:ascii="Intrum Sans" w:hAnsi="Intrum Sans"/>
          <w:sz w:val="20"/>
          <w:szCs w:val="20"/>
        </w:rPr>
        <w:t xml:space="preserve">onsumenci o tym profilu </w:t>
      </w:r>
      <w:r w:rsidR="00145CC4" w:rsidRPr="00FA780F">
        <w:rPr>
          <w:rFonts w:ascii="Intrum Sans" w:hAnsi="Intrum Sans"/>
          <w:sz w:val="20"/>
          <w:szCs w:val="20"/>
        </w:rPr>
        <w:t xml:space="preserve">są najbardziej </w:t>
      </w:r>
      <w:r w:rsidR="00853170">
        <w:rPr>
          <w:rFonts w:ascii="Intrum Sans" w:hAnsi="Intrum Sans"/>
          <w:sz w:val="20"/>
          <w:szCs w:val="20"/>
        </w:rPr>
        <w:t xml:space="preserve">selektywni </w:t>
      </w:r>
      <w:r w:rsidR="00145CC4" w:rsidRPr="00FA780F">
        <w:rPr>
          <w:rFonts w:ascii="Intrum Sans" w:hAnsi="Intrum Sans"/>
          <w:sz w:val="20"/>
          <w:szCs w:val="20"/>
        </w:rPr>
        <w:t xml:space="preserve">podczas nabywania nowych rzeczy. Zaledwie </w:t>
      </w:r>
      <w:r w:rsidR="009A1EBD" w:rsidRPr="00FA780F">
        <w:rPr>
          <w:rFonts w:ascii="Intrum Sans" w:hAnsi="Intrum Sans"/>
          <w:sz w:val="20"/>
          <w:szCs w:val="20"/>
        </w:rPr>
        <w:t xml:space="preserve">24 </w:t>
      </w:r>
      <w:r w:rsidR="00145CC4" w:rsidRPr="00FA780F">
        <w:rPr>
          <w:rFonts w:ascii="Intrum Sans" w:hAnsi="Intrum Sans"/>
          <w:sz w:val="20"/>
          <w:szCs w:val="20"/>
        </w:rPr>
        <w:t xml:space="preserve">proc. </w:t>
      </w:r>
      <w:r w:rsidR="009A1EBD" w:rsidRPr="00FA780F">
        <w:rPr>
          <w:rFonts w:ascii="Intrum Sans" w:hAnsi="Intrum Sans"/>
          <w:sz w:val="20"/>
          <w:szCs w:val="20"/>
        </w:rPr>
        <w:t>respondentów z Polski</w:t>
      </w:r>
      <w:r w:rsidR="00145CC4" w:rsidRPr="00FA780F">
        <w:rPr>
          <w:rFonts w:ascii="Intrum Sans" w:hAnsi="Intrum Sans"/>
          <w:sz w:val="20"/>
          <w:szCs w:val="20"/>
        </w:rPr>
        <w:t xml:space="preserve"> </w:t>
      </w:r>
      <w:r w:rsidR="00875056">
        <w:rPr>
          <w:rFonts w:ascii="Intrum Sans" w:hAnsi="Intrum Sans"/>
          <w:sz w:val="20"/>
          <w:szCs w:val="20"/>
        </w:rPr>
        <w:t xml:space="preserve">z tą personą </w:t>
      </w:r>
      <w:r w:rsidR="00145CC4" w:rsidRPr="00FA780F">
        <w:rPr>
          <w:rFonts w:ascii="Intrum Sans" w:hAnsi="Intrum Sans"/>
          <w:sz w:val="20"/>
          <w:szCs w:val="20"/>
        </w:rPr>
        <w:t xml:space="preserve">dokonuje częstszych spontanicznych </w:t>
      </w:r>
      <w:r w:rsidR="0085544B" w:rsidRPr="00FA780F">
        <w:rPr>
          <w:rFonts w:ascii="Intrum Sans" w:hAnsi="Intrum Sans"/>
          <w:sz w:val="20"/>
          <w:szCs w:val="20"/>
        </w:rPr>
        <w:t xml:space="preserve">zakupów </w:t>
      </w:r>
      <w:r w:rsidR="00145CC4" w:rsidRPr="00FA780F">
        <w:rPr>
          <w:rFonts w:ascii="Intrum Sans" w:hAnsi="Intrum Sans"/>
          <w:sz w:val="20"/>
          <w:szCs w:val="20"/>
        </w:rPr>
        <w:t>niż 2 lata temu</w:t>
      </w:r>
      <w:r w:rsidR="00E56632">
        <w:rPr>
          <w:rFonts w:ascii="Intrum Sans" w:hAnsi="Intrum Sans"/>
          <w:sz w:val="20"/>
          <w:szCs w:val="20"/>
        </w:rPr>
        <w:t xml:space="preserve">, </w:t>
      </w:r>
      <w:r w:rsidR="00E56632" w:rsidRPr="00E56632">
        <w:rPr>
          <w:rFonts w:ascii="Intrum Sans" w:hAnsi="Intrum Sans"/>
          <w:sz w:val="20"/>
          <w:szCs w:val="20"/>
        </w:rPr>
        <w:t>podczas gdy w całej populacji konsumentów odsetek ten wynosi 28 proc. Podobną ostrożność widać w podejściu do odroczonych płatności – jedynie 17 proc. tej grupy jest bardziej skłonnych skorzystać z opcji „kup teraz, zapłać później”, wobec 28 proc. Polaków ogółem.</w:t>
      </w:r>
      <w:r w:rsidR="00145CC4" w:rsidRPr="00FA780F">
        <w:rPr>
          <w:rStyle w:val="Odwoanieprzypisudolnego"/>
          <w:rFonts w:ascii="Intrum Sans" w:hAnsi="Intrum Sans"/>
          <w:sz w:val="20"/>
          <w:szCs w:val="20"/>
        </w:rPr>
        <w:footnoteReference w:id="3"/>
      </w:r>
      <w:r w:rsidR="00145CC4" w:rsidRPr="00FA780F">
        <w:rPr>
          <w:rFonts w:ascii="Intrum Sans" w:hAnsi="Intrum Sans"/>
          <w:sz w:val="20"/>
          <w:szCs w:val="20"/>
        </w:rPr>
        <w:t>.</w:t>
      </w:r>
      <w:r w:rsidR="0085544B" w:rsidRPr="00FA780F">
        <w:rPr>
          <w:rFonts w:ascii="Intrum Sans" w:hAnsi="Intrum Sans"/>
          <w:sz w:val="20"/>
          <w:szCs w:val="20"/>
        </w:rPr>
        <w:t xml:space="preserve"> </w:t>
      </w:r>
    </w:p>
    <w:p w14:paraId="6F92AE1E" w14:textId="2C38067F" w:rsidR="003317FD" w:rsidRPr="00FA780F" w:rsidRDefault="00BA60E7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Drugą grupę stanowią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C</w:t>
      </w:r>
      <w:r w:rsidR="003E6C46" w:rsidRPr="00FA780F">
        <w:rPr>
          <w:rFonts w:ascii="Intrum Sans" w:hAnsi="Intrum Sans"/>
          <w:b/>
          <w:bCs/>
          <w:sz w:val="20"/>
          <w:szCs w:val="20"/>
        </w:rPr>
        <w:t xml:space="preserve">autious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S</w:t>
      </w:r>
      <w:r w:rsidR="003E6C46" w:rsidRPr="00FA780F">
        <w:rPr>
          <w:rFonts w:ascii="Intrum Sans" w:hAnsi="Intrum Sans"/>
          <w:b/>
          <w:bCs/>
          <w:sz w:val="20"/>
          <w:szCs w:val="20"/>
        </w:rPr>
        <w:t>avers</w:t>
      </w:r>
      <w:r w:rsidRPr="00FA780F">
        <w:rPr>
          <w:rFonts w:ascii="Intrum Sans" w:hAnsi="Intrum Sans"/>
          <w:sz w:val="20"/>
          <w:szCs w:val="20"/>
        </w:rPr>
        <w:t>, czyli osoby unikające ryzyka</w:t>
      </w:r>
      <w:r w:rsidR="003317FD" w:rsidRPr="00FA780F">
        <w:rPr>
          <w:rFonts w:ascii="Intrum Sans" w:hAnsi="Intrum Sans"/>
          <w:sz w:val="20"/>
          <w:szCs w:val="20"/>
        </w:rPr>
        <w:t xml:space="preserve"> i próbujące się zabezpieczyć finansowo. Cechą charakterystyczną konsumentów o tym profilu jest </w:t>
      </w:r>
      <w:r w:rsidR="00EF5592" w:rsidRPr="00FA780F">
        <w:rPr>
          <w:rFonts w:ascii="Intrum Sans" w:hAnsi="Intrum Sans"/>
          <w:sz w:val="20"/>
          <w:szCs w:val="20"/>
        </w:rPr>
        <w:t>konsekwentna realizacja strategii oszczędzania, która umożliwia</w:t>
      </w:r>
      <w:r w:rsidR="004F0D0F" w:rsidRPr="00FA780F">
        <w:rPr>
          <w:rFonts w:ascii="Intrum Sans" w:hAnsi="Intrum Sans"/>
          <w:sz w:val="20"/>
          <w:szCs w:val="20"/>
        </w:rPr>
        <w:t xml:space="preserve"> </w:t>
      </w:r>
      <w:r w:rsidR="00EF5592" w:rsidRPr="00FA780F">
        <w:rPr>
          <w:rFonts w:ascii="Intrum Sans" w:hAnsi="Intrum Sans"/>
          <w:sz w:val="20"/>
          <w:szCs w:val="20"/>
        </w:rPr>
        <w:t>im realizację sporadycznych większych wydatków, a także chroni przed chwilowymi problemami gospodarczymi.</w:t>
      </w:r>
      <w:r w:rsidR="009A1EBD" w:rsidRPr="00FA780F">
        <w:rPr>
          <w:rFonts w:ascii="Intrum Sans" w:hAnsi="Intrum Sans"/>
          <w:sz w:val="20"/>
          <w:szCs w:val="20"/>
        </w:rPr>
        <w:t xml:space="preserve"> Potwierdzają to badania przeprowadzone wśród polskich respondentów o profilu Cautious Savers – aż 62 proc. z nich </w:t>
      </w:r>
      <w:r w:rsidR="005C399C" w:rsidRPr="00FA780F">
        <w:rPr>
          <w:rFonts w:ascii="Intrum Sans" w:hAnsi="Intrum Sans"/>
          <w:sz w:val="20"/>
          <w:szCs w:val="20"/>
        </w:rPr>
        <w:t>odkłada co miesiąc pieniądze na wypadek wystąpienia sytuacji awaryjnej. To największy odsetek w porównaniu do pozostałych grup</w:t>
      </w:r>
      <w:r w:rsidR="00F07756" w:rsidRPr="00F07756">
        <w:rPr>
          <w:rFonts w:ascii="Intrum Sans" w:hAnsi="Intrum Sans"/>
          <w:sz w:val="20"/>
          <w:szCs w:val="20"/>
        </w:rPr>
        <w:t>, a jednocześnie wynik wyraźnie przewyższający średnią dla ogółu Polaków (52 proc.)</w:t>
      </w:r>
      <w:r w:rsidR="005C399C" w:rsidRPr="00FA780F">
        <w:rPr>
          <w:rStyle w:val="Odwoanieprzypisudolnego"/>
          <w:rFonts w:ascii="Intrum Sans" w:hAnsi="Intrum Sans"/>
          <w:sz w:val="20"/>
          <w:szCs w:val="20"/>
        </w:rPr>
        <w:footnoteReference w:id="4"/>
      </w:r>
      <w:r w:rsidR="005C399C" w:rsidRPr="00FA780F">
        <w:rPr>
          <w:rFonts w:ascii="Intrum Sans" w:hAnsi="Intrum Sans"/>
          <w:sz w:val="20"/>
          <w:szCs w:val="20"/>
        </w:rPr>
        <w:t>.</w:t>
      </w:r>
    </w:p>
    <w:p w14:paraId="3CBE4373" w14:textId="10E915BF" w:rsidR="00EF5592" w:rsidRPr="00FA780F" w:rsidRDefault="00EF5592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Persona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F</w:t>
      </w:r>
      <w:r w:rsidRPr="00FA780F">
        <w:rPr>
          <w:rFonts w:ascii="Intrum Sans" w:hAnsi="Intrum Sans"/>
          <w:b/>
          <w:bCs/>
          <w:sz w:val="20"/>
          <w:szCs w:val="20"/>
        </w:rPr>
        <w:t xml:space="preserve">inancially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S</w:t>
      </w:r>
      <w:r w:rsidRPr="00FA780F">
        <w:rPr>
          <w:rFonts w:ascii="Intrum Sans" w:hAnsi="Intrum Sans"/>
          <w:b/>
          <w:bCs/>
          <w:sz w:val="20"/>
          <w:szCs w:val="20"/>
        </w:rPr>
        <w:t xml:space="preserve">trained and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J</w:t>
      </w:r>
      <w:r w:rsidRPr="00FA780F">
        <w:rPr>
          <w:rFonts w:ascii="Intrum Sans" w:hAnsi="Intrum Sans"/>
          <w:b/>
          <w:bCs/>
          <w:sz w:val="20"/>
          <w:szCs w:val="20"/>
        </w:rPr>
        <w:t>ob</w:t>
      </w:r>
      <w:r w:rsidR="00BC3025" w:rsidRPr="00FA780F">
        <w:rPr>
          <w:rFonts w:ascii="Intrum Sans" w:hAnsi="Intrum Sans"/>
          <w:b/>
          <w:bCs/>
          <w:sz w:val="20"/>
          <w:szCs w:val="20"/>
        </w:rPr>
        <w:t>-a</w:t>
      </w:r>
      <w:r w:rsidRPr="00FA780F">
        <w:rPr>
          <w:rFonts w:ascii="Intrum Sans" w:hAnsi="Intrum Sans"/>
          <w:b/>
          <w:bCs/>
          <w:sz w:val="20"/>
          <w:szCs w:val="20"/>
        </w:rPr>
        <w:t>nxious</w:t>
      </w:r>
      <w:r w:rsidRPr="00FA780F">
        <w:rPr>
          <w:rFonts w:ascii="Intrum Sans" w:hAnsi="Intrum Sans"/>
          <w:sz w:val="20"/>
          <w:szCs w:val="20"/>
        </w:rPr>
        <w:t xml:space="preserve"> to osoby, których sytuacja ekonomiczna nie zawsze pozwala na zaspokojenie podstawowych potrzeb.</w:t>
      </w:r>
      <w:r w:rsidR="00D228A5" w:rsidRPr="00FA780F">
        <w:rPr>
          <w:rFonts w:ascii="Intrum Sans" w:hAnsi="Intrum Sans"/>
          <w:sz w:val="20"/>
          <w:szCs w:val="20"/>
        </w:rPr>
        <w:t xml:space="preserve"> Aż 83 proc. respondentów z Polski należących do tej grupy nie widzi możliwości zmiany zatrudnienia lub znalezienia nowego źródła </w:t>
      </w:r>
      <w:r w:rsidR="00D64AD8" w:rsidRPr="00FA780F">
        <w:rPr>
          <w:rFonts w:ascii="Intrum Sans" w:hAnsi="Intrum Sans"/>
          <w:sz w:val="20"/>
          <w:szCs w:val="20"/>
        </w:rPr>
        <w:t>do</w:t>
      </w:r>
      <w:r w:rsidR="00D228A5" w:rsidRPr="00FA780F">
        <w:rPr>
          <w:rFonts w:ascii="Intrum Sans" w:hAnsi="Intrum Sans"/>
          <w:sz w:val="20"/>
          <w:szCs w:val="20"/>
        </w:rPr>
        <w:t>chodu w celu poprawienia swojej sytuacji.</w:t>
      </w:r>
      <w:r w:rsidRPr="00FA780F">
        <w:rPr>
          <w:rFonts w:ascii="Intrum Sans" w:hAnsi="Intrum Sans"/>
          <w:sz w:val="20"/>
          <w:szCs w:val="20"/>
        </w:rPr>
        <w:t xml:space="preserve"> Często są obciążone wysokim poziomem niezabezpieczonego </w:t>
      </w:r>
      <w:r w:rsidR="00391B3F" w:rsidRPr="00FA780F">
        <w:rPr>
          <w:rFonts w:ascii="Intrum Sans" w:hAnsi="Intrum Sans"/>
          <w:sz w:val="20"/>
          <w:szCs w:val="20"/>
        </w:rPr>
        <w:t>długu,</w:t>
      </w:r>
      <w:r w:rsidR="00CE61D8" w:rsidRPr="00FA780F">
        <w:rPr>
          <w:rFonts w:ascii="Intrum Sans" w:hAnsi="Intrum Sans"/>
          <w:sz w:val="20"/>
          <w:szCs w:val="20"/>
        </w:rPr>
        <w:t xml:space="preserve"> czyli zobowiązań, </w:t>
      </w:r>
      <w:r w:rsidR="00CE61D8" w:rsidRPr="00FA780F">
        <w:rPr>
          <w:rFonts w:ascii="Intrum Sans" w:hAnsi="Intrum Sans"/>
          <w:sz w:val="20"/>
          <w:szCs w:val="20"/>
        </w:rPr>
        <w:lastRenderedPageBreak/>
        <w:t>które nie są powiązane z żadnym majątkiem</w:t>
      </w:r>
      <w:r w:rsidRPr="00FA780F">
        <w:rPr>
          <w:rFonts w:ascii="Intrum Sans" w:hAnsi="Intrum Sans"/>
          <w:sz w:val="20"/>
          <w:szCs w:val="20"/>
        </w:rPr>
        <w:t>, ale próbują poprawić swoją sytuację przy pomocy oszczędzania i edukacji finansowej.</w:t>
      </w:r>
      <w:r w:rsidR="00CE61D8" w:rsidRPr="00FA780F">
        <w:rPr>
          <w:rFonts w:ascii="Intrum Sans" w:hAnsi="Intrum Sans"/>
          <w:sz w:val="20"/>
          <w:szCs w:val="20"/>
        </w:rPr>
        <w:t xml:space="preserve"> </w:t>
      </w:r>
    </w:p>
    <w:p w14:paraId="58114EA5" w14:textId="19B4B137" w:rsidR="00372250" w:rsidRPr="00FA780F" w:rsidRDefault="00EF5592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>Ostatnia z</w:t>
      </w:r>
      <w:r w:rsidR="00246422" w:rsidRPr="00FA780F">
        <w:rPr>
          <w:rFonts w:ascii="Intrum Sans" w:hAnsi="Intrum Sans"/>
          <w:sz w:val="20"/>
          <w:szCs w:val="20"/>
        </w:rPr>
        <w:t xml:space="preserve">e stworzonych person –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D</w:t>
      </w:r>
      <w:r w:rsidR="003E6C46" w:rsidRPr="00FA780F">
        <w:rPr>
          <w:rFonts w:ascii="Intrum Sans" w:hAnsi="Intrum Sans"/>
          <w:b/>
          <w:bCs/>
          <w:sz w:val="20"/>
          <w:szCs w:val="20"/>
        </w:rPr>
        <w:t xml:space="preserve">ebt-burdened and </w:t>
      </w:r>
      <w:r w:rsidR="004F0D0F" w:rsidRPr="00FA780F">
        <w:rPr>
          <w:rFonts w:ascii="Intrum Sans" w:hAnsi="Intrum Sans"/>
          <w:b/>
          <w:bCs/>
          <w:sz w:val="20"/>
          <w:szCs w:val="20"/>
        </w:rPr>
        <w:t>F</w:t>
      </w:r>
      <w:r w:rsidR="003E6C46" w:rsidRPr="00FA780F">
        <w:rPr>
          <w:rFonts w:ascii="Intrum Sans" w:hAnsi="Intrum Sans"/>
          <w:b/>
          <w:bCs/>
          <w:sz w:val="20"/>
          <w:szCs w:val="20"/>
        </w:rPr>
        <w:t xml:space="preserve">inancially </w:t>
      </w:r>
      <w:r w:rsidR="00BC3025" w:rsidRPr="00FA780F">
        <w:rPr>
          <w:rFonts w:ascii="Intrum Sans" w:hAnsi="Intrum Sans"/>
          <w:b/>
          <w:bCs/>
          <w:sz w:val="20"/>
          <w:szCs w:val="20"/>
        </w:rPr>
        <w:t>F</w:t>
      </w:r>
      <w:r w:rsidR="003E6C46" w:rsidRPr="00FA780F">
        <w:rPr>
          <w:rFonts w:ascii="Intrum Sans" w:hAnsi="Intrum Sans"/>
          <w:b/>
          <w:bCs/>
          <w:sz w:val="20"/>
          <w:szCs w:val="20"/>
        </w:rPr>
        <w:t>ragile</w:t>
      </w:r>
      <w:r w:rsidR="00246422" w:rsidRPr="00FA780F">
        <w:rPr>
          <w:rFonts w:ascii="Intrum Sans" w:hAnsi="Intrum Sans"/>
          <w:sz w:val="20"/>
          <w:szCs w:val="20"/>
        </w:rPr>
        <w:t xml:space="preserve"> – określa konsumentów z najwyższym poziomem zadłużenia i najmniejszą stabilnością </w:t>
      </w:r>
      <w:r w:rsidR="00C009CB" w:rsidRPr="00FA780F">
        <w:rPr>
          <w:rFonts w:ascii="Intrum Sans" w:hAnsi="Intrum Sans"/>
          <w:sz w:val="20"/>
          <w:szCs w:val="20"/>
        </w:rPr>
        <w:t>ekonomiczną</w:t>
      </w:r>
      <w:r w:rsidR="00246422" w:rsidRPr="00FA780F">
        <w:rPr>
          <w:rFonts w:ascii="Intrum Sans" w:hAnsi="Intrum Sans"/>
          <w:sz w:val="20"/>
          <w:szCs w:val="20"/>
        </w:rPr>
        <w:t xml:space="preserve">. Nie posiadają </w:t>
      </w:r>
      <w:r w:rsidR="00F63820" w:rsidRPr="00FA780F">
        <w:rPr>
          <w:rFonts w:ascii="Intrum Sans" w:hAnsi="Intrum Sans"/>
          <w:sz w:val="20"/>
          <w:szCs w:val="20"/>
        </w:rPr>
        <w:t xml:space="preserve">oni </w:t>
      </w:r>
      <w:r w:rsidR="00246422" w:rsidRPr="00FA780F">
        <w:rPr>
          <w:rFonts w:ascii="Intrum Sans" w:hAnsi="Intrum Sans"/>
          <w:sz w:val="20"/>
          <w:szCs w:val="20"/>
        </w:rPr>
        <w:t>żadnego zabezpieczenia finansowego, ale deklarują chęć poprawy aktualnej sytuacji.</w:t>
      </w:r>
      <w:r w:rsidR="00952CBA" w:rsidRPr="00FA780F">
        <w:rPr>
          <w:rFonts w:ascii="Intrum Sans" w:hAnsi="Intrum Sans"/>
          <w:sz w:val="20"/>
          <w:szCs w:val="20"/>
        </w:rPr>
        <w:t xml:space="preserve"> Aż 51 proc. </w:t>
      </w:r>
      <w:r w:rsidR="005C399C" w:rsidRPr="00FA780F">
        <w:rPr>
          <w:rFonts w:ascii="Intrum Sans" w:hAnsi="Intrum Sans"/>
          <w:sz w:val="20"/>
          <w:szCs w:val="20"/>
        </w:rPr>
        <w:t xml:space="preserve">Polaków </w:t>
      </w:r>
      <w:r w:rsidR="00952CBA" w:rsidRPr="00FA780F">
        <w:rPr>
          <w:rFonts w:ascii="Intrum Sans" w:hAnsi="Intrum Sans"/>
          <w:sz w:val="20"/>
          <w:szCs w:val="20"/>
        </w:rPr>
        <w:t xml:space="preserve">z tej grupy – najwięcej na tle innych person – chętniej robi zakupy w tych sklepach, które oferują możliwość skorzystania z opcji „kup teraz, zapłać później”. </w:t>
      </w:r>
      <w:r w:rsidR="00C31233" w:rsidRPr="00FA780F">
        <w:rPr>
          <w:rFonts w:ascii="Intrum Sans" w:hAnsi="Intrum Sans"/>
          <w:sz w:val="20"/>
          <w:szCs w:val="20"/>
        </w:rPr>
        <w:t>Prawie c</w:t>
      </w:r>
      <w:r w:rsidR="00952CBA" w:rsidRPr="00FA780F">
        <w:rPr>
          <w:rFonts w:ascii="Intrum Sans" w:hAnsi="Intrum Sans"/>
          <w:sz w:val="20"/>
          <w:szCs w:val="20"/>
        </w:rPr>
        <w:t xml:space="preserve">o drugi badany </w:t>
      </w:r>
      <w:r w:rsidR="005C399C" w:rsidRPr="00FA780F">
        <w:rPr>
          <w:rFonts w:ascii="Intrum Sans" w:hAnsi="Intrum Sans"/>
          <w:sz w:val="20"/>
          <w:szCs w:val="20"/>
        </w:rPr>
        <w:t xml:space="preserve">(46 proc.) </w:t>
      </w:r>
      <w:r w:rsidR="00952CBA" w:rsidRPr="00FA780F">
        <w:rPr>
          <w:rFonts w:ascii="Intrum Sans" w:hAnsi="Intrum Sans"/>
          <w:sz w:val="20"/>
          <w:szCs w:val="20"/>
        </w:rPr>
        <w:t>przyznaje również, że stara się ukrywać, ile pieniędzy wydaje na niepotrzebne rzeczy, nawet jeśli wiąże się to z okłamywaniem bliskich</w:t>
      </w:r>
      <w:r w:rsidR="00952CBA" w:rsidRPr="00FA780F">
        <w:rPr>
          <w:rStyle w:val="Odwoanieprzypisudolnego"/>
          <w:rFonts w:ascii="Intrum Sans" w:hAnsi="Intrum Sans"/>
          <w:sz w:val="20"/>
          <w:szCs w:val="20"/>
        </w:rPr>
        <w:footnoteReference w:id="5"/>
      </w:r>
      <w:r w:rsidR="00952CBA" w:rsidRPr="00FA780F">
        <w:rPr>
          <w:rFonts w:ascii="Intrum Sans" w:hAnsi="Intrum Sans"/>
          <w:sz w:val="20"/>
          <w:szCs w:val="20"/>
        </w:rPr>
        <w:t>.</w:t>
      </w:r>
    </w:p>
    <w:p w14:paraId="4F35CA1D" w14:textId="26411518" w:rsidR="003E6C46" w:rsidRPr="00FA780F" w:rsidRDefault="00833F15" w:rsidP="00A06DF6">
      <w:pPr>
        <w:pStyle w:val="Nagwek2"/>
        <w:rPr>
          <w:rFonts w:ascii="Intrum Sans" w:hAnsi="Intrum Sans"/>
          <w:sz w:val="24"/>
          <w:szCs w:val="24"/>
        </w:rPr>
      </w:pPr>
      <w:r w:rsidRPr="00FA780F">
        <w:rPr>
          <w:rFonts w:ascii="Intrum Sans" w:hAnsi="Intrum Sans"/>
          <w:sz w:val="24"/>
          <w:szCs w:val="24"/>
        </w:rPr>
        <w:t>Nowe sposoby oceny finansowych wyzwań</w:t>
      </w:r>
    </w:p>
    <w:p w14:paraId="0EF13823" w14:textId="516CB4B8" w:rsidR="005E58B9" w:rsidRPr="00FA780F" w:rsidRDefault="00F110B3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>Proste parametry obrazujące sytuację</w:t>
      </w:r>
      <w:r w:rsidR="00833F15" w:rsidRPr="00FA780F">
        <w:rPr>
          <w:rFonts w:ascii="Intrum Sans" w:hAnsi="Intrum Sans"/>
          <w:sz w:val="20"/>
          <w:szCs w:val="20"/>
        </w:rPr>
        <w:t xml:space="preserve"> ekonomiczn</w:t>
      </w:r>
      <w:r w:rsidRPr="00FA780F">
        <w:rPr>
          <w:rFonts w:ascii="Intrum Sans" w:hAnsi="Intrum Sans"/>
          <w:sz w:val="20"/>
          <w:szCs w:val="20"/>
        </w:rPr>
        <w:t xml:space="preserve">ą </w:t>
      </w:r>
      <w:r w:rsidR="00833F15" w:rsidRPr="00FA780F">
        <w:rPr>
          <w:rFonts w:ascii="Intrum Sans" w:hAnsi="Intrum Sans"/>
          <w:sz w:val="20"/>
          <w:szCs w:val="20"/>
        </w:rPr>
        <w:t xml:space="preserve">konsumentów, </w:t>
      </w:r>
      <w:r w:rsidRPr="00FA780F">
        <w:rPr>
          <w:rFonts w:ascii="Intrum Sans" w:hAnsi="Intrum Sans"/>
          <w:sz w:val="20"/>
          <w:szCs w:val="20"/>
        </w:rPr>
        <w:t>takie jak</w:t>
      </w:r>
      <w:r w:rsidR="00833F15" w:rsidRPr="00FA780F">
        <w:rPr>
          <w:rFonts w:ascii="Intrum Sans" w:hAnsi="Intrum Sans"/>
          <w:sz w:val="20"/>
          <w:szCs w:val="20"/>
        </w:rPr>
        <w:t xml:space="preserve"> wysokość zarobków czy poziom </w:t>
      </w:r>
      <w:r w:rsidRPr="00FA780F">
        <w:rPr>
          <w:rFonts w:ascii="Intrum Sans" w:hAnsi="Intrum Sans"/>
          <w:sz w:val="20"/>
          <w:szCs w:val="20"/>
        </w:rPr>
        <w:t xml:space="preserve">zobowiązań finansowych, nie zawsze odzwierciedlają umiejętność zarządzania pieniędzmi. Kwestia ta wymaga poszerzonej analizy, obejmującej </w:t>
      </w:r>
      <w:r w:rsidR="00E65457" w:rsidRPr="00FA780F">
        <w:rPr>
          <w:rFonts w:ascii="Intrum Sans" w:hAnsi="Intrum Sans"/>
          <w:sz w:val="20"/>
          <w:szCs w:val="20"/>
        </w:rPr>
        <w:t>dodatkowo między innymi</w:t>
      </w:r>
      <w:r w:rsidRPr="00FA780F">
        <w:rPr>
          <w:rFonts w:ascii="Intrum Sans" w:hAnsi="Intrum Sans"/>
          <w:sz w:val="20"/>
          <w:szCs w:val="20"/>
        </w:rPr>
        <w:t xml:space="preserve"> zachowania zakupowe, potencjalną reakcję na niespodziewane wydatki oraz subiektywne postrzeganie własnego położenia.</w:t>
      </w:r>
    </w:p>
    <w:p w14:paraId="53AA3A33" w14:textId="015A7ABC" w:rsidR="004F0D0F" w:rsidRDefault="76C480F8" w:rsidP="00A06DF6">
      <w:pPr>
        <w:rPr>
          <w:rFonts w:ascii="Intrum Sans" w:hAnsi="Intrum Sans"/>
          <w:sz w:val="20"/>
          <w:szCs w:val="20"/>
        </w:rPr>
      </w:pPr>
      <w:r w:rsidRPr="00FA780F">
        <w:rPr>
          <w:rFonts w:ascii="Intrum Sans" w:hAnsi="Intrum Sans"/>
          <w:sz w:val="20"/>
          <w:szCs w:val="20"/>
        </w:rPr>
        <w:t xml:space="preserve">Narzędziami, które służą do tego celu, są Money Management Index oraz Financial Personas. Wyniki uzyskane przy ich pomocy pozwalają scharakteryzować </w:t>
      </w:r>
      <w:r w:rsidR="00AE2533" w:rsidRPr="00FA780F">
        <w:rPr>
          <w:rFonts w:ascii="Intrum Sans" w:hAnsi="Intrum Sans"/>
          <w:sz w:val="20"/>
          <w:szCs w:val="20"/>
        </w:rPr>
        <w:t xml:space="preserve">kondycję </w:t>
      </w:r>
      <w:r w:rsidRPr="00FA780F">
        <w:rPr>
          <w:rFonts w:ascii="Intrum Sans" w:hAnsi="Intrum Sans"/>
          <w:sz w:val="20"/>
          <w:szCs w:val="20"/>
        </w:rPr>
        <w:t>finansow</w:t>
      </w:r>
      <w:r w:rsidR="00AE2533" w:rsidRPr="00FA780F">
        <w:rPr>
          <w:rFonts w:ascii="Intrum Sans" w:hAnsi="Intrum Sans"/>
          <w:sz w:val="20"/>
          <w:szCs w:val="20"/>
        </w:rPr>
        <w:t>ą</w:t>
      </w:r>
      <w:r w:rsidRPr="00FA780F">
        <w:rPr>
          <w:rFonts w:ascii="Intrum Sans" w:hAnsi="Intrum Sans"/>
          <w:sz w:val="20"/>
          <w:szCs w:val="20"/>
        </w:rPr>
        <w:t xml:space="preserve"> konsumentów oraz ich postawy wobec zadłużenia czy presji ekonomicznej. Znaczenie takich badań wykracza poza cele edukacyjne czy socjologiczne. To </w:t>
      </w:r>
      <w:r w:rsidR="71A5E26A" w:rsidRPr="00FA780F">
        <w:rPr>
          <w:rFonts w:ascii="Intrum Sans" w:hAnsi="Intrum Sans"/>
          <w:sz w:val="20"/>
          <w:szCs w:val="20"/>
        </w:rPr>
        <w:t xml:space="preserve">rzetelne </w:t>
      </w:r>
      <w:r w:rsidRPr="00FA780F">
        <w:rPr>
          <w:rFonts w:ascii="Intrum Sans" w:hAnsi="Intrum Sans"/>
          <w:sz w:val="20"/>
          <w:szCs w:val="20"/>
        </w:rPr>
        <w:t xml:space="preserve">wsparcie dla firm, które chcą lepiej zrozumieć potrzeby i zachowania konsumentów, a wiedzę tę przekuć na </w:t>
      </w:r>
      <w:r w:rsidR="24D0ECCF" w:rsidRPr="00FA780F">
        <w:rPr>
          <w:rFonts w:ascii="Intrum Sans" w:hAnsi="Intrum Sans"/>
          <w:sz w:val="20"/>
          <w:szCs w:val="20"/>
        </w:rPr>
        <w:t>etyczne i skuteczne strategie komunikacji oraz rozwiązania płatnicze.</w:t>
      </w:r>
    </w:p>
    <w:p w14:paraId="3F2DF72D" w14:textId="77777777" w:rsidR="00C82BEC" w:rsidRPr="00FA780F" w:rsidRDefault="00C82BEC" w:rsidP="00A06DF6">
      <w:pPr>
        <w:rPr>
          <w:rFonts w:ascii="Intrum Sans" w:hAnsi="Intrum Sans"/>
          <w:sz w:val="20"/>
          <w:szCs w:val="20"/>
        </w:rPr>
      </w:pPr>
    </w:p>
    <w:p w14:paraId="02C62B0E" w14:textId="107DE229" w:rsidR="00C82BEC" w:rsidRDefault="00B12BCD" w:rsidP="00A06DF6">
      <w:pPr>
        <w:rPr>
          <w:rFonts w:ascii="Intrum Sans" w:hAnsi="Intrum Sans"/>
          <w:b/>
          <w:bCs/>
          <w:sz w:val="20"/>
          <w:szCs w:val="20"/>
        </w:rPr>
      </w:pPr>
      <w:r w:rsidRPr="00FA780F">
        <w:rPr>
          <w:rFonts w:ascii="Intrum Sans" w:hAnsi="Intrum Sans"/>
          <w:b/>
          <w:bCs/>
          <w:sz w:val="20"/>
          <w:szCs w:val="20"/>
        </w:rPr>
        <w:t xml:space="preserve">O raporcie ECPR: </w:t>
      </w:r>
      <w:r w:rsidRPr="00FA780F">
        <w:rPr>
          <w:rFonts w:ascii="Intrum Sans" w:hAnsi="Intrum Sans"/>
          <w:sz w:val="20"/>
          <w:szCs w:val="20"/>
        </w:rPr>
        <w:t>European Consumer Payment Report 2025 przedstawia szczegółowy obraz tego, jak mieszkańcy Europy zarządzają swoimi finansami, radzą sobie z rosnącymi kosztami i dostosowują się do zmieniających się warunków gospodarczych. Raport opiera się na badaniu 20 000 konsumentów z 20 krajów europejskich (w tym 1000 osób dla Polski), przeprowadzonym przez FT Longitude dla Intrum między lipcem a sierpniem 2025 roku.</w:t>
      </w:r>
    </w:p>
    <w:p w14:paraId="1F8E6DCD" w14:textId="3178CFBC" w:rsidR="00B12BCD" w:rsidRPr="00C82BEC" w:rsidRDefault="002D28A1" w:rsidP="00A06DF6">
      <w:pPr>
        <w:rPr>
          <w:rFonts w:ascii="Intrum Sans" w:hAnsi="Intrum Sans"/>
          <w:b/>
          <w:bCs/>
          <w:i/>
          <w:iCs/>
          <w:sz w:val="20"/>
          <w:szCs w:val="20"/>
        </w:rPr>
      </w:pPr>
      <w:r w:rsidRPr="00C82BEC">
        <w:rPr>
          <w:rFonts w:ascii="Intrum Sans" w:hAnsi="Intrum Sans"/>
          <w:b/>
          <w:bCs/>
          <w:i/>
          <w:iCs/>
          <w:sz w:val="20"/>
          <w:szCs w:val="20"/>
        </w:rPr>
        <w:t xml:space="preserve">Materiał prasowy </w:t>
      </w:r>
      <w:r w:rsidR="00956076" w:rsidRPr="00C82BEC">
        <w:rPr>
          <w:rFonts w:ascii="Intrum Sans" w:hAnsi="Intrum Sans"/>
          <w:b/>
          <w:bCs/>
          <w:i/>
          <w:iCs/>
          <w:sz w:val="20"/>
          <w:szCs w:val="20"/>
        </w:rPr>
        <w:t xml:space="preserve">przeznaczony do dowolnego wykorzystania. </w:t>
      </w:r>
      <w:r w:rsidR="00B12BCD" w:rsidRPr="00C82BEC">
        <w:rPr>
          <w:rFonts w:ascii="Intrum Sans" w:hAnsi="Intrum Sans"/>
          <w:b/>
          <w:bCs/>
          <w:i/>
          <w:iCs/>
          <w:sz w:val="20"/>
          <w:szCs w:val="20"/>
        </w:rPr>
        <w:t> </w:t>
      </w:r>
    </w:p>
    <w:p w14:paraId="7F8D0289" w14:textId="77777777" w:rsidR="00C51B9D" w:rsidRPr="00C51B9D" w:rsidRDefault="00C51B9D" w:rsidP="008203F7">
      <w:pPr>
        <w:jc w:val="left"/>
        <w:rPr>
          <w:rFonts w:ascii="Intrum Sans" w:hAnsi="Intrum Sans"/>
          <w:sz w:val="20"/>
          <w:szCs w:val="20"/>
        </w:rPr>
      </w:pPr>
      <w:r w:rsidRPr="00C51B9D">
        <w:rPr>
          <w:rFonts w:ascii="Intrum Sans" w:hAnsi="Intrum Sans"/>
          <w:b/>
          <w:bCs/>
          <w:sz w:val="20"/>
          <w:szCs w:val="20"/>
        </w:rPr>
        <w:t>Więcej informacji: </w:t>
      </w:r>
      <w:r w:rsidRPr="00C51B9D">
        <w:rPr>
          <w:rFonts w:ascii="Intrum Sans" w:hAnsi="Intrum Sans"/>
          <w:sz w:val="20"/>
          <w:szCs w:val="20"/>
        </w:rPr>
        <w:t> </w:t>
      </w:r>
    </w:p>
    <w:p w14:paraId="768AEF79" w14:textId="77777777" w:rsidR="008D5C70" w:rsidRDefault="008D5C70" w:rsidP="008203F7">
      <w:pPr>
        <w:jc w:val="left"/>
        <w:rPr>
          <w:rFonts w:ascii="Intrum Sans" w:hAnsi="Intrum Sans"/>
          <w:b/>
          <w:bCs/>
          <w:sz w:val="20"/>
          <w:szCs w:val="20"/>
        </w:rPr>
      </w:pPr>
      <w:r w:rsidRPr="008D5C70">
        <w:rPr>
          <w:rFonts w:ascii="Intrum Sans" w:hAnsi="Intrum Sans"/>
          <w:b/>
          <w:bCs/>
          <w:sz w:val="20"/>
          <w:szCs w:val="20"/>
        </w:rPr>
        <w:t>Aleksandra Morka</w:t>
      </w:r>
      <w:r w:rsidRPr="008D5C70">
        <w:rPr>
          <w:rFonts w:ascii="Cambria Math" w:hAnsi="Cambria Math" w:cs="Cambria Math"/>
          <w:b/>
          <w:bCs/>
          <w:sz w:val="20"/>
          <w:szCs w:val="20"/>
        </w:rPr>
        <w:t> </w:t>
      </w:r>
      <w:r w:rsidRPr="008D5C70">
        <w:rPr>
          <w:rFonts w:ascii="Intrum Sans" w:hAnsi="Intrum Sans" w:cs="Intrum Sans"/>
          <w:b/>
          <w:bCs/>
          <w:sz w:val="20"/>
          <w:szCs w:val="20"/>
        </w:rPr>
        <w:t> </w:t>
      </w:r>
      <w:r w:rsidRPr="008D5C70">
        <w:rPr>
          <w:rFonts w:ascii="Intrum Sans" w:hAnsi="Intrum Sans"/>
          <w:b/>
          <w:bCs/>
          <w:sz w:val="20"/>
          <w:szCs w:val="20"/>
        </w:rPr>
        <w:br/>
      </w:r>
      <w:r w:rsidRPr="008D5C70">
        <w:rPr>
          <w:rFonts w:ascii="Intrum Sans" w:hAnsi="Intrum Sans"/>
          <w:sz w:val="20"/>
          <w:szCs w:val="20"/>
        </w:rPr>
        <w:t>a.morka@lightscape.pl</w:t>
      </w:r>
      <w:r w:rsidRPr="008D5C70">
        <w:rPr>
          <w:rFonts w:ascii="Intrum Sans" w:hAnsi="Intrum Sans" w:cs="Intrum Sans"/>
          <w:sz w:val="20"/>
          <w:szCs w:val="20"/>
        </w:rPr>
        <w:t> </w:t>
      </w:r>
      <w:r w:rsidRPr="008D5C70">
        <w:rPr>
          <w:rFonts w:ascii="Intrum Sans" w:hAnsi="Intrum Sans"/>
          <w:sz w:val="20"/>
          <w:szCs w:val="20"/>
        </w:rPr>
        <w:br/>
        <w:t>tel. 531 444</w:t>
      </w:r>
      <w:r w:rsidRPr="008D5C70">
        <w:rPr>
          <w:rFonts w:ascii="Cambria Math" w:hAnsi="Cambria Math" w:cs="Cambria Math"/>
          <w:sz w:val="20"/>
          <w:szCs w:val="20"/>
        </w:rPr>
        <w:t> </w:t>
      </w:r>
      <w:r w:rsidRPr="008D5C70">
        <w:rPr>
          <w:rFonts w:ascii="Intrum Sans" w:hAnsi="Intrum Sans"/>
          <w:sz w:val="20"/>
          <w:szCs w:val="20"/>
        </w:rPr>
        <w:t>469</w:t>
      </w:r>
      <w:r w:rsidRPr="008D5C70">
        <w:rPr>
          <w:rFonts w:ascii="Intrum Sans" w:hAnsi="Intrum Sans"/>
          <w:b/>
          <w:bCs/>
          <w:sz w:val="20"/>
          <w:szCs w:val="20"/>
        </w:rPr>
        <w:t xml:space="preserve">  </w:t>
      </w:r>
    </w:p>
    <w:p w14:paraId="2B8162E6" w14:textId="0E8DF209" w:rsidR="00C51B9D" w:rsidRPr="00C51B9D" w:rsidRDefault="00C51B9D" w:rsidP="008203F7">
      <w:pPr>
        <w:jc w:val="left"/>
        <w:rPr>
          <w:rFonts w:ascii="Intrum Sans" w:hAnsi="Intrum Sans"/>
          <w:sz w:val="20"/>
          <w:szCs w:val="20"/>
        </w:rPr>
      </w:pPr>
      <w:r w:rsidRPr="00C51B9D">
        <w:rPr>
          <w:rFonts w:ascii="Intrum Sans" w:hAnsi="Intrum Sans"/>
          <w:b/>
          <w:bCs/>
          <w:sz w:val="20"/>
          <w:szCs w:val="20"/>
        </w:rPr>
        <w:t>Katarzyna Bil</w:t>
      </w:r>
      <w:r w:rsidRPr="00C51B9D">
        <w:rPr>
          <w:rFonts w:ascii="Cambria Math" w:hAnsi="Cambria Math" w:cs="Cambria Math"/>
          <w:b/>
          <w:bCs/>
          <w:sz w:val="20"/>
          <w:szCs w:val="20"/>
        </w:rPr>
        <w:t> </w:t>
      </w:r>
      <w:r w:rsidRPr="00C51B9D">
        <w:rPr>
          <w:rFonts w:ascii="Intrum Sans" w:hAnsi="Intrum Sans"/>
          <w:sz w:val="20"/>
          <w:szCs w:val="20"/>
        </w:rPr>
        <w:t> </w:t>
      </w:r>
      <w:r w:rsidRPr="00C51B9D">
        <w:rPr>
          <w:rFonts w:ascii="Intrum Sans" w:hAnsi="Intrum Sans"/>
          <w:sz w:val="20"/>
          <w:szCs w:val="20"/>
        </w:rPr>
        <w:br/>
        <w:t>k.bil@lightscape.pl </w:t>
      </w:r>
      <w:r w:rsidRPr="00C51B9D">
        <w:rPr>
          <w:rFonts w:ascii="Intrum Sans" w:hAnsi="Intrum Sans"/>
          <w:sz w:val="20"/>
          <w:szCs w:val="20"/>
        </w:rPr>
        <w:br/>
        <w:t>tel. 731 439</w:t>
      </w:r>
      <w:r w:rsidRPr="00C51B9D">
        <w:rPr>
          <w:rFonts w:ascii="Cambria Math" w:hAnsi="Cambria Math" w:cs="Cambria Math"/>
          <w:sz w:val="20"/>
          <w:szCs w:val="20"/>
        </w:rPr>
        <w:t> </w:t>
      </w:r>
      <w:r w:rsidRPr="00C51B9D">
        <w:rPr>
          <w:rFonts w:ascii="Intrum Sans" w:hAnsi="Intrum Sans"/>
          <w:sz w:val="20"/>
          <w:szCs w:val="20"/>
        </w:rPr>
        <w:t>999</w:t>
      </w:r>
      <w:r w:rsidRPr="00C51B9D">
        <w:rPr>
          <w:rFonts w:ascii="Cambria Math" w:hAnsi="Cambria Math" w:cs="Cambria Math"/>
          <w:sz w:val="20"/>
          <w:szCs w:val="20"/>
        </w:rPr>
        <w:t> </w:t>
      </w:r>
      <w:r w:rsidRPr="00C51B9D">
        <w:rPr>
          <w:rFonts w:ascii="Intrum Sans" w:hAnsi="Intrum Sans"/>
          <w:sz w:val="20"/>
          <w:szCs w:val="20"/>
        </w:rPr>
        <w:t> </w:t>
      </w:r>
    </w:p>
    <w:p w14:paraId="283847B3" w14:textId="77777777" w:rsidR="004F0D0F" w:rsidRPr="00FA780F" w:rsidRDefault="004F0D0F" w:rsidP="00A06DF6">
      <w:pPr>
        <w:rPr>
          <w:sz w:val="20"/>
          <w:szCs w:val="20"/>
        </w:rPr>
      </w:pPr>
    </w:p>
    <w:sectPr w:rsidR="004F0D0F" w:rsidRPr="00FA7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8B86" w14:textId="77777777" w:rsidR="00014667" w:rsidRPr="00C009CB" w:rsidRDefault="00014667" w:rsidP="00AB312E">
      <w:pPr>
        <w:spacing w:after="0" w:line="240" w:lineRule="auto"/>
      </w:pPr>
      <w:r w:rsidRPr="00C009CB">
        <w:separator/>
      </w:r>
    </w:p>
  </w:endnote>
  <w:endnote w:type="continuationSeparator" w:id="0">
    <w:p w14:paraId="1D94B456" w14:textId="77777777" w:rsidR="00014667" w:rsidRPr="00C009CB" w:rsidRDefault="00014667" w:rsidP="00AB312E">
      <w:pPr>
        <w:spacing w:after="0" w:line="240" w:lineRule="auto"/>
      </w:pPr>
      <w:r w:rsidRPr="00C009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DBB5" w14:textId="77777777" w:rsidR="000E3F7A" w:rsidRDefault="000E3F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7B68" w14:textId="77777777" w:rsidR="000E3F7A" w:rsidRDefault="000E3F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A61C" w14:textId="77777777" w:rsidR="000E3F7A" w:rsidRDefault="000E3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F143" w14:textId="77777777" w:rsidR="00014667" w:rsidRPr="00C009CB" w:rsidRDefault="00014667" w:rsidP="00AB312E">
      <w:pPr>
        <w:spacing w:after="0" w:line="240" w:lineRule="auto"/>
      </w:pPr>
      <w:r w:rsidRPr="00C009CB">
        <w:separator/>
      </w:r>
    </w:p>
  </w:footnote>
  <w:footnote w:type="continuationSeparator" w:id="0">
    <w:p w14:paraId="457CFA38" w14:textId="77777777" w:rsidR="00014667" w:rsidRPr="00C009CB" w:rsidRDefault="00014667" w:rsidP="00AB312E">
      <w:pPr>
        <w:spacing w:after="0" w:line="240" w:lineRule="auto"/>
      </w:pPr>
      <w:r w:rsidRPr="00C009CB">
        <w:continuationSeparator/>
      </w:r>
    </w:p>
  </w:footnote>
  <w:footnote w:id="1">
    <w:p w14:paraId="72A08952" w14:textId="3A4AAA12" w:rsidR="00AB312E" w:rsidRPr="009E19C4" w:rsidRDefault="00AB312E">
      <w:pPr>
        <w:pStyle w:val="Tekstprzypisudolnego"/>
        <w:rPr>
          <w:lang w:val="en-US"/>
        </w:rPr>
      </w:pPr>
      <w:r w:rsidRPr="00C009CB">
        <w:rPr>
          <w:rStyle w:val="Odwoanieprzypisudolnego"/>
        </w:rPr>
        <w:footnoteRef/>
      </w:r>
      <w:r w:rsidRPr="009E19C4">
        <w:rPr>
          <w:lang w:val="en-US"/>
        </w:rPr>
        <w:t xml:space="preserve"> Intrum, 2025, European Consumer Payment</w:t>
      </w:r>
      <w:r w:rsidR="00FA780F" w:rsidRPr="00FA780F">
        <w:rPr>
          <w:lang w:val="en-US"/>
        </w:rPr>
        <w:t xml:space="preserve"> Report</w:t>
      </w:r>
    </w:p>
  </w:footnote>
  <w:footnote w:id="2">
    <w:p w14:paraId="2C0E6A0F" w14:textId="60C7E5C3" w:rsidR="00AB312E" w:rsidRPr="00FA780F" w:rsidRDefault="00AB312E">
      <w:pPr>
        <w:pStyle w:val="Tekstprzypisudolnego"/>
        <w:rPr>
          <w:lang w:val="en-US"/>
        </w:rPr>
      </w:pPr>
      <w:r w:rsidRPr="00C009CB">
        <w:rPr>
          <w:rStyle w:val="Odwoanieprzypisudolnego"/>
        </w:rPr>
        <w:footnoteRef/>
      </w:r>
      <w:r w:rsidRPr="009E19C4">
        <w:rPr>
          <w:lang w:val="en-US"/>
        </w:rPr>
        <w:t xml:space="preserve"> Intrum, 2025, European Consumer Payment</w:t>
      </w:r>
      <w:r w:rsidR="00FA780F" w:rsidRPr="00FA780F">
        <w:rPr>
          <w:lang w:val="en-US"/>
        </w:rPr>
        <w:t xml:space="preserve"> Report</w:t>
      </w:r>
    </w:p>
  </w:footnote>
  <w:footnote w:id="3">
    <w:p w14:paraId="3619A6C8" w14:textId="1DC7419B" w:rsidR="00145CC4" w:rsidRPr="003E740D" w:rsidRDefault="00145CC4" w:rsidP="00145CC4">
      <w:pPr>
        <w:pStyle w:val="Tekstprzypisudolnego"/>
        <w:rPr>
          <w:lang w:val="en-US"/>
        </w:rPr>
      </w:pPr>
      <w:r w:rsidRPr="00C009CB">
        <w:rPr>
          <w:rStyle w:val="Odwoanieprzypisudolnego"/>
        </w:rPr>
        <w:footnoteRef/>
      </w:r>
      <w:r w:rsidRPr="003E740D">
        <w:rPr>
          <w:lang w:val="en-US"/>
        </w:rPr>
        <w:t xml:space="preserve"> Intrum, 2025, European Consumer Payment</w:t>
      </w:r>
      <w:r w:rsidR="00FA780F" w:rsidRPr="00917508">
        <w:rPr>
          <w:lang w:val="en-US"/>
        </w:rPr>
        <w:t xml:space="preserve"> Report</w:t>
      </w:r>
    </w:p>
  </w:footnote>
  <w:footnote w:id="4">
    <w:p w14:paraId="09197DA2" w14:textId="5FDBE73B" w:rsidR="005C399C" w:rsidRPr="003E740D" w:rsidRDefault="005C399C" w:rsidP="005C399C">
      <w:pPr>
        <w:pStyle w:val="Tekstprzypisudolnego"/>
        <w:rPr>
          <w:lang w:val="en-US"/>
        </w:rPr>
      </w:pPr>
      <w:r w:rsidRPr="00C009CB">
        <w:rPr>
          <w:rStyle w:val="Odwoanieprzypisudolnego"/>
        </w:rPr>
        <w:footnoteRef/>
      </w:r>
      <w:r w:rsidRPr="003E740D">
        <w:rPr>
          <w:lang w:val="en-US"/>
        </w:rPr>
        <w:t xml:space="preserve"> Intrum, 2025, European Consumer Payment</w:t>
      </w:r>
      <w:r w:rsidR="00FA780F" w:rsidRPr="00917508">
        <w:rPr>
          <w:lang w:val="en-US"/>
        </w:rPr>
        <w:t xml:space="preserve"> Report</w:t>
      </w:r>
    </w:p>
  </w:footnote>
  <w:footnote w:id="5">
    <w:p w14:paraId="1282FF03" w14:textId="3C7A0FB4" w:rsidR="00952CBA" w:rsidRPr="00BC3025" w:rsidRDefault="00952CBA" w:rsidP="00952CBA">
      <w:pPr>
        <w:pStyle w:val="Tekstprzypisudolnego"/>
        <w:rPr>
          <w:lang w:val="en-US"/>
        </w:rPr>
      </w:pPr>
      <w:r w:rsidRPr="00C009CB">
        <w:rPr>
          <w:rStyle w:val="Odwoanieprzypisudolnego"/>
        </w:rPr>
        <w:footnoteRef/>
      </w:r>
      <w:r w:rsidRPr="00F07756">
        <w:rPr>
          <w:lang w:val="en-US"/>
        </w:rPr>
        <w:t xml:space="preserve"> Intrum, 2025, European Consumer Payment</w:t>
      </w:r>
      <w:r w:rsidR="00FA780F" w:rsidRPr="00F07756">
        <w:rPr>
          <w:lang w:val="en-US"/>
        </w:rPr>
        <w:t xml:space="preserve"> Report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21BA" w14:textId="77777777" w:rsidR="000E3F7A" w:rsidRDefault="000E3F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4A2F" w14:textId="47FD16FD" w:rsidR="002043FB" w:rsidRDefault="002043FB">
    <w:pPr>
      <w:pStyle w:val="Nagwek"/>
    </w:pPr>
    <w:r>
      <w:rPr>
        <w:noProof/>
      </w:rPr>
      <w:drawing>
        <wp:inline distT="0" distB="0" distL="0" distR="0" wp14:anchorId="3737E5CC" wp14:editId="2F3CBBCB">
          <wp:extent cx="800100" cy="190500"/>
          <wp:effectExtent l="0" t="0" r="0" b="0"/>
          <wp:docPr id="11072737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A55A" w14:textId="77777777" w:rsidR="000E3F7A" w:rsidRDefault="000E3F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178"/>
    <w:multiLevelType w:val="multilevel"/>
    <w:tmpl w:val="633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25F23"/>
    <w:multiLevelType w:val="hybridMultilevel"/>
    <w:tmpl w:val="3D60E36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6E73062"/>
    <w:multiLevelType w:val="multilevel"/>
    <w:tmpl w:val="D36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33F36"/>
    <w:multiLevelType w:val="multilevel"/>
    <w:tmpl w:val="8C5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10883"/>
    <w:multiLevelType w:val="hybridMultilevel"/>
    <w:tmpl w:val="5FD01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C7127"/>
    <w:multiLevelType w:val="multilevel"/>
    <w:tmpl w:val="473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12ACC"/>
    <w:multiLevelType w:val="multilevel"/>
    <w:tmpl w:val="3D28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147418">
    <w:abstractNumId w:val="3"/>
  </w:num>
  <w:num w:numId="2" w16cid:durableId="690491104">
    <w:abstractNumId w:val="6"/>
  </w:num>
  <w:num w:numId="3" w16cid:durableId="1538817433">
    <w:abstractNumId w:val="5"/>
  </w:num>
  <w:num w:numId="4" w16cid:durableId="1080253959">
    <w:abstractNumId w:val="2"/>
  </w:num>
  <w:num w:numId="5" w16cid:durableId="1563327154">
    <w:abstractNumId w:val="0"/>
  </w:num>
  <w:num w:numId="6" w16cid:durableId="1604607340">
    <w:abstractNumId w:val="4"/>
  </w:num>
  <w:num w:numId="7" w16cid:durableId="170113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46"/>
    <w:rsid w:val="00014667"/>
    <w:rsid w:val="00017D67"/>
    <w:rsid w:val="00061204"/>
    <w:rsid w:val="00065DEF"/>
    <w:rsid w:val="0008284D"/>
    <w:rsid w:val="000C0BA7"/>
    <w:rsid w:val="000C483F"/>
    <w:rsid w:val="000D15ED"/>
    <w:rsid w:val="000DE02D"/>
    <w:rsid w:val="000E222F"/>
    <w:rsid w:val="000E3B9D"/>
    <w:rsid w:val="000E3F7A"/>
    <w:rsid w:val="000F0C60"/>
    <w:rsid w:val="00111FCC"/>
    <w:rsid w:val="00131626"/>
    <w:rsid w:val="001423E8"/>
    <w:rsid w:val="00145CC4"/>
    <w:rsid w:val="00171815"/>
    <w:rsid w:val="001863DE"/>
    <w:rsid w:val="00193191"/>
    <w:rsid w:val="001C2762"/>
    <w:rsid w:val="001D15D2"/>
    <w:rsid w:val="001D315A"/>
    <w:rsid w:val="002043FB"/>
    <w:rsid w:val="00204935"/>
    <w:rsid w:val="002403FC"/>
    <w:rsid w:val="00246422"/>
    <w:rsid w:val="00251C4E"/>
    <w:rsid w:val="00281EA6"/>
    <w:rsid w:val="002A5CC4"/>
    <w:rsid w:val="002B4F04"/>
    <w:rsid w:val="002D28A1"/>
    <w:rsid w:val="002E578E"/>
    <w:rsid w:val="003317FD"/>
    <w:rsid w:val="00333F9E"/>
    <w:rsid w:val="0035055C"/>
    <w:rsid w:val="00372250"/>
    <w:rsid w:val="00391B3F"/>
    <w:rsid w:val="003952F4"/>
    <w:rsid w:val="003E6C46"/>
    <w:rsid w:val="003E740D"/>
    <w:rsid w:val="003F3319"/>
    <w:rsid w:val="003F7DE1"/>
    <w:rsid w:val="00406C0A"/>
    <w:rsid w:val="004651AD"/>
    <w:rsid w:val="004C00E7"/>
    <w:rsid w:val="004D76C6"/>
    <w:rsid w:val="004E65DF"/>
    <w:rsid w:val="004F0D0F"/>
    <w:rsid w:val="0051300E"/>
    <w:rsid w:val="00556523"/>
    <w:rsid w:val="005A6F9E"/>
    <w:rsid w:val="005C399C"/>
    <w:rsid w:val="005D0DA6"/>
    <w:rsid w:val="005E58B9"/>
    <w:rsid w:val="005F240B"/>
    <w:rsid w:val="006004EF"/>
    <w:rsid w:val="00620223"/>
    <w:rsid w:val="0062336E"/>
    <w:rsid w:val="00653A51"/>
    <w:rsid w:val="006D35FD"/>
    <w:rsid w:val="006D3EC8"/>
    <w:rsid w:val="006F78FA"/>
    <w:rsid w:val="007177AA"/>
    <w:rsid w:val="00730B36"/>
    <w:rsid w:val="007374EE"/>
    <w:rsid w:val="007519A4"/>
    <w:rsid w:val="00773DCF"/>
    <w:rsid w:val="00773F69"/>
    <w:rsid w:val="007F66CA"/>
    <w:rsid w:val="008203F7"/>
    <w:rsid w:val="00833F15"/>
    <w:rsid w:val="00851829"/>
    <w:rsid w:val="00853170"/>
    <w:rsid w:val="0085544B"/>
    <w:rsid w:val="00866DD9"/>
    <w:rsid w:val="00875056"/>
    <w:rsid w:val="008C642B"/>
    <w:rsid w:val="008D5C70"/>
    <w:rsid w:val="00917508"/>
    <w:rsid w:val="00952CBA"/>
    <w:rsid w:val="00956076"/>
    <w:rsid w:val="0097402B"/>
    <w:rsid w:val="00981A38"/>
    <w:rsid w:val="009957AB"/>
    <w:rsid w:val="009A1EBD"/>
    <w:rsid w:val="009C031A"/>
    <w:rsid w:val="009C7D80"/>
    <w:rsid w:val="009E19C4"/>
    <w:rsid w:val="00A06DF6"/>
    <w:rsid w:val="00A45976"/>
    <w:rsid w:val="00AA20FD"/>
    <w:rsid w:val="00AA32B7"/>
    <w:rsid w:val="00AB312E"/>
    <w:rsid w:val="00AD0A26"/>
    <w:rsid w:val="00AD2D14"/>
    <w:rsid w:val="00AD6582"/>
    <w:rsid w:val="00AE2533"/>
    <w:rsid w:val="00AE2AE2"/>
    <w:rsid w:val="00B026E3"/>
    <w:rsid w:val="00B065A5"/>
    <w:rsid w:val="00B12BCD"/>
    <w:rsid w:val="00B23734"/>
    <w:rsid w:val="00BA5A2D"/>
    <w:rsid w:val="00BA60E7"/>
    <w:rsid w:val="00BC3025"/>
    <w:rsid w:val="00C009CB"/>
    <w:rsid w:val="00C204B6"/>
    <w:rsid w:val="00C31233"/>
    <w:rsid w:val="00C417BB"/>
    <w:rsid w:val="00C51B9D"/>
    <w:rsid w:val="00C56954"/>
    <w:rsid w:val="00C650F4"/>
    <w:rsid w:val="00C77E76"/>
    <w:rsid w:val="00C82BEC"/>
    <w:rsid w:val="00CC2160"/>
    <w:rsid w:val="00CD2710"/>
    <w:rsid w:val="00CE61D8"/>
    <w:rsid w:val="00CF1564"/>
    <w:rsid w:val="00CF5E73"/>
    <w:rsid w:val="00D228A5"/>
    <w:rsid w:val="00D27C2F"/>
    <w:rsid w:val="00D313E3"/>
    <w:rsid w:val="00D3358F"/>
    <w:rsid w:val="00D43BE8"/>
    <w:rsid w:val="00D449BF"/>
    <w:rsid w:val="00D64AD8"/>
    <w:rsid w:val="00D85431"/>
    <w:rsid w:val="00DB0134"/>
    <w:rsid w:val="00DC1339"/>
    <w:rsid w:val="00E061DD"/>
    <w:rsid w:val="00E13704"/>
    <w:rsid w:val="00E17165"/>
    <w:rsid w:val="00E21CE2"/>
    <w:rsid w:val="00E27361"/>
    <w:rsid w:val="00E31106"/>
    <w:rsid w:val="00E513E6"/>
    <w:rsid w:val="00E56632"/>
    <w:rsid w:val="00E65457"/>
    <w:rsid w:val="00E97261"/>
    <w:rsid w:val="00EA6A6E"/>
    <w:rsid w:val="00EF5592"/>
    <w:rsid w:val="00F00002"/>
    <w:rsid w:val="00F01C15"/>
    <w:rsid w:val="00F07756"/>
    <w:rsid w:val="00F110B3"/>
    <w:rsid w:val="00F21178"/>
    <w:rsid w:val="00F63820"/>
    <w:rsid w:val="00F63A89"/>
    <w:rsid w:val="00F672CC"/>
    <w:rsid w:val="00FA780F"/>
    <w:rsid w:val="00FF0309"/>
    <w:rsid w:val="00FF07CD"/>
    <w:rsid w:val="07F149E7"/>
    <w:rsid w:val="24D0ECCF"/>
    <w:rsid w:val="2879E7B0"/>
    <w:rsid w:val="2B6CAC51"/>
    <w:rsid w:val="2C5DB68A"/>
    <w:rsid w:val="4BB3C2AF"/>
    <w:rsid w:val="5C4DE2B4"/>
    <w:rsid w:val="5C86595A"/>
    <w:rsid w:val="69828422"/>
    <w:rsid w:val="6A23CF88"/>
    <w:rsid w:val="71A5E26A"/>
    <w:rsid w:val="76C48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A3D9"/>
  <w15:chartTrackingRefBased/>
  <w15:docId w15:val="{A74F6FFB-E8AC-4E40-88EE-D572F43E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3F"/>
    <w:pPr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A60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C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C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C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C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C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C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6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6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6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C4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0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00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0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1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1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1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AE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AE2"/>
    <w:rPr>
      <w:sz w:val="22"/>
      <w:szCs w:val="22"/>
    </w:rPr>
  </w:style>
  <w:style w:type="paragraph" w:styleId="Poprawka">
    <w:name w:val="Revision"/>
    <w:hidden/>
    <w:uiPriority w:val="99"/>
    <w:semiHidden/>
    <w:rsid w:val="004F0D0F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69D7-5E98-4E66-812B-41667A91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1357</Words>
  <Characters>8174</Characters>
  <Application>Microsoft Office Word</Application>
  <DocSecurity>0</DocSecurity>
  <Lines>181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Morka</dc:creator>
  <cp:keywords/>
  <dc:description/>
  <cp:lastModifiedBy>Aleksandra Morka</cp:lastModifiedBy>
  <cp:revision>13</cp:revision>
  <cp:lastPrinted>2026-01-19T13:35:00Z</cp:lastPrinted>
  <dcterms:created xsi:type="dcterms:W3CDTF">2026-01-29T11:53:00Z</dcterms:created>
  <dcterms:modified xsi:type="dcterms:W3CDTF">2026-02-18T07:57:00Z</dcterms:modified>
</cp:coreProperties>
</file>