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A7D6" w14:textId="77777777" w:rsidR="00E85B05" w:rsidRPr="0055439B" w:rsidRDefault="00E85B05" w:rsidP="00E85B05">
      <w:pPr>
        <w:pStyle w:val="Nagwek1"/>
        <w:rPr>
          <w:sz w:val="22"/>
          <w:szCs w:val="22"/>
        </w:rPr>
      </w:pPr>
      <w:r w:rsidRPr="0055439B">
        <w:rPr>
          <w:noProof/>
        </w:rPr>
        <w:drawing>
          <wp:anchor distT="0" distB="0" distL="114300" distR="114300" simplePos="0" relativeHeight="251659264" behindDoc="0" locked="0" layoutInCell="1" allowOverlap="1" wp14:anchorId="491D0B60" wp14:editId="7E5CA7B8">
            <wp:simplePos x="0" y="0"/>
            <wp:positionH relativeFrom="column">
              <wp:posOffset>-273685</wp:posOffset>
            </wp:positionH>
            <wp:positionV relativeFrom="paragraph">
              <wp:posOffset>-546735</wp:posOffset>
            </wp:positionV>
            <wp:extent cx="1377950" cy="215265"/>
            <wp:effectExtent l="0" t="0" r="0" b="0"/>
            <wp:wrapNone/>
            <wp:docPr id="1" name="Obraz 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lipart&#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215265"/>
                    </a:xfrm>
                    <a:prstGeom prst="rect">
                      <a:avLst/>
                    </a:prstGeom>
                    <a:noFill/>
                  </pic:spPr>
                </pic:pic>
              </a:graphicData>
            </a:graphic>
            <wp14:sizeRelH relativeFrom="margin">
              <wp14:pctWidth>0</wp14:pctWidth>
            </wp14:sizeRelH>
            <wp14:sizeRelV relativeFrom="margin">
              <wp14:pctHeight>0</wp14:pctHeight>
            </wp14:sizeRelV>
          </wp:anchor>
        </w:drawing>
      </w:r>
      <w:r w:rsidRPr="0055439B">
        <w:rPr>
          <w:sz w:val="22"/>
          <w:szCs w:val="22"/>
        </w:rPr>
        <w:t>KOMUNIKAT PRASOWY</w:t>
      </w:r>
    </w:p>
    <w:p w14:paraId="7C7DEE09" w14:textId="54CED389" w:rsidR="00460E11" w:rsidRPr="0055439B" w:rsidRDefault="003E3567" w:rsidP="00E85B05">
      <w:pPr>
        <w:rPr>
          <w:rFonts w:ascii="Arial" w:eastAsia="Times New Roman" w:hAnsi="Arial" w:cs="Arial"/>
          <w:color w:val="44546A" w:themeColor="text2"/>
          <w:sz w:val="18"/>
          <w:szCs w:val="18"/>
          <w:lang w:eastAsia="pl-PL"/>
        </w:rPr>
      </w:pPr>
      <w:r>
        <w:rPr>
          <w:rFonts w:ascii="Arial" w:eastAsia="Times New Roman" w:hAnsi="Arial" w:cs="Arial"/>
          <w:color w:val="44546A" w:themeColor="text2"/>
          <w:sz w:val="18"/>
          <w:szCs w:val="18"/>
          <w:lang w:eastAsia="pl-PL"/>
        </w:rPr>
        <w:t>19</w:t>
      </w:r>
      <w:r w:rsidR="008D2B9F" w:rsidRPr="0055439B">
        <w:rPr>
          <w:rFonts w:ascii="Arial" w:eastAsia="Times New Roman" w:hAnsi="Arial" w:cs="Arial"/>
          <w:color w:val="44546A" w:themeColor="text2"/>
          <w:sz w:val="18"/>
          <w:szCs w:val="18"/>
          <w:lang w:eastAsia="pl-PL"/>
        </w:rPr>
        <w:t>.</w:t>
      </w:r>
      <w:r w:rsidR="0044513A">
        <w:rPr>
          <w:rFonts w:ascii="Arial" w:eastAsia="Times New Roman" w:hAnsi="Arial" w:cs="Arial"/>
          <w:color w:val="44546A" w:themeColor="text2"/>
          <w:sz w:val="18"/>
          <w:szCs w:val="18"/>
          <w:lang w:eastAsia="pl-PL"/>
        </w:rPr>
        <w:t>0</w:t>
      </w:r>
      <w:r>
        <w:rPr>
          <w:rFonts w:ascii="Arial" w:eastAsia="Times New Roman" w:hAnsi="Arial" w:cs="Arial"/>
          <w:color w:val="44546A" w:themeColor="text2"/>
          <w:sz w:val="18"/>
          <w:szCs w:val="18"/>
          <w:lang w:eastAsia="pl-PL"/>
        </w:rPr>
        <w:t>2</w:t>
      </w:r>
      <w:r w:rsidR="008D2B9F" w:rsidRPr="0055439B">
        <w:rPr>
          <w:rFonts w:ascii="Arial" w:eastAsia="Times New Roman" w:hAnsi="Arial" w:cs="Arial"/>
          <w:color w:val="44546A" w:themeColor="text2"/>
          <w:sz w:val="18"/>
          <w:szCs w:val="18"/>
          <w:lang w:eastAsia="pl-PL"/>
        </w:rPr>
        <w:t>.202</w:t>
      </w:r>
      <w:r w:rsidR="0044513A">
        <w:rPr>
          <w:rFonts w:ascii="Arial" w:eastAsia="Times New Roman" w:hAnsi="Arial" w:cs="Arial"/>
          <w:color w:val="44546A" w:themeColor="text2"/>
          <w:sz w:val="18"/>
          <w:szCs w:val="18"/>
          <w:lang w:eastAsia="pl-PL"/>
        </w:rPr>
        <w:t>6</w:t>
      </w:r>
    </w:p>
    <w:p w14:paraId="7CB17C86" w14:textId="1D96193F" w:rsidR="003E3567" w:rsidRPr="007B04CB" w:rsidRDefault="003E3567" w:rsidP="003E3567">
      <w:pPr>
        <w:jc w:val="both"/>
        <w:rPr>
          <w:rFonts w:ascii="Arial" w:hAnsi="Arial" w:cs="Arial"/>
          <w:sz w:val="28"/>
          <w:szCs w:val="28"/>
        </w:rPr>
      </w:pPr>
      <w:r w:rsidRPr="007B04CB">
        <w:rPr>
          <w:rFonts w:ascii="Arial" w:hAnsi="Arial" w:cs="Arial"/>
          <w:b/>
          <w:bCs/>
          <w:sz w:val="28"/>
          <w:szCs w:val="28"/>
        </w:rPr>
        <w:t xml:space="preserve">Bank Pekao przyjął Plan Dekarbonizacji Grupy Kapitałowej </w:t>
      </w:r>
      <w:r>
        <w:rPr>
          <w:rFonts w:ascii="Arial" w:hAnsi="Arial" w:cs="Arial"/>
          <w:b/>
          <w:bCs/>
          <w:sz w:val="28"/>
          <w:szCs w:val="28"/>
        </w:rPr>
        <w:br/>
      </w:r>
      <w:r w:rsidRPr="007B04CB">
        <w:rPr>
          <w:rFonts w:ascii="Arial" w:hAnsi="Arial" w:cs="Arial"/>
          <w:b/>
          <w:bCs/>
          <w:sz w:val="28"/>
          <w:szCs w:val="28"/>
        </w:rPr>
        <w:t>w odpowiedzi na wyzwania klimatyczne i regulacyjne</w:t>
      </w:r>
    </w:p>
    <w:p w14:paraId="526D774B" w14:textId="41396B7E" w:rsidR="003E3567" w:rsidRPr="007B04CB" w:rsidRDefault="003E3567" w:rsidP="003E3567">
      <w:pPr>
        <w:jc w:val="both"/>
        <w:rPr>
          <w:rFonts w:ascii="Arial" w:hAnsi="Arial" w:cs="Arial"/>
          <w:b/>
          <w:bCs/>
        </w:rPr>
      </w:pPr>
      <w:r w:rsidRPr="007B04CB">
        <w:rPr>
          <w:rFonts w:ascii="Arial" w:hAnsi="Arial" w:cs="Arial"/>
          <w:b/>
          <w:bCs/>
        </w:rPr>
        <w:t xml:space="preserve">Zarząd Banku Pekao S.A. zatwierdził Plan Dekarbonizacji Grupy Kapitałowej, który wspiera realizację długoterminowych celów Porozumienia Paryskiego oraz wzmacnia zarządzanie ryzykiem klimatycznym w działalności banku. Dokument stanowi integralny element strategii biznesowej </w:t>
      </w:r>
      <w:r>
        <w:rPr>
          <w:rFonts w:ascii="Arial" w:hAnsi="Arial" w:cs="Arial"/>
          <w:b/>
          <w:bCs/>
        </w:rPr>
        <w:t>banku</w:t>
      </w:r>
      <w:r w:rsidRPr="007B04CB">
        <w:rPr>
          <w:rFonts w:ascii="Arial" w:hAnsi="Arial" w:cs="Arial"/>
          <w:b/>
          <w:bCs/>
        </w:rPr>
        <w:t xml:space="preserve"> oraz systemu zarządzania ryzykiem ESG.</w:t>
      </w:r>
    </w:p>
    <w:p w14:paraId="4C86644B" w14:textId="77777777" w:rsidR="003E3567" w:rsidRPr="007B04CB" w:rsidRDefault="003E3567" w:rsidP="003E3567">
      <w:pPr>
        <w:jc w:val="both"/>
        <w:rPr>
          <w:rFonts w:ascii="Arial" w:hAnsi="Arial" w:cs="Arial"/>
        </w:rPr>
      </w:pPr>
      <w:r w:rsidRPr="007B04CB">
        <w:rPr>
          <w:rFonts w:ascii="Arial" w:hAnsi="Arial" w:cs="Arial"/>
        </w:rPr>
        <w:t xml:space="preserve">Plan Dekarbonizacji obejmuje m.in. strategiczne kształtowanie struktury portfela, rozwój tzw. zielonego finansowania oraz ograniczanie własnego śladu węglowego. Bank wzmacnia swoją rolę jako odpowiedzialnej instytucji finansowej, koncentrując się na dwóch priorytetowych obszarach portfela kredytowego: sektorze elektroenergetycznym oraz kredytach na nieruchomości mieszkaniowe, jak również na operacjach własnych banku. </w:t>
      </w:r>
    </w:p>
    <w:p w14:paraId="5AC2683D" w14:textId="04F23820" w:rsidR="003E3567" w:rsidRPr="007B04CB" w:rsidRDefault="003E3567" w:rsidP="003E3567">
      <w:pPr>
        <w:jc w:val="both"/>
        <w:rPr>
          <w:rFonts w:ascii="Arial" w:hAnsi="Arial" w:cs="Arial"/>
          <w:i/>
          <w:iCs/>
        </w:rPr>
      </w:pPr>
      <w:r w:rsidRPr="007B04CB">
        <w:rPr>
          <w:rFonts w:ascii="Arial" w:hAnsi="Arial" w:cs="Arial"/>
        </w:rPr>
        <w:t xml:space="preserve">– </w:t>
      </w:r>
      <w:r w:rsidRPr="007B04CB">
        <w:rPr>
          <w:rFonts w:ascii="Arial" w:hAnsi="Arial" w:cs="Arial"/>
          <w:i/>
          <w:iCs/>
        </w:rPr>
        <w:t>Plan Dekarbonizacji to dla nas nie tylko odpowiedź na wymogi regulacyjne, ale przede wszystkim narzędzie realnego zarządzania ryzykiem klimatycznym i towarzyszenia naszym klientom w procesie transformacji. Konsekwentnie inwestujemy w zielone projekty, rozwijamy ofertę niskoemisyjną i budujemy długoterminową odporność naszego portfela. Chcemy być aktywnym partnerem polskiej transformacji energetycznej i mieszkaniowej</w:t>
      </w:r>
      <w:r w:rsidRPr="007B04CB">
        <w:rPr>
          <w:rFonts w:ascii="Arial" w:hAnsi="Arial" w:cs="Arial"/>
        </w:rPr>
        <w:t xml:space="preserve"> – mówi Marcin Gadomski</w:t>
      </w:r>
      <w:r>
        <w:rPr>
          <w:rFonts w:ascii="Arial" w:hAnsi="Arial" w:cs="Arial"/>
        </w:rPr>
        <w:t xml:space="preserve">, wiceprezes Banku Pekao S.A. nadzorujący Pion Ryzyka. </w:t>
      </w:r>
    </w:p>
    <w:p w14:paraId="6F25C193" w14:textId="77777777" w:rsidR="003E3567" w:rsidRPr="007B04CB" w:rsidRDefault="003E3567" w:rsidP="003E3567">
      <w:pPr>
        <w:jc w:val="both"/>
        <w:rPr>
          <w:rFonts w:ascii="Arial" w:hAnsi="Arial" w:cs="Arial"/>
        </w:rPr>
      </w:pPr>
      <w:r w:rsidRPr="007B04CB">
        <w:rPr>
          <w:rFonts w:ascii="Arial" w:hAnsi="Arial" w:cs="Arial"/>
          <w:b/>
          <w:bCs/>
        </w:rPr>
        <w:t>Branża elektroenergetyczna</w:t>
      </w:r>
    </w:p>
    <w:p w14:paraId="1680274E" w14:textId="77777777" w:rsidR="003E3567" w:rsidRPr="007B04CB" w:rsidRDefault="003E3567" w:rsidP="003E3567">
      <w:pPr>
        <w:jc w:val="both"/>
        <w:rPr>
          <w:rFonts w:ascii="Arial" w:hAnsi="Arial" w:cs="Arial"/>
        </w:rPr>
      </w:pPr>
      <w:r w:rsidRPr="007B04CB">
        <w:rPr>
          <w:rFonts w:ascii="Arial" w:hAnsi="Arial" w:cs="Arial"/>
        </w:rPr>
        <w:t>W obszarze elektroenergetyki bank zakłada w 2030 roku redukcję intensywności emisji gazów cieplarnianych (GHG) o 39,5 proc. względem 2025 roku w oparciu o ścieżkę dekarbonizacyjną „Net Zero 2050” Międzynarodowej Agencji Energetycznej. Realizacja tego celu opiera się na zwiększaniu finansowania technologii zeroemisyjnych, rozwoju finansowania gazu ziemnego oraz rezygnacji z nowego finansowania projektów opartych na węglu i ropie naftowej.</w:t>
      </w:r>
    </w:p>
    <w:p w14:paraId="4D709B66" w14:textId="1248873B" w:rsidR="003E3567" w:rsidRPr="007B04CB" w:rsidRDefault="003E3567" w:rsidP="003E3567">
      <w:pPr>
        <w:jc w:val="both"/>
        <w:rPr>
          <w:rFonts w:ascii="Arial" w:hAnsi="Arial" w:cs="Arial"/>
        </w:rPr>
      </w:pPr>
      <w:r w:rsidRPr="007B04CB">
        <w:rPr>
          <w:rFonts w:ascii="Arial" w:hAnsi="Arial" w:cs="Arial"/>
        </w:rPr>
        <w:t xml:space="preserve">Plan Dekarbonizacji zakłada zwiększenie zaangażowania Banku </w:t>
      </w:r>
      <w:r>
        <w:rPr>
          <w:rFonts w:ascii="Arial" w:hAnsi="Arial" w:cs="Arial"/>
        </w:rPr>
        <w:t xml:space="preserve">Pekao </w:t>
      </w:r>
      <w:r w:rsidRPr="007B04CB">
        <w:rPr>
          <w:rFonts w:ascii="Arial" w:hAnsi="Arial" w:cs="Arial"/>
        </w:rPr>
        <w:t xml:space="preserve">w finansowanie technologii przejściowych opartych na gazie ziemnym do 24,7 proc. portfela sektora elektroenergetycznego do 2030 roku. </w:t>
      </w:r>
    </w:p>
    <w:p w14:paraId="74067D81" w14:textId="77777777" w:rsidR="003E3567" w:rsidRPr="007B04CB" w:rsidRDefault="003E3567" w:rsidP="003E3567">
      <w:pPr>
        <w:jc w:val="both"/>
        <w:rPr>
          <w:rFonts w:ascii="Arial" w:hAnsi="Arial" w:cs="Arial"/>
        </w:rPr>
      </w:pPr>
      <w:r w:rsidRPr="007B04CB">
        <w:rPr>
          <w:rFonts w:ascii="Arial" w:hAnsi="Arial" w:cs="Arial"/>
          <w:b/>
          <w:bCs/>
        </w:rPr>
        <w:t>Kredyty hipoteczne</w:t>
      </w:r>
    </w:p>
    <w:p w14:paraId="3809BBD2" w14:textId="77777777" w:rsidR="003E3567" w:rsidRPr="007B04CB" w:rsidRDefault="003E3567" w:rsidP="003E3567">
      <w:pPr>
        <w:jc w:val="both"/>
        <w:rPr>
          <w:rFonts w:ascii="Arial" w:hAnsi="Arial" w:cs="Arial"/>
        </w:rPr>
      </w:pPr>
      <w:r w:rsidRPr="007B04CB">
        <w:rPr>
          <w:rFonts w:ascii="Arial" w:hAnsi="Arial" w:cs="Arial"/>
        </w:rPr>
        <w:t>W obszarze kredytów hipotecznych plan przewiduje redukcję intensywności emisji o 43,4 proc. do 2030 roku względem roku 2025 oraz systematyczny wzrost udziału finansowania nieruchomości energooszczędnych i wysoce energooszczędnych, które mają stanowić 60 proc. portfela w 2030 roku. Bank zamierza również ograniczać ekspozycję na nieruchomości o niskiej efektywności energetycznej oraz wspierać termomodernizację i rozwój nowoczesnego, niskoemisyjnego budownictwa.</w:t>
      </w:r>
    </w:p>
    <w:p w14:paraId="687727CD" w14:textId="77777777" w:rsidR="003E3567" w:rsidRPr="007B04CB" w:rsidRDefault="003E3567" w:rsidP="003E3567">
      <w:pPr>
        <w:jc w:val="both"/>
        <w:rPr>
          <w:rFonts w:ascii="Arial" w:hAnsi="Arial" w:cs="Arial"/>
          <w:b/>
          <w:bCs/>
        </w:rPr>
      </w:pPr>
      <w:r w:rsidRPr="007B04CB">
        <w:rPr>
          <w:rFonts w:ascii="Arial" w:hAnsi="Arial" w:cs="Arial"/>
          <w:b/>
          <w:bCs/>
        </w:rPr>
        <w:t xml:space="preserve">Operacje własne </w:t>
      </w:r>
    </w:p>
    <w:p w14:paraId="3E3ECC5F" w14:textId="4F53BBD3" w:rsidR="003E3567" w:rsidRPr="007B04CB" w:rsidRDefault="003E3567" w:rsidP="003E3567">
      <w:pPr>
        <w:jc w:val="both"/>
        <w:rPr>
          <w:rFonts w:ascii="Arial" w:hAnsi="Arial" w:cs="Arial"/>
        </w:rPr>
      </w:pPr>
      <w:r w:rsidRPr="007B04CB">
        <w:rPr>
          <w:rFonts w:ascii="Arial" w:hAnsi="Arial" w:cs="Arial"/>
        </w:rPr>
        <w:t>Plan Dekarbonizacji obejmuje także operacje własne Banku Pekao S.A. Do 2030 roku bank zakłada ograniczenie emisji gazów cieplarnianych z Zakresu 1 (emisje bezpośrednie) i 2 (emisje pośrednie) o 60,8 proc. w porównaniu z 2024</w:t>
      </w:r>
      <w:r w:rsidRPr="003E3567">
        <w:rPr>
          <w:rFonts w:ascii="Arial" w:hAnsi="Arial" w:cs="Arial"/>
        </w:rPr>
        <w:t xml:space="preserve"> </w:t>
      </w:r>
      <w:r w:rsidRPr="007B04CB">
        <w:rPr>
          <w:rFonts w:ascii="Arial" w:hAnsi="Arial" w:cs="Arial"/>
        </w:rPr>
        <w:t>rokiem. Cel ten będzie realizowany poprzez optymalizację i modernizację powierzchni biurowych, zwiększanie udziału energii pochodzącej z odnawialnych źródeł, rozwój umów typu PPA (długoterminowe umowy zakupu energii elektrycznej ze źródeł odnawialnych) oraz stopniową wymianę floty na pojazdy niskoemisyjne.</w:t>
      </w:r>
    </w:p>
    <w:p w14:paraId="0A333DBE" w14:textId="32F27DCD" w:rsidR="003E3567" w:rsidRPr="007B04CB" w:rsidRDefault="003E3567" w:rsidP="003E3567">
      <w:pPr>
        <w:jc w:val="both"/>
        <w:rPr>
          <w:rFonts w:ascii="Arial" w:hAnsi="Arial" w:cs="Arial"/>
          <w:b/>
          <w:bCs/>
        </w:rPr>
      </w:pPr>
      <w:r w:rsidRPr="007B04CB">
        <w:rPr>
          <w:rFonts w:ascii="Arial" w:hAnsi="Arial" w:cs="Arial"/>
          <w:b/>
          <w:bCs/>
        </w:rPr>
        <w:t>Wsparcie zrównoważonego rozwoju klientów</w:t>
      </w:r>
    </w:p>
    <w:p w14:paraId="6AD464B5" w14:textId="77777777" w:rsidR="003E3567" w:rsidRPr="007B04CB" w:rsidRDefault="003E3567" w:rsidP="003E3567">
      <w:pPr>
        <w:jc w:val="both"/>
        <w:rPr>
          <w:rFonts w:ascii="Arial" w:hAnsi="Arial" w:cs="Arial"/>
        </w:rPr>
      </w:pPr>
      <w:r w:rsidRPr="007B04CB">
        <w:rPr>
          <w:rFonts w:ascii="Arial" w:hAnsi="Arial" w:cs="Arial"/>
        </w:rPr>
        <w:lastRenderedPageBreak/>
        <w:t>W ramach realizacji Strategii 2025–2027 Bank Pekao zakłada przeznaczenie 9 mld zł na finansowanie projektów zielonych. Równolegle rozwijany jest model współpracy z klientami, wspierający ich w procesie transformacji energetycznej i środowiskowej.</w:t>
      </w:r>
    </w:p>
    <w:p w14:paraId="712866EB" w14:textId="77777777" w:rsidR="003E3567" w:rsidRPr="007B04CB" w:rsidRDefault="003E3567" w:rsidP="003E3567">
      <w:pPr>
        <w:jc w:val="both"/>
        <w:rPr>
          <w:rFonts w:ascii="Arial" w:hAnsi="Arial" w:cs="Arial"/>
        </w:rPr>
      </w:pPr>
      <w:r w:rsidRPr="007B04CB">
        <w:rPr>
          <w:rFonts w:ascii="Arial" w:hAnsi="Arial" w:cs="Arial"/>
        </w:rPr>
        <w:t>Tempo realizacji celów pozostaje powiązane z procesem dekarbonizacji polskiej gospodarki oraz wdrażaniem Krajowego Planu w dziedzinie Energii i Klimatu. Plan Dekarbonizacji wspiera ambicję osiągnięcia neutralności klimatycznej Grupy Kapitałowej Pekao do 2050 roku. Jest odpowiedzią na wymogi Dyrektywy w sprawie wymogów kapitałowych (</w:t>
      </w:r>
      <w:r w:rsidRPr="007B04CB">
        <w:rPr>
          <w:rFonts w:ascii="Arial" w:hAnsi="Arial" w:cs="Arial"/>
          <w:i/>
          <w:iCs/>
        </w:rPr>
        <w:t xml:space="preserve">Capital </w:t>
      </w:r>
      <w:proofErr w:type="spellStart"/>
      <w:r w:rsidRPr="007B04CB">
        <w:rPr>
          <w:rFonts w:ascii="Arial" w:hAnsi="Arial" w:cs="Arial"/>
          <w:i/>
          <w:iCs/>
        </w:rPr>
        <w:t>Requirements</w:t>
      </w:r>
      <w:proofErr w:type="spellEnd"/>
      <w:r w:rsidRPr="007B04CB">
        <w:rPr>
          <w:rFonts w:ascii="Arial" w:hAnsi="Arial" w:cs="Arial"/>
          <w:i/>
          <w:iCs/>
        </w:rPr>
        <w:t xml:space="preserve"> Directive</w:t>
      </w:r>
      <w:r w:rsidRPr="007B04CB">
        <w:rPr>
          <w:rFonts w:ascii="Arial" w:hAnsi="Arial" w:cs="Arial"/>
        </w:rPr>
        <w:t>).</w:t>
      </w:r>
    </w:p>
    <w:p w14:paraId="0B84CA9F" w14:textId="3BEDE416" w:rsidR="00DE2BD1" w:rsidRPr="0055439B" w:rsidRDefault="00B92FB9" w:rsidP="00B92FB9">
      <w:pPr>
        <w:jc w:val="both"/>
        <w:rPr>
          <w:rFonts w:ascii="Arial" w:eastAsia="Times New Roman" w:hAnsi="Arial" w:cs="Arial"/>
          <w:sz w:val="18"/>
          <w:szCs w:val="18"/>
          <w:lang w:eastAsia="pl-PL"/>
        </w:rPr>
      </w:pPr>
      <w:r w:rsidRPr="0055439B">
        <w:rPr>
          <w:rFonts w:ascii="Arial" w:hAnsi="Arial" w:cs="Arial"/>
          <w:b/>
          <w:bCs/>
          <w:sz w:val="18"/>
          <w:szCs w:val="18"/>
        </w:rPr>
        <w:t>O Banku Pekao S.A.</w:t>
      </w:r>
    </w:p>
    <w:p w14:paraId="067D383A" w14:textId="77777777" w:rsidR="00477138" w:rsidRPr="0055439B" w:rsidRDefault="00477138" w:rsidP="00477138">
      <w:pPr>
        <w:spacing w:after="0" w:line="276" w:lineRule="auto"/>
        <w:jc w:val="both"/>
        <w:rPr>
          <w:rFonts w:ascii="Arial" w:hAnsi="Arial" w:cs="Arial"/>
          <w:sz w:val="18"/>
          <w:szCs w:val="18"/>
        </w:rPr>
      </w:pPr>
      <w:r w:rsidRPr="0055439B">
        <w:rPr>
          <w:rFonts w:ascii="Arial" w:hAnsi="Arial" w:cs="Arial"/>
          <w:sz w:val="18"/>
          <w:szCs w:val="18"/>
        </w:rPr>
        <w:t xml:space="preserve">Bank Pekao S.A., założony w 1929 r., jest jedną z największych instytucji finansowych w regionie Europy Środkowo-Wschodniej i drugim największym bankiem uniwersalnym w Polsce z 338 mld zł aktywów. Bank posiada drugą co do wielkości sieć oddziałów w kraju. Należy do liderów bankowości korporacyjnej, a jego klientem jest co druga korporacja w Polsce. Zajmuje pierwszoplanową na rynku pozycję w zarządzaniu aktywami, działalności maklerskiej i </w:t>
      </w:r>
      <w:proofErr w:type="spellStart"/>
      <w:r w:rsidRPr="0055439B">
        <w:rPr>
          <w:rFonts w:ascii="Arial" w:hAnsi="Arial" w:cs="Arial"/>
          <w:sz w:val="18"/>
          <w:szCs w:val="18"/>
        </w:rPr>
        <w:t>private</w:t>
      </w:r>
      <w:proofErr w:type="spellEnd"/>
      <w:r w:rsidRPr="0055439B">
        <w:rPr>
          <w:rFonts w:ascii="Arial" w:hAnsi="Arial" w:cs="Arial"/>
          <w:sz w:val="18"/>
          <w:szCs w:val="18"/>
        </w:rPr>
        <w:t xml:space="preserve"> banking. Zróżnicowany profil działalności Banku Pekao jest wspierany przez wiodący na rynku bilans i profil ryzyka odzwierciedlony w najniższych kosztach ryzyka, silnych wskaźnikach kapitałowych i odporności na warunki makroekonomiczne (Pekao </w:t>
      </w:r>
      <w:r w:rsidRPr="0055439B">
        <w:rPr>
          <w:rFonts w:ascii="Arial" w:hAnsi="Arial" w:cs="Arial"/>
          <w:sz w:val="18"/>
          <w:szCs w:val="18"/>
          <w:shd w:val="clear" w:color="auto" w:fill="FFFFFF"/>
        </w:rPr>
        <w:t>okazało się najbardziej odpornym bankiem, zajmując pierwsze miejsce w testach warunków skrajnych, przeprowadzonych przez EBA w 2025 roku wśród 64 banków w Europie</w:t>
      </w:r>
      <w:r w:rsidRPr="0055439B">
        <w:rPr>
          <w:rFonts w:ascii="Arial" w:hAnsi="Arial" w:cs="Arial"/>
          <w:sz w:val="18"/>
          <w:szCs w:val="18"/>
        </w:rPr>
        <w:t xml:space="preserve">). Od 1998 r. Bank Pekao jest notowany na Giełdzie Papierów Wartościowych w Warszawie i uczestniczy w kilku lokalnych (w tym WIG 20 i WIG) oraz międzynarodowych indeksach (w tym MSCI EM, </w:t>
      </w:r>
      <w:proofErr w:type="spellStart"/>
      <w:r w:rsidRPr="0055439B">
        <w:rPr>
          <w:rFonts w:ascii="Arial" w:hAnsi="Arial" w:cs="Arial"/>
          <w:sz w:val="18"/>
          <w:szCs w:val="18"/>
        </w:rPr>
        <w:t>Stoxx</w:t>
      </w:r>
      <w:proofErr w:type="spellEnd"/>
      <w:r w:rsidRPr="0055439B">
        <w:rPr>
          <w:rFonts w:ascii="Arial" w:hAnsi="Arial" w:cs="Arial"/>
          <w:sz w:val="18"/>
          <w:szCs w:val="18"/>
        </w:rPr>
        <w:t xml:space="preserve"> Europe 600 i FTSE </w:t>
      </w:r>
      <w:proofErr w:type="spellStart"/>
      <w:r w:rsidRPr="0055439B">
        <w:rPr>
          <w:rFonts w:ascii="Arial" w:hAnsi="Arial" w:cs="Arial"/>
          <w:sz w:val="18"/>
          <w:szCs w:val="18"/>
        </w:rPr>
        <w:t>Developed</w:t>
      </w:r>
      <w:proofErr w:type="spellEnd"/>
      <w:r w:rsidRPr="0055439B">
        <w:rPr>
          <w:rFonts w:ascii="Arial" w:hAnsi="Arial" w:cs="Arial"/>
          <w:sz w:val="18"/>
          <w:szCs w:val="18"/>
        </w:rPr>
        <w:t>). Pekao jest jedną z najbardziej dywidendowych spółek giełdowych w Polsce na przestrzeni ostatnich 10 lat wypłacił akcjonariuszom łącznie ponad 20 mld zł.</w:t>
      </w:r>
    </w:p>
    <w:p w14:paraId="03712249" w14:textId="516B7B0F" w:rsidR="00E85B05" w:rsidRPr="0055439B" w:rsidRDefault="00E85B05" w:rsidP="00E85B05">
      <w:pPr>
        <w:shd w:val="clear" w:color="auto" w:fill="FFFFFF"/>
        <w:spacing w:before="120" w:after="75"/>
        <w:jc w:val="both"/>
        <w:rPr>
          <w:rFonts w:ascii="Arial" w:eastAsia="Arial" w:hAnsi="Arial" w:cs="Arial"/>
          <w:b/>
          <w:sz w:val="20"/>
          <w:szCs w:val="20"/>
        </w:rPr>
      </w:pPr>
      <w:r w:rsidRPr="0055439B">
        <w:rPr>
          <w:rFonts w:ascii="Arial" w:eastAsia="Arial" w:hAnsi="Arial" w:cs="Arial"/>
          <w:b/>
          <w:sz w:val="20"/>
          <w:szCs w:val="20"/>
        </w:rPr>
        <w:t>Kontakt dla mediów</w:t>
      </w:r>
    </w:p>
    <w:p w14:paraId="263CF694" w14:textId="77777777" w:rsidR="00E85B05" w:rsidRPr="0055439B" w:rsidRDefault="00E85B05" w:rsidP="00E85B05">
      <w:pPr>
        <w:spacing w:after="0" w:line="240" w:lineRule="auto"/>
        <w:jc w:val="both"/>
        <w:rPr>
          <w:rFonts w:ascii="Arial" w:eastAsia="Arial" w:hAnsi="Arial" w:cs="Arial"/>
          <w:b/>
          <w:color w:val="000000"/>
          <w:sz w:val="18"/>
          <w:szCs w:val="18"/>
        </w:rPr>
      </w:pPr>
      <w:r w:rsidRPr="0055439B">
        <w:rPr>
          <w:rFonts w:ascii="Arial" w:eastAsia="Arial" w:hAnsi="Arial" w:cs="Arial"/>
          <w:b/>
          <w:color w:val="000000"/>
          <w:sz w:val="18"/>
          <w:szCs w:val="18"/>
        </w:rPr>
        <w:t xml:space="preserve">Paweł Jurek </w:t>
      </w:r>
    </w:p>
    <w:p w14:paraId="0BCC5E1E" w14:textId="77777777" w:rsidR="00E85B05" w:rsidRPr="0055439B" w:rsidRDefault="00E85B05" w:rsidP="00E85B05">
      <w:pPr>
        <w:spacing w:after="0" w:line="240" w:lineRule="auto"/>
        <w:jc w:val="both"/>
        <w:rPr>
          <w:rFonts w:ascii="Arial" w:eastAsia="Arial" w:hAnsi="Arial" w:cs="Arial"/>
          <w:b/>
          <w:color w:val="000000"/>
          <w:sz w:val="18"/>
          <w:szCs w:val="18"/>
        </w:rPr>
      </w:pPr>
      <w:r w:rsidRPr="0055439B">
        <w:rPr>
          <w:rFonts w:ascii="Arial" w:eastAsia="Arial" w:hAnsi="Arial" w:cs="Arial"/>
          <w:color w:val="000000"/>
          <w:sz w:val="18"/>
          <w:szCs w:val="18"/>
        </w:rPr>
        <w:t>rzecznik prasowy</w:t>
      </w:r>
    </w:p>
    <w:p w14:paraId="3A4349EA" w14:textId="77777777" w:rsidR="00E85B05" w:rsidRPr="0055439B" w:rsidRDefault="00E85B05" w:rsidP="00E85B05">
      <w:pPr>
        <w:spacing w:after="0" w:line="240" w:lineRule="auto"/>
        <w:jc w:val="both"/>
        <w:rPr>
          <w:rFonts w:ascii="Arial" w:eastAsia="Arial" w:hAnsi="Arial" w:cs="Arial"/>
          <w:color w:val="000000"/>
          <w:sz w:val="18"/>
          <w:szCs w:val="18"/>
          <w:lang w:val="de-DE"/>
        </w:rPr>
      </w:pPr>
      <w:r w:rsidRPr="0055439B">
        <w:rPr>
          <w:rFonts w:ascii="Arial" w:eastAsia="Arial" w:hAnsi="Arial" w:cs="Arial"/>
          <w:color w:val="000000"/>
          <w:sz w:val="18"/>
          <w:szCs w:val="18"/>
          <w:lang w:val="de-DE"/>
        </w:rPr>
        <w:t xml:space="preserve">Bank Pekao S.A. </w:t>
      </w:r>
    </w:p>
    <w:p w14:paraId="42776582" w14:textId="77777777" w:rsidR="00E85B05" w:rsidRPr="0055439B" w:rsidRDefault="00E85B05" w:rsidP="00E85B05">
      <w:pPr>
        <w:spacing w:after="0" w:line="240" w:lineRule="auto"/>
        <w:jc w:val="both"/>
        <w:rPr>
          <w:rFonts w:ascii="Arial" w:eastAsia="Arial" w:hAnsi="Arial" w:cs="Arial"/>
          <w:color w:val="000000"/>
          <w:sz w:val="18"/>
          <w:szCs w:val="18"/>
        </w:rPr>
      </w:pPr>
      <w:r w:rsidRPr="0055439B">
        <w:rPr>
          <w:rFonts w:ascii="Arial" w:eastAsia="Arial" w:hAnsi="Arial" w:cs="Arial"/>
          <w:color w:val="000000"/>
          <w:sz w:val="18"/>
          <w:szCs w:val="18"/>
          <w:lang w:val="de-DE"/>
        </w:rPr>
        <w:t xml:space="preserve">tel. </w:t>
      </w:r>
      <w:proofErr w:type="spellStart"/>
      <w:r w:rsidRPr="0055439B">
        <w:rPr>
          <w:rFonts w:ascii="Arial" w:eastAsia="Arial" w:hAnsi="Arial" w:cs="Arial"/>
          <w:color w:val="000000"/>
          <w:sz w:val="18"/>
          <w:szCs w:val="18"/>
          <w:lang w:val="de-DE"/>
        </w:rPr>
        <w:t>kom</w:t>
      </w:r>
      <w:proofErr w:type="spellEnd"/>
      <w:r w:rsidRPr="0055439B">
        <w:rPr>
          <w:rFonts w:ascii="Arial" w:eastAsia="Arial" w:hAnsi="Arial" w:cs="Arial"/>
          <w:color w:val="000000"/>
          <w:sz w:val="18"/>
          <w:szCs w:val="18"/>
          <w:lang w:val="de-DE"/>
        </w:rPr>
        <w:t xml:space="preserve">. </w:t>
      </w:r>
      <w:r w:rsidRPr="0055439B">
        <w:rPr>
          <w:rFonts w:ascii="Arial" w:eastAsia="Arial" w:hAnsi="Arial" w:cs="Arial"/>
          <w:color w:val="000000"/>
          <w:sz w:val="18"/>
          <w:szCs w:val="18"/>
        </w:rPr>
        <w:t>+48 571 398 741</w:t>
      </w:r>
    </w:p>
    <w:p w14:paraId="797DFB59" w14:textId="77777777" w:rsidR="00E85B05" w:rsidRPr="0055439B" w:rsidRDefault="00E85B05" w:rsidP="00E85B05">
      <w:pPr>
        <w:spacing w:after="0" w:line="240" w:lineRule="auto"/>
        <w:jc w:val="both"/>
        <w:rPr>
          <w:rFonts w:ascii="Arial" w:hAnsi="Arial" w:cs="Arial"/>
        </w:rPr>
      </w:pPr>
      <w:hyperlink r:id="rId9" w:history="1">
        <w:r w:rsidRPr="0055439B">
          <w:rPr>
            <w:rStyle w:val="Hipercze"/>
            <w:rFonts w:ascii="Arial" w:eastAsia="Arial" w:hAnsi="Arial" w:cs="Arial"/>
            <w:sz w:val="18"/>
            <w:szCs w:val="18"/>
          </w:rPr>
          <w:t>media@pekao.com.pl</w:t>
        </w:r>
      </w:hyperlink>
    </w:p>
    <w:p w14:paraId="2942E0CF" w14:textId="535E8A08" w:rsidR="00371A8B" w:rsidRPr="0055439B" w:rsidRDefault="00E85B05" w:rsidP="00E85B05">
      <w:pPr>
        <w:jc w:val="both"/>
        <w:rPr>
          <w:rFonts w:ascii="Arial" w:hAnsi="Arial" w:cs="Arial"/>
        </w:rPr>
      </w:pPr>
      <w:hyperlink r:id="rId10" w:history="1">
        <w:r w:rsidRPr="0055439B">
          <w:rPr>
            <w:rStyle w:val="Hipercze"/>
            <w:rFonts w:ascii="Arial" w:hAnsi="Arial" w:cs="Arial"/>
            <w:sz w:val="18"/>
            <w:szCs w:val="18"/>
          </w:rPr>
          <w:t>Biuro Prasowe | Bank Pekao S.A.</w:t>
        </w:r>
      </w:hyperlink>
    </w:p>
    <w:sectPr w:rsidR="00371A8B" w:rsidRPr="005543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1C23" w14:textId="77777777" w:rsidR="0037422E" w:rsidRDefault="0037422E" w:rsidP="000810F3">
      <w:pPr>
        <w:spacing w:after="0" w:line="240" w:lineRule="auto"/>
      </w:pPr>
      <w:r>
        <w:separator/>
      </w:r>
    </w:p>
  </w:endnote>
  <w:endnote w:type="continuationSeparator" w:id="0">
    <w:p w14:paraId="682269D2" w14:textId="77777777" w:rsidR="0037422E" w:rsidRDefault="0037422E" w:rsidP="0008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fia Pro">
    <w:altName w:val="Calibri"/>
    <w:panose1 w:val="00000000000000000000"/>
    <w:charset w:val="00"/>
    <w:family w:val="modern"/>
    <w:notTrueType/>
    <w:pitch w:val="variable"/>
    <w:sig w:usb0="A00002EF" w:usb1="5000E07B"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3BBA" w14:textId="77777777" w:rsidR="0037422E" w:rsidRDefault="0037422E" w:rsidP="000810F3">
      <w:pPr>
        <w:spacing w:after="0" w:line="240" w:lineRule="auto"/>
      </w:pPr>
      <w:r>
        <w:separator/>
      </w:r>
    </w:p>
  </w:footnote>
  <w:footnote w:type="continuationSeparator" w:id="0">
    <w:p w14:paraId="2CD289CF" w14:textId="77777777" w:rsidR="0037422E" w:rsidRDefault="0037422E" w:rsidP="0008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F5F"/>
    <w:multiLevelType w:val="hybridMultilevel"/>
    <w:tmpl w:val="DFA6916E"/>
    <w:lvl w:ilvl="0" w:tplc="8CE6CED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506BB9"/>
    <w:multiLevelType w:val="hybridMultilevel"/>
    <w:tmpl w:val="E3EECDC2"/>
    <w:lvl w:ilvl="0" w:tplc="2B92E7AA">
      <w:start w:val="1"/>
      <w:numFmt w:val="decimal"/>
      <w:lvlText w:val="%1)"/>
      <w:lvlJc w:val="left"/>
      <w:pPr>
        <w:ind w:left="720" w:hanging="360"/>
      </w:pPr>
      <w:rPr>
        <w:rFonts w:ascii="Times New Roman" w:eastAsiaTheme="minorHAnsi" w:hAnsi="Times New Roman"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36223B"/>
    <w:multiLevelType w:val="hybridMultilevel"/>
    <w:tmpl w:val="D6480F7C"/>
    <w:lvl w:ilvl="0" w:tplc="5EB48226">
      <w:start w:val="1"/>
      <w:numFmt w:val="decimal"/>
      <w:lvlText w:val="%1."/>
      <w:lvlJc w:val="left"/>
      <w:pPr>
        <w:ind w:left="1020" w:hanging="360"/>
      </w:pPr>
    </w:lvl>
    <w:lvl w:ilvl="1" w:tplc="8C367AD2">
      <w:start w:val="1"/>
      <w:numFmt w:val="decimal"/>
      <w:lvlText w:val="%2."/>
      <w:lvlJc w:val="left"/>
      <w:pPr>
        <w:ind w:left="1020" w:hanging="360"/>
      </w:pPr>
    </w:lvl>
    <w:lvl w:ilvl="2" w:tplc="46FA5B8E">
      <w:start w:val="1"/>
      <w:numFmt w:val="decimal"/>
      <w:lvlText w:val="%3."/>
      <w:lvlJc w:val="left"/>
      <w:pPr>
        <w:ind w:left="1020" w:hanging="360"/>
      </w:pPr>
    </w:lvl>
    <w:lvl w:ilvl="3" w:tplc="EFBC9CFE">
      <w:start w:val="1"/>
      <w:numFmt w:val="decimal"/>
      <w:lvlText w:val="%4."/>
      <w:lvlJc w:val="left"/>
      <w:pPr>
        <w:ind w:left="1020" w:hanging="360"/>
      </w:pPr>
    </w:lvl>
    <w:lvl w:ilvl="4" w:tplc="5B006692">
      <w:start w:val="1"/>
      <w:numFmt w:val="decimal"/>
      <w:lvlText w:val="%5."/>
      <w:lvlJc w:val="left"/>
      <w:pPr>
        <w:ind w:left="1020" w:hanging="360"/>
      </w:pPr>
    </w:lvl>
    <w:lvl w:ilvl="5" w:tplc="8B385518">
      <w:start w:val="1"/>
      <w:numFmt w:val="decimal"/>
      <w:lvlText w:val="%6."/>
      <w:lvlJc w:val="left"/>
      <w:pPr>
        <w:ind w:left="1020" w:hanging="360"/>
      </w:pPr>
    </w:lvl>
    <w:lvl w:ilvl="6" w:tplc="0948920E">
      <w:start w:val="1"/>
      <w:numFmt w:val="decimal"/>
      <w:lvlText w:val="%7."/>
      <w:lvlJc w:val="left"/>
      <w:pPr>
        <w:ind w:left="1020" w:hanging="360"/>
      </w:pPr>
    </w:lvl>
    <w:lvl w:ilvl="7" w:tplc="A6E2D1E6">
      <w:start w:val="1"/>
      <w:numFmt w:val="decimal"/>
      <w:lvlText w:val="%8."/>
      <w:lvlJc w:val="left"/>
      <w:pPr>
        <w:ind w:left="1020" w:hanging="360"/>
      </w:pPr>
    </w:lvl>
    <w:lvl w:ilvl="8" w:tplc="00703022">
      <w:start w:val="1"/>
      <w:numFmt w:val="decimal"/>
      <w:lvlText w:val="%9."/>
      <w:lvlJc w:val="left"/>
      <w:pPr>
        <w:ind w:left="1020" w:hanging="360"/>
      </w:pPr>
    </w:lvl>
  </w:abstractNum>
  <w:abstractNum w:abstractNumId="3" w15:restartNumberingAfterBreak="0">
    <w:nsid w:val="191D2168"/>
    <w:multiLevelType w:val="hybridMultilevel"/>
    <w:tmpl w:val="4CC216A0"/>
    <w:lvl w:ilvl="0" w:tplc="579A4192">
      <w:start w:val="1"/>
      <w:numFmt w:val="lowerLetter"/>
      <w:lvlText w:val="%1)"/>
      <w:lvlJc w:val="left"/>
      <w:pPr>
        <w:ind w:left="634" w:hanging="360"/>
      </w:pPr>
      <w:rPr>
        <w:rFonts w:ascii="Times New Roman" w:eastAsiaTheme="minorHAnsi" w:hAnsi="Times New Roman" w:cs="Times New Roman" w:hint="default"/>
        <w:sz w:val="20"/>
      </w:rPr>
    </w:lvl>
    <w:lvl w:ilvl="1" w:tplc="04150019">
      <w:start w:val="1"/>
      <w:numFmt w:val="lowerLetter"/>
      <w:lvlText w:val="%2."/>
      <w:lvlJc w:val="left"/>
      <w:pPr>
        <w:ind w:left="1354" w:hanging="360"/>
      </w:p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start w:val="1"/>
      <w:numFmt w:val="lowerLetter"/>
      <w:lvlText w:val="%5."/>
      <w:lvlJc w:val="left"/>
      <w:pPr>
        <w:ind w:left="3514" w:hanging="360"/>
      </w:pPr>
    </w:lvl>
    <w:lvl w:ilvl="5" w:tplc="0415001B">
      <w:start w:val="1"/>
      <w:numFmt w:val="lowerRoman"/>
      <w:lvlText w:val="%6."/>
      <w:lvlJc w:val="right"/>
      <w:pPr>
        <w:ind w:left="4234" w:hanging="180"/>
      </w:pPr>
    </w:lvl>
    <w:lvl w:ilvl="6" w:tplc="0415000F">
      <w:start w:val="1"/>
      <w:numFmt w:val="decimal"/>
      <w:lvlText w:val="%7."/>
      <w:lvlJc w:val="left"/>
      <w:pPr>
        <w:ind w:left="4954" w:hanging="360"/>
      </w:pPr>
    </w:lvl>
    <w:lvl w:ilvl="7" w:tplc="04150019">
      <w:start w:val="1"/>
      <w:numFmt w:val="lowerLetter"/>
      <w:lvlText w:val="%8."/>
      <w:lvlJc w:val="left"/>
      <w:pPr>
        <w:ind w:left="5674" w:hanging="360"/>
      </w:pPr>
    </w:lvl>
    <w:lvl w:ilvl="8" w:tplc="0415001B">
      <w:start w:val="1"/>
      <w:numFmt w:val="lowerRoman"/>
      <w:lvlText w:val="%9."/>
      <w:lvlJc w:val="right"/>
      <w:pPr>
        <w:ind w:left="6394" w:hanging="180"/>
      </w:pPr>
    </w:lvl>
  </w:abstractNum>
  <w:abstractNum w:abstractNumId="4" w15:restartNumberingAfterBreak="0">
    <w:nsid w:val="19836BF6"/>
    <w:multiLevelType w:val="hybridMultilevel"/>
    <w:tmpl w:val="3A6E1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D25CF"/>
    <w:multiLevelType w:val="hybridMultilevel"/>
    <w:tmpl w:val="68B68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8959BD"/>
    <w:multiLevelType w:val="hybridMultilevel"/>
    <w:tmpl w:val="DBF60F2C"/>
    <w:lvl w:ilvl="0" w:tplc="596E6280">
      <w:start w:val="1"/>
      <w:numFmt w:val="decimal"/>
      <w:lvlText w:val="%1."/>
      <w:lvlJc w:val="left"/>
      <w:pPr>
        <w:ind w:left="1020" w:hanging="360"/>
      </w:pPr>
    </w:lvl>
    <w:lvl w:ilvl="1" w:tplc="4026850C">
      <w:start w:val="1"/>
      <w:numFmt w:val="decimal"/>
      <w:lvlText w:val="%2."/>
      <w:lvlJc w:val="left"/>
      <w:pPr>
        <w:ind w:left="1020" w:hanging="360"/>
      </w:pPr>
    </w:lvl>
    <w:lvl w:ilvl="2" w:tplc="869EDFD0">
      <w:start w:val="1"/>
      <w:numFmt w:val="decimal"/>
      <w:lvlText w:val="%3."/>
      <w:lvlJc w:val="left"/>
      <w:pPr>
        <w:ind w:left="1020" w:hanging="360"/>
      </w:pPr>
    </w:lvl>
    <w:lvl w:ilvl="3" w:tplc="B3F8B9CC">
      <w:start w:val="1"/>
      <w:numFmt w:val="decimal"/>
      <w:lvlText w:val="%4."/>
      <w:lvlJc w:val="left"/>
      <w:pPr>
        <w:ind w:left="1020" w:hanging="360"/>
      </w:pPr>
    </w:lvl>
    <w:lvl w:ilvl="4" w:tplc="444A192E">
      <w:start w:val="1"/>
      <w:numFmt w:val="decimal"/>
      <w:lvlText w:val="%5."/>
      <w:lvlJc w:val="left"/>
      <w:pPr>
        <w:ind w:left="1020" w:hanging="360"/>
      </w:pPr>
    </w:lvl>
    <w:lvl w:ilvl="5" w:tplc="701C527E">
      <w:start w:val="1"/>
      <w:numFmt w:val="decimal"/>
      <w:lvlText w:val="%6."/>
      <w:lvlJc w:val="left"/>
      <w:pPr>
        <w:ind w:left="1020" w:hanging="360"/>
      </w:pPr>
    </w:lvl>
    <w:lvl w:ilvl="6" w:tplc="2D9299CA">
      <w:start w:val="1"/>
      <w:numFmt w:val="decimal"/>
      <w:lvlText w:val="%7."/>
      <w:lvlJc w:val="left"/>
      <w:pPr>
        <w:ind w:left="1020" w:hanging="360"/>
      </w:pPr>
    </w:lvl>
    <w:lvl w:ilvl="7" w:tplc="542A69CC">
      <w:start w:val="1"/>
      <w:numFmt w:val="decimal"/>
      <w:lvlText w:val="%8."/>
      <w:lvlJc w:val="left"/>
      <w:pPr>
        <w:ind w:left="1020" w:hanging="360"/>
      </w:pPr>
    </w:lvl>
    <w:lvl w:ilvl="8" w:tplc="47D04D92">
      <w:start w:val="1"/>
      <w:numFmt w:val="decimal"/>
      <w:lvlText w:val="%9."/>
      <w:lvlJc w:val="left"/>
      <w:pPr>
        <w:ind w:left="1020" w:hanging="360"/>
      </w:pPr>
    </w:lvl>
  </w:abstractNum>
  <w:abstractNum w:abstractNumId="7" w15:restartNumberingAfterBreak="0">
    <w:nsid w:val="36C60792"/>
    <w:multiLevelType w:val="hybridMultilevel"/>
    <w:tmpl w:val="1ABE48C4"/>
    <w:lvl w:ilvl="0" w:tplc="D5E65A2A">
      <w:start w:val="1"/>
      <w:numFmt w:val="decimal"/>
      <w:lvlText w:val="%1."/>
      <w:lvlJc w:val="left"/>
      <w:pPr>
        <w:ind w:left="1020" w:hanging="360"/>
      </w:pPr>
    </w:lvl>
    <w:lvl w:ilvl="1" w:tplc="91CA7E50">
      <w:start w:val="1"/>
      <w:numFmt w:val="decimal"/>
      <w:lvlText w:val="%2."/>
      <w:lvlJc w:val="left"/>
      <w:pPr>
        <w:ind w:left="1020" w:hanging="360"/>
      </w:pPr>
    </w:lvl>
    <w:lvl w:ilvl="2" w:tplc="4BC2DB98">
      <w:start w:val="1"/>
      <w:numFmt w:val="decimal"/>
      <w:lvlText w:val="%3."/>
      <w:lvlJc w:val="left"/>
      <w:pPr>
        <w:ind w:left="1020" w:hanging="360"/>
      </w:pPr>
    </w:lvl>
    <w:lvl w:ilvl="3" w:tplc="129ADCC0">
      <w:start w:val="1"/>
      <w:numFmt w:val="decimal"/>
      <w:lvlText w:val="%4."/>
      <w:lvlJc w:val="left"/>
      <w:pPr>
        <w:ind w:left="1020" w:hanging="360"/>
      </w:pPr>
    </w:lvl>
    <w:lvl w:ilvl="4" w:tplc="3552EFC8">
      <w:start w:val="1"/>
      <w:numFmt w:val="decimal"/>
      <w:lvlText w:val="%5."/>
      <w:lvlJc w:val="left"/>
      <w:pPr>
        <w:ind w:left="1020" w:hanging="360"/>
      </w:pPr>
    </w:lvl>
    <w:lvl w:ilvl="5" w:tplc="853E3012">
      <w:start w:val="1"/>
      <w:numFmt w:val="decimal"/>
      <w:lvlText w:val="%6."/>
      <w:lvlJc w:val="left"/>
      <w:pPr>
        <w:ind w:left="1020" w:hanging="360"/>
      </w:pPr>
    </w:lvl>
    <w:lvl w:ilvl="6" w:tplc="87A2FAE4">
      <w:start w:val="1"/>
      <w:numFmt w:val="decimal"/>
      <w:lvlText w:val="%7."/>
      <w:lvlJc w:val="left"/>
      <w:pPr>
        <w:ind w:left="1020" w:hanging="360"/>
      </w:pPr>
    </w:lvl>
    <w:lvl w:ilvl="7" w:tplc="95ECF1A8">
      <w:start w:val="1"/>
      <w:numFmt w:val="decimal"/>
      <w:lvlText w:val="%8."/>
      <w:lvlJc w:val="left"/>
      <w:pPr>
        <w:ind w:left="1020" w:hanging="360"/>
      </w:pPr>
    </w:lvl>
    <w:lvl w:ilvl="8" w:tplc="3F60C55E">
      <w:start w:val="1"/>
      <w:numFmt w:val="decimal"/>
      <w:lvlText w:val="%9."/>
      <w:lvlJc w:val="left"/>
      <w:pPr>
        <w:ind w:left="1020" w:hanging="360"/>
      </w:pPr>
    </w:lvl>
  </w:abstractNum>
  <w:abstractNum w:abstractNumId="8" w15:restartNumberingAfterBreak="0">
    <w:nsid w:val="39786756"/>
    <w:multiLevelType w:val="hybridMultilevel"/>
    <w:tmpl w:val="A8ECE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9C3052"/>
    <w:multiLevelType w:val="hybridMultilevel"/>
    <w:tmpl w:val="8A4E54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0C84DC2"/>
    <w:multiLevelType w:val="hybridMultilevel"/>
    <w:tmpl w:val="925EBCF8"/>
    <w:lvl w:ilvl="0" w:tplc="FA902974">
      <w:start w:val="1"/>
      <w:numFmt w:val="decimal"/>
      <w:lvlText w:val="%1."/>
      <w:lvlJc w:val="left"/>
      <w:pPr>
        <w:ind w:left="1020" w:hanging="360"/>
      </w:pPr>
    </w:lvl>
    <w:lvl w:ilvl="1" w:tplc="A224E964">
      <w:start w:val="1"/>
      <w:numFmt w:val="decimal"/>
      <w:lvlText w:val="%2."/>
      <w:lvlJc w:val="left"/>
      <w:pPr>
        <w:ind w:left="1020" w:hanging="360"/>
      </w:pPr>
    </w:lvl>
    <w:lvl w:ilvl="2" w:tplc="2D8E2C9C">
      <w:start w:val="1"/>
      <w:numFmt w:val="decimal"/>
      <w:lvlText w:val="%3."/>
      <w:lvlJc w:val="left"/>
      <w:pPr>
        <w:ind w:left="1020" w:hanging="360"/>
      </w:pPr>
    </w:lvl>
    <w:lvl w:ilvl="3" w:tplc="E3EC810A">
      <w:start w:val="1"/>
      <w:numFmt w:val="decimal"/>
      <w:lvlText w:val="%4."/>
      <w:lvlJc w:val="left"/>
      <w:pPr>
        <w:ind w:left="1020" w:hanging="360"/>
      </w:pPr>
    </w:lvl>
    <w:lvl w:ilvl="4" w:tplc="D8F4C306">
      <w:start w:val="1"/>
      <w:numFmt w:val="decimal"/>
      <w:lvlText w:val="%5."/>
      <w:lvlJc w:val="left"/>
      <w:pPr>
        <w:ind w:left="1020" w:hanging="360"/>
      </w:pPr>
    </w:lvl>
    <w:lvl w:ilvl="5" w:tplc="37A6431A">
      <w:start w:val="1"/>
      <w:numFmt w:val="decimal"/>
      <w:lvlText w:val="%6."/>
      <w:lvlJc w:val="left"/>
      <w:pPr>
        <w:ind w:left="1020" w:hanging="360"/>
      </w:pPr>
    </w:lvl>
    <w:lvl w:ilvl="6" w:tplc="8A52D382">
      <w:start w:val="1"/>
      <w:numFmt w:val="decimal"/>
      <w:lvlText w:val="%7."/>
      <w:lvlJc w:val="left"/>
      <w:pPr>
        <w:ind w:left="1020" w:hanging="360"/>
      </w:pPr>
    </w:lvl>
    <w:lvl w:ilvl="7" w:tplc="A8543F66">
      <w:start w:val="1"/>
      <w:numFmt w:val="decimal"/>
      <w:lvlText w:val="%8."/>
      <w:lvlJc w:val="left"/>
      <w:pPr>
        <w:ind w:left="1020" w:hanging="360"/>
      </w:pPr>
    </w:lvl>
    <w:lvl w:ilvl="8" w:tplc="89F28708">
      <w:start w:val="1"/>
      <w:numFmt w:val="decimal"/>
      <w:lvlText w:val="%9."/>
      <w:lvlJc w:val="left"/>
      <w:pPr>
        <w:ind w:left="1020" w:hanging="360"/>
      </w:pPr>
    </w:lvl>
  </w:abstractNum>
  <w:abstractNum w:abstractNumId="11" w15:restartNumberingAfterBreak="0">
    <w:nsid w:val="52A5460D"/>
    <w:multiLevelType w:val="hybridMultilevel"/>
    <w:tmpl w:val="3C420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BD5A2D"/>
    <w:multiLevelType w:val="hybridMultilevel"/>
    <w:tmpl w:val="5838D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3A5D95"/>
    <w:multiLevelType w:val="hybridMultilevel"/>
    <w:tmpl w:val="F34A0F48"/>
    <w:lvl w:ilvl="0" w:tplc="871A73EC">
      <w:start w:val="1"/>
      <w:numFmt w:val="bullet"/>
      <w:lvlText w:val="●"/>
      <w:lvlJc w:val="left"/>
      <w:pPr>
        <w:tabs>
          <w:tab w:val="num" w:pos="720"/>
        </w:tabs>
        <w:ind w:left="720" w:hanging="360"/>
      </w:pPr>
      <w:rPr>
        <w:rFonts w:ascii="Arial" w:hAnsi="Arial" w:hint="default"/>
      </w:rPr>
    </w:lvl>
    <w:lvl w:ilvl="1" w:tplc="9B96747A">
      <w:start w:val="1"/>
      <w:numFmt w:val="bullet"/>
      <w:lvlText w:val="●"/>
      <w:lvlJc w:val="left"/>
      <w:pPr>
        <w:tabs>
          <w:tab w:val="num" w:pos="1440"/>
        </w:tabs>
        <w:ind w:left="1440" w:hanging="360"/>
      </w:pPr>
      <w:rPr>
        <w:rFonts w:ascii="Arial" w:hAnsi="Arial" w:hint="default"/>
      </w:rPr>
    </w:lvl>
    <w:lvl w:ilvl="2" w:tplc="D6EA607A" w:tentative="1">
      <w:start w:val="1"/>
      <w:numFmt w:val="bullet"/>
      <w:lvlText w:val="●"/>
      <w:lvlJc w:val="left"/>
      <w:pPr>
        <w:tabs>
          <w:tab w:val="num" w:pos="2160"/>
        </w:tabs>
        <w:ind w:left="2160" w:hanging="360"/>
      </w:pPr>
      <w:rPr>
        <w:rFonts w:ascii="Arial" w:hAnsi="Arial" w:hint="default"/>
      </w:rPr>
    </w:lvl>
    <w:lvl w:ilvl="3" w:tplc="B26A28EC" w:tentative="1">
      <w:start w:val="1"/>
      <w:numFmt w:val="bullet"/>
      <w:lvlText w:val="●"/>
      <w:lvlJc w:val="left"/>
      <w:pPr>
        <w:tabs>
          <w:tab w:val="num" w:pos="2880"/>
        </w:tabs>
        <w:ind w:left="2880" w:hanging="360"/>
      </w:pPr>
      <w:rPr>
        <w:rFonts w:ascii="Arial" w:hAnsi="Arial" w:hint="default"/>
      </w:rPr>
    </w:lvl>
    <w:lvl w:ilvl="4" w:tplc="72F4621A" w:tentative="1">
      <w:start w:val="1"/>
      <w:numFmt w:val="bullet"/>
      <w:lvlText w:val="●"/>
      <w:lvlJc w:val="left"/>
      <w:pPr>
        <w:tabs>
          <w:tab w:val="num" w:pos="3600"/>
        </w:tabs>
        <w:ind w:left="3600" w:hanging="360"/>
      </w:pPr>
      <w:rPr>
        <w:rFonts w:ascii="Arial" w:hAnsi="Arial" w:hint="default"/>
      </w:rPr>
    </w:lvl>
    <w:lvl w:ilvl="5" w:tplc="E99C86D0" w:tentative="1">
      <w:start w:val="1"/>
      <w:numFmt w:val="bullet"/>
      <w:lvlText w:val="●"/>
      <w:lvlJc w:val="left"/>
      <w:pPr>
        <w:tabs>
          <w:tab w:val="num" w:pos="4320"/>
        </w:tabs>
        <w:ind w:left="4320" w:hanging="360"/>
      </w:pPr>
      <w:rPr>
        <w:rFonts w:ascii="Arial" w:hAnsi="Arial" w:hint="default"/>
      </w:rPr>
    </w:lvl>
    <w:lvl w:ilvl="6" w:tplc="7A72F5D4" w:tentative="1">
      <w:start w:val="1"/>
      <w:numFmt w:val="bullet"/>
      <w:lvlText w:val="●"/>
      <w:lvlJc w:val="left"/>
      <w:pPr>
        <w:tabs>
          <w:tab w:val="num" w:pos="5040"/>
        </w:tabs>
        <w:ind w:left="5040" w:hanging="360"/>
      </w:pPr>
      <w:rPr>
        <w:rFonts w:ascii="Arial" w:hAnsi="Arial" w:hint="default"/>
      </w:rPr>
    </w:lvl>
    <w:lvl w:ilvl="7" w:tplc="803CE30E" w:tentative="1">
      <w:start w:val="1"/>
      <w:numFmt w:val="bullet"/>
      <w:lvlText w:val="●"/>
      <w:lvlJc w:val="left"/>
      <w:pPr>
        <w:tabs>
          <w:tab w:val="num" w:pos="5760"/>
        </w:tabs>
        <w:ind w:left="5760" w:hanging="360"/>
      </w:pPr>
      <w:rPr>
        <w:rFonts w:ascii="Arial" w:hAnsi="Arial" w:hint="default"/>
      </w:rPr>
    </w:lvl>
    <w:lvl w:ilvl="8" w:tplc="128E57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8725E0"/>
    <w:multiLevelType w:val="hybridMultilevel"/>
    <w:tmpl w:val="56EAB2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E143DCD"/>
    <w:multiLevelType w:val="hybridMultilevel"/>
    <w:tmpl w:val="5A4EE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C70AAB"/>
    <w:multiLevelType w:val="hybridMultilevel"/>
    <w:tmpl w:val="C9AC4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577937"/>
    <w:multiLevelType w:val="hybridMultilevel"/>
    <w:tmpl w:val="45AEA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0765726">
    <w:abstractNumId w:val="17"/>
  </w:num>
  <w:num w:numId="2" w16cid:durableId="1467358553">
    <w:abstractNumId w:val="12"/>
  </w:num>
  <w:num w:numId="3" w16cid:durableId="127625435">
    <w:abstractNumId w:val="8"/>
  </w:num>
  <w:num w:numId="4" w16cid:durableId="1994261083">
    <w:abstractNumId w:val="15"/>
  </w:num>
  <w:num w:numId="5" w16cid:durableId="1688871156">
    <w:abstractNumId w:val="11"/>
  </w:num>
  <w:num w:numId="6" w16cid:durableId="1324317623">
    <w:abstractNumId w:val="14"/>
  </w:num>
  <w:num w:numId="7" w16cid:durableId="1430617992">
    <w:abstractNumId w:val="5"/>
  </w:num>
  <w:num w:numId="8" w16cid:durableId="1322850799">
    <w:abstractNumId w:val="9"/>
  </w:num>
  <w:num w:numId="9" w16cid:durableId="1119492465">
    <w:abstractNumId w:val="13"/>
  </w:num>
  <w:num w:numId="10" w16cid:durableId="1646542160">
    <w:abstractNumId w:val="16"/>
  </w:num>
  <w:num w:numId="11" w16cid:durableId="134152652">
    <w:abstractNumId w:val="4"/>
  </w:num>
  <w:num w:numId="12" w16cid:durableId="1757556213">
    <w:abstractNumId w:val="0"/>
  </w:num>
  <w:num w:numId="13" w16cid:durableId="379868538">
    <w:abstractNumId w:val="6"/>
  </w:num>
  <w:num w:numId="14" w16cid:durableId="1749381510">
    <w:abstractNumId w:val="2"/>
  </w:num>
  <w:num w:numId="15" w16cid:durableId="1454903589">
    <w:abstractNumId w:val="10"/>
  </w:num>
  <w:num w:numId="16" w16cid:durableId="234245217">
    <w:abstractNumId w:val="7"/>
  </w:num>
  <w:num w:numId="17" w16cid:durableId="1649824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05"/>
    <w:rsid w:val="000013A6"/>
    <w:rsid w:val="00006976"/>
    <w:rsid w:val="00007F45"/>
    <w:rsid w:val="00011DC5"/>
    <w:rsid w:val="00012762"/>
    <w:rsid w:val="00013634"/>
    <w:rsid w:val="00016CDF"/>
    <w:rsid w:val="00020C01"/>
    <w:rsid w:val="00023689"/>
    <w:rsid w:val="00030D69"/>
    <w:rsid w:val="0003434D"/>
    <w:rsid w:val="0003673C"/>
    <w:rsid w:val="0003708E"/>
    <w:rsid w:val="00041ECA"/>
    <w:rsid w:val="00051B60"/>
    <w:rsid w:val="00053AAA"/>
    <w:rsid w:val="00056322"/>
    <w:rsid w:val="00057FC2"/>
    <w:rsid w:val="0006062B"/>
    <w:rsid w:val="00062EB3"/>
    <w:rsid w:val="00064144"/>
    <w:rsid w:val="00066E70"/>
    <w:rsid w:val="000810F3"/>
    <w:rsid w:val="000824A8"/>
    <w:rsid w:val="00082EB2"/>
    <w:rsid w:val="00085F2B"/>
    <w:rsid w:val="00087476"/>
    <w:rsid w:val="000916B5"/>
    <w:rsid w:val="00095FA5"/>
    <w:rsid w:val="00096AD2"/>
    <w:rsid w:val="000A519F"/>
    <w:rsid w:val="000B0559"/>
    <w:rsid w:val="000B10BF"/>
    <w:rsid w:val="000B3B87"/>
    <w:rsid w:val="000B5184"/>
    <w:rsid w:val="000C44B6"/>
    <w:rsid w:val="000C53BA"/>
    <w:rsid w:val="000D0394"/>
    <w:rsid w:val="000D2C0A"/>
    <w:rsid w:val="000D4D4E"/>
    <w:rsid w:val="000E3B03"/>
    <w:rsid w:val="000E4BD3"/>
    <w:rsid w:val="000E5C62"/>
    <w:rsid w:val="000F072D"/>
    <w:rsid w:val="0010256D"/>
    <w:rsid w:val="00103E31"/>
    <w:rsid w:val="00104D13"/>
    <w:rsid w:val="0010570E"/>
    <w:rsid w:val="001172E8"/>
    <w:rsid w:val="00124604"/>
    <w:rsid w:val="00124FFB"/>
    <w:rsid w:val="00126AE7"/>
    <w:rsid w:val="001333B0"/>
    <w:rsid w:val="00133BC6"/>
    <w:rsid w:val="00134AB3"/>
    <w:rsid w:val="0014290A"/>
    <w:rsid w:val="00143D95"/>
    <w:rsid w:val="00147D01"/>
    <w:rsid w:val="00153440"/>
    <w:rsid w:val="00155870"/>
    <w:rsid w:val="0016410C"/>
    <w:rsid w:val="0016423C"/>
    <w:rsid w:val="00165488"/>
    <w:rsid w:val="0017060F"/>
    <w:rsid w:val="00170ECA"/>
    <w:rsid w:val="001716D8"/>
    <w:rsid w:val="0017281A"/>
    <w:rsid w:val="001821E7"/>
    <w:rsid w:val="00187820"/>
    <w:rsid w:val="00192133"/>
    <w:rsid w:val="00192D53"/>
    <w:rsid w:val="0019663C"/>
    <w:rsid w:val="0019746C"/>
    <w:rsid w:val="001A1C1E"/>
    <w:rsid w:val="001B2CCF"/>
    <w:rsid w:val="001B2CFF"/>
    <w:rsid w:val="001C1CF2"/>
    <w:rsid w:val="001C7365"/>
    <w:rsid w:val="001D2F03"/>
    <w:rsid w:val="001D3FFB"/>
    <w:rsid w:val="001F67C9"/>
    <w:rsid w:val="002108A0"/>
    <w:rsid w:val="00212F3F"/>
    <w:rsid w:val="00213AD6"/>
    <w:rsid w:val="00221ECB"/>
    <w:rsid w:val="00232F5C"/>
    <w:rsid w:val="00237246"/>
    <w:rsid w:val="0024438E"/>
    <w:rsid w:val="00244DDD"/>
    <w:rsid w:val="002516E5"/>
    <w:rsid w:val="0026424F"/>
    <w:rsid w:val="00271C9B"/>
    <w:rsid w:val="00273812"/>
    <w:rsid w:val="00273D0D"/>
    <w:rsid w:val="00273D30"/>
    <w:rsid w:val="0027749D"/>
    <w:rsid w:val="002779F8"/>
    <w:rsid w:val="002849A4"/>
    <w:rsid w:val="002875F6"/>
    <w:rsid w:val="00297BBB"/>
    <w:rsid w:val="002A49F0"/>
    <w:rsid w:val="002A6D45"/>
    <w:rsid w:val="002B0BD7"/>
    <w:rsid w:val="002B1584"/>
    <w:rsid w:val="002B23EB"/>
    <w:rsid w:val="002B2BFC"/>
    <w:rsid w:val="002B515B"/>
    <w:rsid w:val="002C3701"/>
    <w:rsid w:val="002D4EB1"/>
    <w:rsid w:val="002E3A86"/>
    <w:rsid w:val="002F2239"/>
    <w:rsid w:val="00310377"/>
    <w:rsid w:val="0031675A"/>
    <w:rsid w:val="003173B7"/>
    <w:rsid w:val="003173BE"/>
    <w:rsid w:val="00323705"/>
    <w:rsid w:val="00325E06"/>
    <w:rsid w:val="00331B43"/>
    <w:rsid w:val="00332FFF"/>
    <w:rsid w:val="00333D91"/>
    <w:rsid w:val="0033507B"/>
    <w:rsid w:val="00340314"/>
    <w:rsid w:val="0034260E"/>
    <w:rsid w:val="00345E1C"/>
    <w:rsid w:val="003477D1"/>
    <w:rsid w:val="0035085D"/>
    <w:rsid w:val="00356587"/>
    <w:rsid w:val="00371A8B"/>
    <w:rsid w:val="003726E5"/>
    <w:rsid w:val="0037422E"/>
    <w:rsid w:val="00374DD7"/>
    <w:rsid w:val="0038378C"/>
    <w:rsid w:val="00387987"/>
    <w:rsid w:val="00390E24"/>
    <w:rsid w:val="003A0A75"/>
    <w:rsid w:val="003A776D"/>
    <w:rsid w:val="003B0AAA"/>
    <w:rsid w:val="003B3FF9"/>
    <w:rsid w:val="003B72F3"/>
    <w:rsid w:val="003C7F0C"/>
    <w:rsid w:val="003D0A9B"/>
    <w:rsid w:val="003E3567"/>
    <w:rsid w:val="003E462D"/>
    <w:rsid w:val="003E6A4C"/>
    <w:rsid w:val="003F00CA"/>
    <w:rsid w:val="003F484A"/>
    <w:rsid w:val="003F7130"/>
    <w:rsid w:val="003F7527"/>
    <w:rsid w:val="0040023D"/>
    <w:rsid w:val="0040289D"/>
    <w:rsid w:val="00411571"/>
    <w:rsid w:val="00422823"/>
    <w:rsid w:val="004242E9"/>
    <w:rsid w:val="00431B92"/>
    <w:rsid w:val="004330BA"/>
    <w:rsid w:val="0044513A"/>
    <w:rsid w:val="00446BDC"/>
    <w:rsid w:val="00454968"/>
    <w:rsid w:val="00460E11"/>
    <w:rsid w:val="004612B8"/>
    <w:rsid w:val="004705FB"/>
    <w:rsid w:val="004754E6"/>
    <w:rsid w:val="00477138"/>
    <w:rsid w:val="00480937"/>
    <w:rsid w:val="00481C84"/>
    <w:rsid w:val="00481F53"/>
    <w:rsid w:val="004A6DD9"/>
    <w:rsid w:val="004B7923"/>
    <w:rsid w:val="004D070C"/>
    <w:rsid w:val="004D55B5"/>
    <w:rsid w:val="004E4064"/>
    <w:rsid w:val="004F0AB0"/>
    <w:rsid w:val="004F3338"/>
    <w:rsid w:val="004F44A1"/>
    <w:rsid w:val="005020FA"/>
    <w:rsid w:val="00504E92"/>
    <w:rsid w:val="00510B8E"/>
    <w:rsid w:val="00516104"/>
    <w:rsid w:val="005162CC"/>
    <w:rsid w:val="0052166E"/>
    <w:rsid w:val="005267C5"/>
    <w:rsid w:val="0053016C"/>
    <w:rsid w:val="00536DCD"/>
    <w:rsid w:val="00540EE3"/>
    <w:rsid w:val="005413BF"/>
    <w:rsid w:val="00544413"/>
    <w:rsid w:val="00545DE4"/>
    <w:rsid w:val="0055159A"/>
    <w:rsid w:val="0055439B"/>
    <w:rsid w:val="005571CC"/>
    <w:rsid w:val="00570F50"/>
    <w:rsid w:val="00573005"/>
    <w:rsid w:val="0057394A"/>
    <w:rsid w:val="005760A0"/>
    <w:rsid w:val="005A4C26"/>
    <w:rsid w:val="005B0C69"/>
    <w:rsid w:val="005B1058"/>
    <w:rsid w:val="005B5242"/>
    <w:rsid w:val="005B7638"/>
    <w:rsid w:val="005C4711"/>
    <w:rsid w:val="005D220D"/>
    <w:rsid w:val="005E3224"/>
    <w:rsid w:val="005F7655"/>
    <w:rsid w:val="00607299"/>
    <w:rsid w:val="0060747B"/>
    <w:rsid w:val="00607D52"/>
    <w:rsid w:val="00612ABB"/>
    <w:rsid w:val="0062486F"/>
    <w:rsid w:val="00624F3E"/>
    <w:rsid w:val="0062523B"/>
    <w:rsid w:val="00637C69"/>
    <w:rsid w:val="0064208C"/>
    <w:rsid w:val="00645211"/>
    <w:rsid w:val="00651637"/>
    <w:rsid w:val="00655CC7"/>
    <w:rsid w:val="00660EC2"/>
    <w:rsid w:val="00661073"/>
    <w:rsid w:val="00661E25"/>
    <w:rsid w:val="00662A4D"/>
    <w:rsid w:val="00663F39"/>
    <w:rsid w:val="0066443B"/>
    <w:rsid w:val="0066638A"/>
    <w:rsid w:val="006735C2"/>
    <w:rsid w:val="00675F71"/>
    <w:rsid w:val="0068004E"/>
    <w:rsid w:val="006808F7"/>
    <w:rsid w:val="0069186D"/>
    <w:rsid w:val="006945CD"/>
    <w:rsid w:val="00696E3D"/>
    <w:rsid w:val="006A426B"/>
    <w:rsid w:val="006A68E3"/>
    <w:rsid w:val="006B114F"/>
    <w:rsid w:val="006B3DB9"/>
    <w:rsid w:val="006B4038"/>
    <w:rsid w:val="006B6653"/>
    <w:rsid w:val="006C2548"/>
    <w:rsid w:val="006D5810"/>
    <w:rsid w:val="006E3715"/>
    <w:rsid w:val="006E3AE1"/>
    <w:rsid w:val="006E653B"/>
    <w:rsid w:val="006E7F7F"/>
    <w:rsid w:val="006F3294"/>
    <w:rsid w:val="00706A3D"/>
    <w:rsid w:val="00717349"/>
    <w:rsid w:val="00720665"/>
    <w:rsid w:val="00723041"/>
    <w:rsid w:val="007236F1"/>
    <w:rsid w:val="00726553"/>
    <w:rsid w:val="00731082"/>
    <w:rsid w:val="00740870"/>
    <w:rsid w:val="0074590E"/>
    <w:rsid w:val="0075227F"/>
    <w:rsid w:val="007622CF"/>
    <w:rsid w:val="00770BE2"/>
    <w:rsid w:val="00773088"/>
    <w:rsid w:val="00773983"/>
    <w:rsid w:val="00787402"/>
    <w:rsid w:val="00787B1B"/>
    <w:rsid w:val="007906AB"/>
    <w:rsid w:val="00791E7C"/>
    <w:rsid w:val="00796253"/>
    <w:rsid w:val="007A1C23"/>
    <w:rsid w:val="007A6FCA"/>
    <w:rsid w:val="007B0CF6"/>
    <w:rsid w:val="007B1A3A"/>
    <w:rsid w:val="007B1B2A"/>
    <w:rsid w:val="007C0828"/>
    <w:rsid w:val="007C1185"/>
    <w:rsid w:val="007C214F"/>
    <w:rsid w:val="007E05CF"/>
    <w:rsid w:val="007E5520"/>
    <w:rsid w:val="007E6142"/>
    <w:rsid w:val="007F0252"/>
    <w:rsid w:val="007F3D9E"/>
    <w:rsid w:val="007F7956"/>
    <w:rsid w:val="008031EA"/>
    <w:rsid w:val="0080418B"/>
    <w:rsid w:val="00814B50"/>
    <w:rsid w:val="00814DB5"/>
    <w:rsid w:val="00826F40"/>
    <w:rsid w:val="00831E96"/>
    <w:rsid w:val="00842DC0"/>
    <w:rsid w:val="008433F2"/>
    <w:rsid w:val="00850B94"/>
    <w:rsid w:val="00856C17"/>
    <w:rsid w:val="00860E32"/>
    <w:rsid w:val="008624F1"/>
    <w:rsid w:val="008701A6"/>
    <w:rsid w:val="00871266"/>
    <w:rsid w:val="008712FE"/>
    <w:rsid w:val="00876F38"/>
    <w:rsid w:val="00880486"/>
    <w:rsid w:val="00881D85"/>
    <w:rsid w:val="00884065"/>
    <w:rsid w:val="00885548"/>
    <w:rsid w:val="00887473"/>
    <w:rsid w:val="00887C9A"/>
    <w:rsid w:val="0089305F"/>
    <w:rsid w:val="008A3B80"/>
    <w:rsid w:val="008A5774"/>
    <w:rsid w:val="008A5AD0"/>
    <w:rsid w:val="008A66A3"/>
    <w:rsid w:val="008B43EF"/>
    <w:rsid w:val="008B67BE"/>
    <w:rsid w:val="008C287D"/>
    <w:rsid w:val="008C2BD3"/>
    <w:rsid w:val="008C3298"/>
    <w:rsid w:val="008C3770"/>
    <w:rsid w:val="008C627E"/>
    <w:rsid w:val="008C7C9F"/>
    <w:rsid w:val="008D2B9F"/>
    <w:rsid w:val="008D7690"/>
    <w:rsid w:val="008E587C"/>
    <w:rsid w:val="008E6E72"/>
    <w:rsid w:val="008F0973"/>
    <w:rsid w:val="008F1CC9"/>
    <w:rsid w:val="008F4A28"/>
    <w:rsid w:val="00903FDC"/>
    <w:rsid w:val="00912098"/>
    <w:rsid w:val="0091474C"/>
    <w:rsid w:val="00917FF7"/>
    <w:rsid w:val="00920F8D"/>
    <w:rsid w:val="00925231"/>
    <w:rsid w:val="009252AE"/>
    <w:rsid w:val="00936BB5"/>
    <w:rsid w:val="009421D5"/>
    <w:rsid w:val="00950F1E"/>
    <w:rsid w:val="0096206F"/>
    <w:rsid w:val="00963839"/>
    <w:rsid w:val="00967446"/>
    <w:rsid w:val="0097069E"/>
    <w:rsid w:val="00972CC4"/>
    <w:rsid w:val="00972FA5"/>
    <w:rsid w:val="009827FB"/>
    <w:rsid w:val="0098596F"/>
    <w:rsid w:val="00987CEF"/>
    <w:rsid w:val="00992500"/>
    <w:rsid w:val="00992A56"/>
    <w:rsid w:val="009A23EE"/>
    <w:rsid w:val="009A47F4"/>
    <w:rsid w:val="009B498F"/>
    <w:rsid w:val="009B5DEE"/>
    <w:rsid w:val="009C235D"/>
    <w:rsid w:val="009C36FA"/>
    <w:rsid w:val="009D02D9"/>
    <w:rsid w:val="009F0635"/>
    <w:rsid w:val="009F7D63"/>
    <w:rsid w:val="00A03237"/>
    <w:rsid w:val="00A03C98"/>
    <w:rsid w:val="00A057F9"/>
    <w:rsid w:val="00A10C54"/>
    <w:rsid w:val="00A1427B"/>
    <w:rsid w:val="00A22638"/>
    <w:rsid w:val="00A25E87"/>
    <w:rsid w:val="00A272BB"/>
    <w:rsid w:val="00A272D7"/>
    <w:rsid w:val="00A27C81"/>
    <w:rsid w:val="00A309CB"/>
    <w:rsid w:val="00A402CD"/>
    <w:rsid w:val="00A4289A"/>
    <w:rsid w:val="00A43D3B"/>
    <w:rsid w:val="00A50003"/>
    <w:rsid w:val="00A50199"/>
    <w:rsid w:val="00A5362E"/>
    <w:rsid w:val="00A57218"/>
    <w:rsid w:val="00A601B8"/>
    <w:rsid w:val="00A6221D"/>
    <w:rsid w:val="00A62ECB"/>
    <w:rsid w:val="00A630D4"/>
    <w:rsid w:val="00A6322A"/>
    <w:rsid w:val="00A661DE"/>
    <w:rsid w:val="00A71F65"/>
    <w:rsid w:val="00A72AB9"/>
    <w:rsid w:val="00A75649"/>
    <w:rsid w:val="00A917D0"/>
    <w:rsid w:val="00A97DA9"/>
    <w:rsid w:val="00AA317C"/>
    <w:rsid w:val="00AA51D3"/>
    <w:rsid w:val="00AB1BE1"/>
    <w:rsid w:val="00AB1F3D"/>
    <w:rsid w:val="00AB44E5"/>
    <w:rsid w:val="00AB532D"/>
    <w:rsid w:val="00AB63B6"/>
    <w:rsid w:val="00AC5631"/>
    <w:rsid w:val="00AD37AB"/>
    <w:rsid w:val="00AD4BF1"/>
    <w:rsid w:val="00AD7A33"/>
    <w:rsid w:val="00AE0643"/>
    <w:rsid w:val="00AE1906"/>
    <w:rsid w:val="00AE319F"/>
    <w:rsid w:val="00AF1E89"/>
    <w:rsid w:val="00AF57EC"/>
    <w:rsid w:val="00B1304B"/>
    <w:rsid w:val="00B16514"/>
    <w:rsid w:val="00B175E1"/>
    <w:rsid w:val="00B25D7F"/>
    <w:rsid w:val="00B26CBC"/>
    <w:rsid w:val="00B26E61"/>
    <w:rsid w:val="00B36738"/>
    <w:rsid w:val="00B37652"/>
    <w:rsid w:val="00B421B6"/>
    <w:rsid w:val="00B4551D"/>
    <w:rsid w:val="00B55707"/>
    <w:rsid w:val="00B56060"/>
    <w:rsid w:val="00B627D3"/>
    <w:rsid w:val="00B650C9"/>
    <w:rsid w:val="00B77B9F"/>
    <w:rsid w:val="00B8175E"/>
    <w:rsid w:val="00B83358"/>
    <w:rsid w:val="00B85FE9"/>
    <w:rsid w:val="00B86A1E"/>
    <w:rsid w:val="00B9217F"/>
    <w:rsid w:val="00B92FB9"/>
    <w:rsid w:val="00BA1193"/>
    <w:rsid w:val="00BA258A"/>
    <w:rsid w:val="00BB03F2"/>
    <w:rsid w:val="00BB214E"/>
    <w:rsid w:val="00BB4216"/>
    <w:rsid w:val="00BD0EA9"/>
    <w:rsid w:val="00BE18D6"/>
    <w:rsid w:val="00BE3E2B"/>
    <w:rsid w:val="00BE44CA"/>
    <w:rsid w:val="00BE5B3E"/>
    <w:rsid w:val="00BE6D15"/>
    <w:rsid w:val="00BF334C"/>
    <w:rsid w:val="00BF795D"/>
    <w:rsid w:val="00C01597"/>
    <w:rsid w:val="00C05E19"/>
    <w:rsid w:val="00C15894"/>
    <w:rsid w:val="00C15F1F"/>
    <w:rsid w:val="00C17CE0"/>
    <w:rsid w:val="00C21D71"/>
    <w:rsid w:val="00C24279"/>
    <w:rsid w:val="00C2446A"/>
    <w:rsid w:val="00C334EB"/>
    <w:rsid w:val="00C361C5"/>
    <w:rsid w:val="00C376FF"/>
    <w:rsid w:val="00C40535"/>
    <w:rsid w:val="00C432E5"/>
    <w:rsid w:val="00C44506"/>
    <w:rsid w:val="00C4779D"/>
    <w:rsid w:val="00C509F2"/>
    <w:rsid w:val="00C54B93"/>
    <w:rsid w:val="00C66B04"/>
    <w:rsid w:val="00C74F2A"/>
    <w:rsid w:val="00C81755"/>
    <w:rsid w:val="00C86AB1"/>
    <w:rsid w:val="00C953A7"/>
    <w:rsid w:val="00CA62C3"/>
    <w:rsid w:val="00CB04C8"/>
    <w:rsid w:val="00CB63F0"/>
    <w:rsid w:val="00CC4D62"/>
    <w:rsid w:val="00CC4D88"/>
    <w:rsid w:val="00CC6769"/>
    <w:rsid w:val="00CD0D9F"/>
    <w:rsid w:val="00CD76D1"/>
    <w:rsid w:val="00CE42B0"/>
    <w:rsid w:val="00CE56AF"/>
    <w:rsid w:val="00CF29F4"/>
    <w:rsid w:val="00CF2E4D"/>
    <w:rsid w:val="00CF471D"/>
    <w:rsid w:val="00CF6284"/>
    <w:rsid w:val="00CF73F7"/>
    <w:rsid w:val="00D128FA"/>
    <w:rsid w:val="00D12F4F"/>
    <w:rsid w:val="00D16679"/>
    <w:rsid w:val="00D20380"/>
    <w:rsid w:val="00D22352"/>
    <w:rsid w:val="00D303C8"/>
    <w:rsid w:val="00D401CA"/>
    <w:rsid w:val="00D469DA"/>
    <w:rsid w:val="00D50D96"/>
    <w:rsid w:val="00D51800"/>
    <w:rsid w:val="00D561D2"/>
    <w:rsid w:val="00D56668"/>
    <w:rsid w:val="00D65EEE"/>
    <w:rsid w:val="00D67478"/>
    <w:rsid w:val="00D75278"/>
    <w:rsid w:val="00D800D4"/>
    <w:rsid w:val="00D80A79"/>
    <w:rsid w:val="00D87889"/>
    <w:rsid w:val="00D90B78"/>
    <w:rsid w:val="00D95A4A"/>
    <w:rsid w:val="00DA60C0"/>
    <w:rsid w:val="00DC10ED"/>
    <w:rsid w:val="00DC24BB"/>
    <w:rsid w:val="00DD11FD"/>
    <w:rsid w:val="00DD2F1F"/>
    <w:rsid w:val="00DE07E7"/>
    <w:rsid w:val="00DE089B"/>
    <w:rsid w:val="00DE2BD1"/>
    <w:rsid w:val="00DE4F6B"/>
    <w:rsid w:val="00DE6C63"/>
    <w:rsid w:val="00DF05A6"/>
    <w:rsid w:val="00DF0AAB"/>
    <w:rsid w:val="00DF2AC4"/>
    <w:rsid w:val="00E010C5"/>
    <w:rsid w:val="00E011A8"/>
    <w:rsid w:val="00E07D2E"/>
    <w:rsid w:val="00E11503"/>
    <w:rsid w:val="00E15551"/>
    <w:rsid w:val="00E159C4"/>
    <w:rsid w:val="00E20AB8"/>
    <w:rsid w:val="00E3175C"/>
    <w:rsid w:val="00E353BA"/>
    <w:rsid w:val="00E3584C"/>
    <w:rsid w:val="00E4751F"/>
    <w:rsid w:val="00E50DA8"/>
    <w:rsid w:val="00E539AE"/>
    <w:rsid w:val="00E626EA"/>
    <w:rsid w:val="00E633B2"/>
    <w:rsid w:val="00E70053"/>
    <w:rsid w:val="00E747E9"/>
    <w:rsid w:val="00E77F3C"/>
    <w:rsid w:val="00E85B05"/>
    <w:rsid w:val="00E91543"/>
    <w:rsid w:val="00E924DA"/>
    <w:rsid w:val="00E953B2"/>
    <w:rsid w:val="00EA401F"/>
    <w:rsid w:val="00EA5C9D"/>
    <w:rsid w:val="00EB04A7"/>
    <w:rsid w:val="00ED070D"/>
    <w:rsid w:val="00ED125E"/>
    <w:rsid w:val="00ED31B1"/>
    <w:rsid w:val="00ED326B"/>
    <w:rsid w:val="00ED5B01"/>
    <w:rsid w:val="00EE4987"/>
    <w:rsid w:val="00EE72B6"/>
    <w:rsid w:val="00EF13EF"/>
    <w:rsid w:val="00EF40DC"/>
    <w:rsid w:val="00EF51AA"/>
    <w:rsid w:val="00EF6C93"/>
    <w:rsid w:val="00EF6DAD"/>
    <w:rsid w:val="00F044A9"/>
    <w:rsid w:val="00F06614"/>
    <w:rsid w:val="00F06F06"/>
    <w:rsid w:val="00F10EE2"/>
    <w:rsid w:val="00F11650"/>
    <w:rsid w:val="00F1776B"/>
    <w:rsid w:val="00F2250B"/>
    <w:rsid w:val="00F24056"/>
    <w:rsid w:val="00F278BD"/>
    <w:rsid w:val="00F3492A"/>
    <w:rsid w:val="00F34B7C"/>
    <w:rsid w:val="00F41393"/>
    <w:rsid w:val="00F559F6"/>
    <w:rsid w:val="00F564B4"/>
    <w:rsid w:val="00F64922"/>
    <w:rsid w:val="00F65BFB"/>
    <w:rsid w:val="00F66BE6"/>
    <w:rsid w:val="00F703CF"/>
    <w:rsid w:val="00F72F90"/>
    <w:rsid w:val="00F76CE5"/>
    <w:rsid w:val="00F87736"/>
    <w:rsid w:val="00F940FE"/>
    <w:rsid w:val="00F96D47"/>
    <w:rsid w:val="00FA30AC"/>
    <w:rsid w:val="00FA4085"/>
    <w:rsid w:val="00FA6859"/>
    <w:rsid w:val="00FB6A29"/>
    <w:rsid w:val="00FC1777"/>
    <w:rsid w:val="00FD16A8"/>
    <w:rsid w:val="00FD27CA"/>
    <w:rsid w:val="00FE4019"/>
    <w:rsid w:val="00FF0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A80EC"/>
  <w15:chartTrackingRefBased/>
  <w15:docId w15:val="{50CB2980-2EC4-4916-9D93-CE3335A8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5B05"/>
    <w:pPr>
      <w:spacing w:line="252"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E85B05"/>
    <w:pPr>
      <w:keepNext/>
      <w:spacing w:after="0" w:line="240" w:lineRule="auto"/>
      <w:outlineLvl w:val="0"/>
    </w:pPr>
    <w:rPr>
      <w:rFonts w:ascii="Arial" w:eastAsia="Times New Roman" w:hAnsi="Arial" w:cs="Arial"/>
      <w:b/>
      <w:bCs/>
      <w:caps/>
      <w:color w:val="D71920"/>
      <w:kern w:val="36"/>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E85B05"/>
    <w:rPr>
      <w:color w:val="0000FF"/>
      <w:u w:val="single"/>
    </w:rPr>
  </w:style>
  <w:style w:type="paragraph" w:customStyle="1" w:styleId="pf0">
    <w:name w:val="pf0"/>
    <w:basedOn w:val="Normalny"/>
    <w:rsid w:val="00E85B0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E85B05"/>
    <w:rPr>
      <w:rFonts w:ascii="Segoe UI" w:hAnsi="Segoe UI" w:cs="Segoe UI" w:hint="default"/>
      <w:b/>
      <w:bCs/>
      <w:color w:val="0A0A0A"/>
      <w:sz w:val="18"/>
      <w:szCs w:val="18"/>
      <w:shd w:val="clear" w:color="auto" w:fill="FFFFFF"/>
    </w:rPr>
  </w:style>
  <w:style w:type="character" w:customStyle="1" w:styleId="cf11">
    <w:name w:val="cf11"/>
    <w:basedOn w:val="Domylnaczcionkaakapitu"/>
    <w:rsid w:val="00E85B05"/>
    <w:rPr>
      <w:rFonts w:ascii="Segoe UI" w:hAnsi="Segoe UI" w:cs="Segoe UI" w:hint="default"/>
      <w:color w:val="0A0A0A"/>
      <w:sz w:val="18"/>
      <w:szCs w:val="18"/>
      <w:shd w:val="clear" w:color="auto" w:fill="FFFFFF"/>
    </w:rPr>
  </w:style>
  <w:style w:type="character" w:customStyle="1" w:styleId="Nagwek1Znak">
    <w:name w:val="Nagłówek 1 Znak"/>
    <w:basedOn w:val="Domylnaczcionkaakapitu"/>
    <w:link w:val="Nagwek1"/>
    <w:uiPriority w:val="9"/>
    <w:rsid w:val="00E85B05"/>
    <w:rPr>
      <w:rFonts w:ascii="Arial" w:eastAsia="Times New Roman" w:hAnsi="Arial" w:cs="Arial"/>
      <w:b/>
      <w:bCs/>
      <w:caps/>
      <w:color w:val="D71920"/>
      <w:kern w:val="36"/>
      <w:sz w:val="24"/>
      <w:szCs w:val="24"/>
      <w:lang w:eastAsia="pl-PL"/>
      <w14:ligatures w14:val="none"/>
    </w:rPr>
  </w:style>
  <w:style w:type="character" w:customStyle="1" w:styleId="A2">
    <w:name w:val="A2"/>
    <w:basedOn w:val="Domylnaczcionkaakapitu"/>
    <w:uiPriority w:val="99"/>
    <w:rsid w:val="00544413"/>
    <w:rPr>
      <w:rFonts w:ascii="Sofia Pro" w:hAnsi="Sofia Pro" w:hint="default"/>
      <w:color w:val="000000"/>
    </w:rPr>
  </w:style>
  <w:style w:type="paragraph" w:styleId="Akapitzlist">
    <w:name w:val="List Paragraph"/>
    <w:aliases w:val="T_SZ_List Paragraph,Kolorowa lista — akcent 11,Bullet List,FooterText,K2 lista alfabetyczna"/>
    <w:basedOn w:val="Normalny"/>
    <w:link w:val="AkapitzlistZnak"/>
    <w:uiPriority w:val="34"/>
    <w:qFormat/>
    <w:rsid w:val="00544413"/>
    <w:pPr>
      <w:ind w:left="720"/>
      <w:contextualSpacing/>
    </w:pPr>
  </w:style>
  <w:style w:type="paragraph" w:customStyle="1" w:styleId="Default">
    <w:name w:val="Default"/>
    <w:basedOn w:val="Normalny"/>
    <w:rsid w:val="00544413"/>
    <w:pPr>
      <w:autoSpaceDE w:val="0"/>
      <w:autoSpaceDN w:val="0"/>
      <w:spacing w:after="0" w:line="240" w:lineRule="auto"/>
    </w:pPr>
    <w:rPr>
      <w:rFonts w:ascii="Arial" w:eastAsiaTheme="minorHAnsi" w:hAnsi="Arial" w:cs="Arial"/>
      <w:color w:val="000000"/>
      <w:sz w:val="24"/>
      <w:szCs w:val="24"/>
      <w:lang w:eastAsia="pl-PL"/>
    </w:rPr>
  </w:style>
  <w:style w:type="character" w:customStyle="1" w:styleId="AkapitzlistZnak">
    <w:name w:val="Akapit z listą Znak"/>
    <w:aliases w:val="T_SZ_List Paragraph Znak,Kolorowa lista — akcent 11 Znak,Bullet List Znak,FooterText Znak,K2 lista alfabetyczna Znak"/>
    <w:link w:val="Akapitzlist"/>
    <w:uiPriority w:val="34"/>
    <w:rsid w:val="00740870"/>
    <w:rPr>
      <w:rFonts w:ascii="Calibri" w:eastAsia="Calibri" w:hAnsi="Calibri" w:cs="Times New Roman"/>
      <w:kern w:val="0"/>
      <w14:ligatures w14:val="none"/>
    </w:rPr>
  </w:style>
  <w:style w:type="character" w:styleId="Nierozpoznanawzmianka">
    <w:name w:val="Unresolved Mention"/>
    <w:basedOn w:val="Domylnaczcionkaakapitu"/>
    <w:uiPriority w:val="99"/>
    <w:semiHidden/>
    <w:unhideWhenUsed/>
    <w:rsid w:val="000A519F"/>
    <w:rPr>
      <w:color w:val="605E5C"/>
      <w:shd w:val="clear" w:color="auto" w:fill="E1DFDD"/>
    </w:rPr>
  </w:style>
  <w:style w:type="paragraph" w:styleId="Tekstprzypisukocowego">
    <w:name w:val="endnote text"/>
    <w:basedOn w:val="Normalny"/>
    <w:link w:val="TekstprzypisukocowegoZnak"/>
    <w:uiPriority w:val="99"/>
    <w:semiHidden/>
    <w:unhideWhenUsed/>
    <w:rsid w:val="000810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10F3"/>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0810F3"/>
    <w:rPr>
      <w:vertAlign w:val="superscript"/>
    </w:rPr>
  </w:style>
  <w:style w:type="character" w:styleId="Odwoaniedokomentarza">
    <w:name w:val="annotation reference"/>
    <w:basedOn w:val="Domylnaczcionkaakapitu"/>
    <w:uiPriority w:val="99"/>
    <w:semiHidden/>
    <w:unhideWhenUsed/>
    <w:rsid w:val="0097069E"/>
    <w:rPr>
      <w:sz w:val="16"/>
      <w:szCs w:val="16"/>
    </w:rPr>
  </w:style>
  <w:style w:type="paragraph" w:styleId="Tekstkomentarza">
    <w:name w:val="annotation text"/>
    <w:basedOn w:val="Normalny"/>
    <w:link w:val="TekstkomentarzaZnak"/>
    <w:uiPriority w:val="99"/>
    <w:unhideWhenUsed/>
    <w:rsid w:val="0097069E"/>
    <w:pPr>
      <w:spacing w:line="240" w:lineRule="auto"/>
    </w:pPr>
    <w:rPr>
      <w:sz w:val="20"/>
      <w:szCs w:val="20"/>
    </w:rPr>
  </w:style>
  <w:style w:type="character" w:customStyle="1" w:styleId="TekstkomentarzaZnak">
    <w:name w:val="Tekst komentarza Znak"/>
    <w:basedOn w:val="Domylnaczcionkaakapitu"/>
    <w:link w:val="Tekstkomentarza"/>
    <w:uiPriority w:val="99"/>
    <w:rsid w:val="0097069E"/>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7069E"/>
    <w:rPr>
      <w:b/>
      <w:bCs/>
    </w:rPr>
  </w:style>
  <w:style w:type="character" w:customStyle="1" w:styleId="TematkomentarzaZnak">
    <w:name w:val="Temat komentarza Znak"/>
    <w:basedOn w:val="TekstkomentarzaZnak"/>
    <w:link w:val="Tematkomentarza"/>
    <w:uiPriority w:val="99"/>
    <w:semiHidden/>
    <w:rsid w:val="0097069E"/>
    <w:rPr>
      <w:rFonts w:ascii="Calibri" w:eastAsia="Calibri" w:hAnsi="Calibri" w:cs="Times New Roman"/>
      <w:b/>
      <w:bCs/>
      <w:kern w:val="0"/>
      <w:sz w:val="20"/>
      <w:szCs w:val="20"/>
      <w14:ligatures w14:val="none"/>
    </w:rPr>
  </w:style>
  <w:style w:type="paragraph" w:styleId="Tekstpodstawowy">
    <w:name w:val="Body Text"/>
    <w:basedOn w:val="Normalny"/>
    <w:link w:val="TekstpodstawowyZnak"/>
    <w:uiPriority w:val="99"/>
    <w:unhideWhenUsed/>
    <w:rsid w:val="009A23EE"/>
    <w:pPr>
      <w:spacing w:line="259" w:lineRule="auto"/>
      <w:jc w:val="both"/>
    </w:pPr>
    <w:rPr>
      <w:rFonts w:ascii="Arial" w:eastAsia="Times New Roman" w:hAnsi="Arial" w:cs="Arial"/>
      <w:b/>
      <w:bCs/>
      <w:kern w:val="2"/>
      <w:sz w:val="24"/>
      <w:szCs w:val="24"/>
      <w:lang w:eastAsia="pl-PL"/>
      <w14:ligatures w14:val="standardContextual"/>
    </w:rPr>
  </w:style>
  <w:style w:type="character" w:customStyle="1" w:styleId="TekstpodstawowyZnak">
    <w:name w:val="Tekst podstawowy Znak"/>
    <w:basedOn w:val="Domylnaczcionkaakapitu"/>
    <w:link w:val="Tekstpodstawowy"/>
    <w:uiPriority w:val="99"/>
    <w:rsid w:val="009A23EE"/>
    <w:rPr>
      <w:rFonts w:ascii="Arial" w:eastAsia="Times New Roman" w:hAnsi="Arial" w:cs="Arial"/>
      <w:b/>
      <w:bCs/>
      <w:sz w:val="24"/>
      <w:szCs w:val="24"/>
      <w:lang w:eastAsia="pl-PL"/>
    </w:rPr>
  </w:style>
  <w:style w:type="paragraph" w:styleId="Tekstpodstawowy2">
    <w:name w:val="Body Text 2"/>
    <w:basedOn w:val="Normalny"/>
    <w:link w:val="Tekstpodstawowy2Znak"/>
    <w:uiPriority w:val="99"/>
    <w:semiHidden/>
    <w:unhideWhenUsed/>
    <w:rsid w:val="009A23EE"/>
    <w:pPr>
      <w:spacing w:after="120" w:line="480" w:lineRule="auto"/>
    </w:pPr>
  </w:style>
  <w:style w:type="character" w:customStyle="1" w:styleId="Tekstpodstawowy2Znak">
    <w:name w:val="Tekst podstawowy 2 Znak"/>
    <w:basedOn w:val="Domylnaczcionkaakapitu"/>
    <w:link w:val="Tekstpodstawowy2"/>
    <w:uiPriority w:val="99"/>
    <w:semiHidden/>
    <w:rsid w:val="009A23EE"/>
    <w:rPr>
      <w:rFonts w:ascii="Calibri" w:eastAsia="Calibri" w:hAnsi="Calibri" w:cs="Times New Roman"/>
      <w:kern w:val="0"/>
      <w14:ligatures w14:val="none"/>
    </w:rPr>
  </w:style>
  <w:style w:type="character" w:styleId="Pogrubienie">
    <w:name w:val="Strong"/>
    <w:basedOn w:val="Domylnaczcionkaakapitu"/>
    <w:uiPriority w:val="22"/>
    <w:qFormat/>
    <w:rsid w:val="009A23EE"/>
    <w:rPr>
      <w:b/>
      <w:bCs/>
    </w:rPr>
  </w:style>
  <w:style w:type="paragraph" w:styleId="Poprawka">
    <w:name w:val="Revision"/>
    <w:hidden/>
    <w:uiPriority w:val="99"/>
    <w:semiHidden/>
    <w:rsid w:val="00B16514"/>
    <w:pPr>
      <w:spacing w:after="0" w:line="240" w:lineRule="auto"/>
    </w:pPr>
    <w:rPr>
      <w:rFonts w:ascii="Calibri" w:eastAsia="Calibri" w:hAnsi="Calibri" w:cs="Times New Roman"/>
      <w:kern w:val="0"/>
      <w14:ligatures w14:val="none"/>
    </w:rPr>
  </w:style>
  <w:style w:type="paragraph" w:styleId="Tekstpodstawowy3">
    <w:name w:val="Body Text 3"/>
    <w:basedOn w:val="Normalny"/>
    <w:link w:val="Tekstpodstawowy3Znak"/>
    <w:uiPriority w:val="99"/>
    <w:unhideWhenUsed/>
    <w:rsid w:val="00FB6A29"/>
    <w:pPr>
      <w:jc w:val="both"/>
    </w:pPr>
    <w:rPr>
      <w:rFonts w:ascii="Arial" w:hAnsi="Arial" w:cs="Arial"/>
    </w:rPr>
  </w:style>
  <w:style w:type="character" w:customStyle="1" w:styleId="Tekstpodstawowy3Znak">
    <w:name w:val="Tekst podstawowy 3 Znak"/>
    <w:basedOn w:val="Domylnaczcionkaakapitu"/>
    <w:link w:val="Tekstpodstawowy3"/>
    <w:uiPriority w:val="99"/>
    <w:rsid w:val="00FB6A29"/>
    <w:rPr>
      <w:rFonts w:ascii="Arial" w:eastAsia="Calibri" w:hAnsi="Arial" w:cs="Arial"/>
      <w:kern w:val="0"/>
      <w14:ligatures w14:val="none"/>
    </w:rPr>
  </w:style>
  <w:style w:type="character" w:styleId="UyteHipercze">
    <w:name w:val="FollowedHyperlink"/>
    <w:basedOn w:val="Domylnaczcionkaakapitu"/>
    <w:uiPriority w:val="99"/>
    <w:semiHidden/>
    <w:unhideWhenUsed/>
    <w:rsid w:val="00332FFF"/>
    <w:rPr>
      <w:color w:val="954F72" w:themeColor="followedHyperlink"/>
      <w:u w:val="single"/>
    </w:rPr>
  </w:style>
  <w:style w:type="paragraph" w:customStyle="1" w:styleId="Pa1">
    <w:name w:val="Pa1"/>
    <w:basedOn w:val="Default"/>
    <w:next w:val="Default"/>
    <w:uiPriority w:val="99"/>
    <w:rsid w:val="0057394A"/>
    <w:pPr>
      <w:adjustRightInd w:val="0"/>
      <w:spacing w:line="161" w:lineRule="atLeast"/>
    </w:pPr>
    <w:rPr>
      <w:rFonts w:ascii="Source Sans Pro" w:hAnsi="Source Sans Pro" w:cstheme="minorBidi"/>
      <w:color w:val="auto"/>
      <w:lang w:eastAsia="en-US"/>
      <w14:ligatures w14:val="standardContextual"/>
    </w:rPr>
  </w:style>
  <w:style w:type="paragraph" w:customStyle="1" w:styleId="Pa3">
    <w:name w:val="Pa3"/>
    <w:basedOn w:val="Default"/>
    <w:next w:val="Default"/>
    <w:uiPriority w:val="99"/>
    <w:rsid w:val="0057394A"/>
    <w:pPr>
      <w:adjustRightInd w:val="0"/>
      <w:spacing w:line="161" w:lineRule="atLeast"/>
    </w:pPr>
    <w:rPr>
      <w:rFonts w:ascii="Source Sans Pro" w:hAnsi="Source Sans Pro" w:cstheme="minorBidi"/>
      <w:color w:val="auto"/>
      <w:lang w:eastAsia="en-US"/>
      <w14:ligatures w14:val="standardContextual"/>
    </w:rPr>
  </w:style>
  <w:style w:type="character" w:styleId="Uwydatnienie">
    <w:name w:val="Emphasis"/>
    <w:basedOn w:val="Domylnaczcionkaakapitu"/>
    <w:uiPriority w:val="20"/>
    <w:qFormat/>
    <w:rsid w:val="004F44A1"/>
    <w:rPr>
      <w:i/>
      <w:iCs/>
    </w:rPr>
  </w:style>
  <w:style w:type="paragraph" w:styleId="Tekstdymka">
    <w:name w:val="Balloon Text"/>
    <w:basedOn w:val="Normalny"/>
    <w:link w:val="TekstdymkaZnak"/>
    <w:uiPriority w:val="99"/>
    <w:semiHidden/>
    <w:unhideWhenUsed/>
    <w:rsid w:val="00F72F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2F90"/>
    <w:rPr>
      <w:rFonts w:ascii="Segoe UI" w:eastAsia="Calibri" w:hAnsi="Segoe UI" w:cs="Segoe UI"/>
      <w:kern w:val="0"/>
      <w:sz w:val="18"/>
      <w:szCs w:val="18"/>
      <w14:ligatures w14:val="none"/>
    </w:rPr>
  </w:style>
  <w:style w:type="paragraph" w:styleId="Tekstprzypisudolnego">
    <w:name w:val="footnote text"/>
    <w:basedOn w:val="Normalny"/>
    <w:link w:val="TekstprzypisudolnegoZnak"/>
    <w:uiPriority w:val="99"/>
    <w:semiHidden/>
    <w:unhideWhenUsed/>
    <w:rsid w:val="00637C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37C69"/>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637C69"/>
    <w:rPr>
      <w:vertAlign w:val="superscript"/>
    </w:rPr>
  </w:style>
  <w:style w:type="paragraph" w:styleId="NormalnyWeb">
    <w:name w:val="Normal (Web)"/>
    <w:basedOn w:val="Normalny"/>
    <w:uiPriority w:val="99"/>
    <w:unhideWhenUsed/>
    <w:rsid w:val="0044513A"/>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125">
      <w:bodyDiv w:val="1"/>
      <w:marLeft w:val="0"/>
      <w:marRight w:val="0"/>
      <w:marTop w:val="0"/>
      <w:marBottom w:val="0"/>
      <w:divBdr>
        <w:top w:val="none" w:sz="0" w:space="0" w:color="auto"/>
        <w:left w:val="none" w:sz="0" w:space="0" w:color="auto"/>
        <w:bottom w:val="none" w:sz="0" w:space="0" w:color="auto"/>
        <w:right w:val="none" w:sz="0" w:space="0" w:color="auto"/>
      </w:divBdr>
      <w:divsChild>
        <w:div w:id="192772558">
          <w:marLeft w:val="0"/>
          <w:marRight w:val="0"/>
          <w:marTop w:val="120"/>
          <w:marBottom w:val="120"/>
          <w:divBdr>
            <w:top w:val="none" w:sz="0" w:space="0" w:color="auto"/>
            <w:left w:val="none" w:sz="0" w:space="0" w:color="auto"/>
            <w:bottom w:val="none" w:sz="0" w:space="0" w:color="auto"/>
            <w:right w:val="none" w:sz="0" w:space="0" w:color="auto"/>
          </w:divBdr>
        </w:div>
      </w:divsChild>
    </w:div>
    <w:div w:id="87653848">
      <w:bodyDiv w:val="1"/>
      <w:marLeft w:val="0"/>
      <w:marRight w:val="0"/>
      <w:marTop w:val="0"/>
      <w:marBottom w:val="0"/>
      <w:divBdr>
        <w:top w:val="none" w:sz="0" w:space="0" w:color="auto"/>
        <w:left w:val="none" w:sz="0" w:space="0" w:color="auto"/>
        <w:bottom w:val="none" w:sz="0" w:space="0" w:color="auto"/>
        <w:right w:val="none" w:sz="0" w:space="0" w:color="auto"/>
      </w:divBdr>
    </w:div>
    <w:div w:id="113184293">
      <w:bodyDiv w:val="1"/>
      <w:marLeft w:val="0"/>
      <w:marRight w:val="0"/>
      <w:marTop w:val="0"/>
      <w:marBottom w:val="0"/>
      <w:divBdr>
        <w:top w:val="none" w:sz="0" w:space="0" w:color="auto"/>
        <w:left w:val="none" w:sz="0" w:space="0" w:color="auto"/>
        <w:bottom w:val="none" w:sz="0" w:space="0" w:color="auto"/>
        <w:right w:val="none" w:sz="0" w:space="0" w:color="auto"/>
      </w:divBdr>
    </w:div>
    <w:div w:id="135731721">
      <w:bodyDiv w:val="1"/>
      <w:marLeft w:val="0"/>
      <w:marRight w:val="0"/>
      <w:marTop w:val="0"/>
      <w:marBottom w:val="0"/>
      <w:divBdr>
        <w:top w:val="none" w:sz="0" w:space="0" w:color="auto"/>
        <w:left w:val="none" w:sz="0" w:space="0" w:color="auto"/>
        <w:bottom w:val="none" w:sz="0" w:space="0" w:color="auto"/>
        <w:right w:val="none" w:sz="0" w:space="0" w:color="auto"/>
      </w:divBdr>
    </w:div>
    <w:div w:id="138571945">
      <w:bodyDiv w:val="1"/>
      <w:marLeft w:val="0"/>
      <w:marRight w:val="0"/>
      <w:marTop w:val="0"/>
      <w:marBottom w:val="0"/>
      <w:divBdr>
        <w:top w:val="none" w:sz="0" w:space="0" w:color="auto"/>
        <w:left w:val="none" w:sz="0" w:space="0" w:color="auto"/>
        <w:bottom w:val="none" w:sz="0" w:space="0" w:color="auto"/>
        <w:right w:val="none" w:sz="0" w:space="0" w:color="auto"/>
      </w:divBdr>
    </w:div>
    <w:div w:id="379788539">
      <w:bodyDiv w:val="1"/>
      <w:marLeft w:val="0"/>
      <w:marRight w:val="0"/>
      <w:marTop w:val="0"/>
      <w:marBottom w:val="0"/>
      <w:divBdr>
        <w:top w:val="none" w:sz="0" w:space="0" w:color="auto"/>
        <w:left w:val="none" w:sz="0" w:space="0" w:color="auto"/>
        <w:bottom w:val="none" w:sz="0" w:space="0" w:color="auto"/>
        <w:right w:val="none" w:sz="0" w:space="0" w:color="auto"/>
      </w:divBdr>
    </w:div>
    <w:div w:id="387730083">
      <w:bodyDiv w:val="1"/>
      <w:marLeft w:val="0"/>
      <w:marRight w:val="0"/>
      <w:marTop w:val="0"/>
      <w:marBottom w:val="0"/>
      <w:divBdr>
        <w:top w:val="none" w:sz="0" w:space="0" w:color="auto"/>
        <w:left w:val="none" w:sz="0" w:space="0" w:color="auto"/>
        <w:bottom w:val="none" w:sz="0" w:space="0" w:color="auto"/>
        <w:right w:val="none" w:sz="0" w:space="0" w:color="auto"/>
      </w:divBdr>
    </w:div>
    <w:div w:id="523980659">
      <w:bodyDiv w:val="1"/>
      <w:marLeft w:val="0"/>
      <w:marRight w:val="0"/>
      <w:marTop w:val="0"/>
      <w:marBottom w:val="0"/>
      <w:divBdr>
        <w:top w:val="none" w:sz="0" w:space="0" w:color="auto"/>
        <w:left w:val="none" w:sz="0" w:space="0" w:color="auto"/>
        <w:bottom w:val="none" w:sz="0" w:space="0" w:color="auto"/>
        <w:right w:val="none" w:sz="0" w:space="0" w:color="auto"/>
      </w:divBdr>
    </w:div>
    <w:div w:id="524053311">
      <w:bodyDiv w:val="1"/>
      <w:marLeft w:val="0"/>
      <w:marRight w:val="0"/>
      <w:marTop w:val="0"/>
      <w:marBottom w:val="0"/>
      <w:divBdr>
        <w:top w:val="none" w:sz="0" w:space="0" w:color="auto"/>
        <w:left w:val="none" w:sz="0" w:space="0" w:color="auto"/>
        <w:bottom w:val="none" w:sz="0" w:space="0" w:color="auto"/>
        <w:right w:val="none" w:sz="0" w:space="0" w:color="auto"/>
      </w:divBdr>
    </w:div>
    <w:div w:id="658534736">
      <w:bodyDiv w:val="1"/>
      <w:marLeft w:val="0"/>
      <w:marRight w:val="0"/>
      <w:marTop w:val="0"/>
      <w:marBottom w:val="0"/>
      <w:divBdr>
        <w:top w:val="none" w:sz="0" w:space="0" w:color="auto"/>
        <w:left w:val="none" w:sz="0" w:space="0" w:color="auto"/>
        <w:bottom w:val="none" w:sz="0" w:space="0" w:color="auto"/>
        <w:right w:val="none" w:sz="0" w:space="0" w:color="auto"/>
      </w:divBdr>
    </w:div>
    <w:div w:id="701898467">
      <w:bodyDiv w:val="1"/>
      <w:marLeft w:val="0"/>
      <w:marRight w:val="0"/>
      <w:marTop w:val="0"/>
      <w:marBottom w:val="0"/>
      <w:divBdr>
        <w:top w:val="none" w:sz="0" w:space="0" w:color="auto"/>
        <w:left w:val="none" w:sz="0" w:space="0" w:color="auto"/>
        <w:bottom w:val="none" w:sz="0" w:space="0" w:color="auto"/>
        <w:right w:val="none" w:sz="0" w:space="0" w:color="auto"/>
      </w:divBdr>
      <w:divsChild>
        <w:div w:id="1661541369">
          <w:marLeft w:val="0"/>
          <w:marRight w:val="0"/>
          <w:marTop w:val="120"/>
          <w:marBottom w:val="120"/>
          <w:divBdr>
            <w:top w:val="none" w:sz="0" w:space="0" w:color="auto"/>
            <w:left w:val="none" w:sz="0" w:space="0" w:color="auto"/>
            <w:bottom w:val="none" w:sz="0" w:space="0" w:color="auto"/>
            <w:right w:val="none" w:sz="0" w:space="0" w:color="auto"/>
          </w:divBdr>
        </w:div>
      </w:divsChild>
    </w:div>
    <w:div w:id="707221971">
      <w:bodyDiv w:val="1"/>
      <w:marLeft w:val="0"/>
      <w:marRight w:val="0"/>
      <w:marTop w:val="0"/>
      <w:marBottom w:val="0"/>
      <w:divBdr>
        <w:top w:val="none" w:sz="0" w:space="0" w:color="auto"/>
        <w:left w:val="none" w:sz="0" w:space="0" w:color="auto"/>
        <w:bottom w:val="none" w:sz="0" w:space="0" w:color="auto"/>
        <w:right w:val="none" w:sz="0" w:space="0" w:color="auto"/>
      </w:divBdr>
    </w:div>
    <w:div w:id="815487491">
      <w:bodyDiv w:val="1"/>
      <w:marLeft w:val="0"/>
      <w:marRight w:val="0"/>
      <w:marTop w:val="0"/>
      <w:marBottom w:val="0"/>
      <w:divBdr>
        <w:top w:val="none" w:sz="0" w:space="0" w:color="auto"/>
        <w:left w:val="none" w:sz="0" w:space="0" w:color="auto"/>
        <w:bottom w:val="none" w:sz="0" w:space="0" w:color="auto"/>
        <w:right w:val="none" w:sz="0" w:space="0" w:color="auto"/>
      </w:divBdr>
      <w:divsChild>
        <w:div w:id="200286622">
          <w:marLeft w:val="288"/>
          <w:marRight w:val="0"/>
          <w:marTop w:val="120"/>
          <w:marBottom w:val="0"/>
          <w:divBdr>
            <w:top w:val="none" w:sz="0" w:space="0" w:color="auto"/>
            <w:left w:val="none" w:sz="0" w:space="0" w:color="auto"/>
            <w:bottom w:val="none" w:sz="0" w:space="0" w:color="auto"/>
            <w:right w:val="none" w:sz="0" w:space="0" w:color="auto"/>
          </w:divBdr>
        </w:div>
        <w:div w:id="344744254">
          <w:marLeft w:val="288"/>
          <w:marRight w:val="0"/>
          <w:marTop w:val="120"/>
          <w:marBottom w:val="0"/>
          <w:divBdr>
            <w:top w:val="none" w:sz="0" w:space="0" w:color="auto"/>
            <w:left w:val="none" w:sz="0" w:space="0" w:color="auto"/>
            <w:bottom w:val="none" w:sz="0" w:space="0" w:color="auto"/>
            <w:right w:val="none" w:sz="0" w:space="0" w:color="auto"/>
          </w:divBdr>
        </w:div>
      </w:divsChild>
    </w:div>
    <w:div w:id="858587730">
      <w:bodyDiv w:val="1"/>
      <w:marLeft w:val="0"/>
      <w:marRight w:val="0"/>
      <w:marTop w:val="0"/>
      <w:marBottom w:val="0"/>
      <w:divBdr>
        <w:top w:val="none" w:sz="0" w:space="0" w:color="auto"/>
        <w:left w:val="none" w:sz="0" w:space="0" w:color="auto"/>
        <w:bottom w:val="none" w:sz="0" w:space="0" w:color="auto"/>
        <w:right w:val="none" w:sz="0" w:space="0" w:color="auto"/>
      </w:divBdr>
    </w:div>
    <w:div w:id="912933985">
      <w:bodyDiv w:val="1"/>
      <w:marLeft w:val="0"/>
      <w:marRight w:val="0"/>
      <w:marTop w:val="0"/>
      <w:marBottom w:val="0"/>
      <w:divBdr>
        <w:top w:val="none" w:sz="0" w:space="0" w:color="auto"/>
        <w:left w:val="none" w:sz="0" w:space="0" w:color="auto"/>
        <w:bottom w:val="none" w:sz="0" w:space="0" w:color="auto"/>
        <w:right w:val="none" w:sz="0" w:space="0" w:color="auto"/>
      </w:divBdr>
    </w:div>
    <w:div w:id="1152065118">
      <w:bodyDiv w:val="1"/>
      <w:marLeft w:val="0"/>
      <w:marRight w:val="0"/>
      <w:marTop w:val="0"/>
      <w:marBottom w:val="0"/>
      <w:divBdr>
        <w:top w:val="none" w:sz="0" w:space="0" w:color="auto"/>
        <w:left w:val="none" w:sz="0" w:space="0" w:color="auto"/>
        <w:bottom w:val="none" w:sz="0" w:space="0" w:color="auto"/>
        <w:right w:val="none" w:sz="0" w:space="0" w:color="auto"/>
      </w:divBdr>
      <w:divsChild>
        <w:div w:id="1917857897">
          <w:marLeft w:val="0"/>
          <w:marRight w:val="0"/>
          <w:marTop w:val="120"/>
          <w:marBottom w:val="120"/>
          <w:divBdr>
            <w:top w:val="none" w:sz="0" w:space="0" w:color="auto"/>
            <w:left w:val="none" w:sz="0" w:space="0" w:color="auto"/>
            <w:bottom w:val="none" w:sz="0" w:space="0" w:color="auto"/>
            <w:right w:val="none" w:sz="0" w:space="0" w:color="auto"/>
          </w:divBdr>
        </w:div>
      </w:divsChild>
    </w:div>
    <w:div w:id="1156841550">
      <w:bodyDiv w:val="1"/>
      <w:marLeft w:val="0"/>
      <w:marRight w:val="0"/>
      <w:marTop w:val="0"/>
      <w:marBottom w:val="0"/>
      <w:divBdr>
        <w:top w:val="none" w:sz="0" w:space="0" w:color="auto"/>
        <w:left w:val="none" w:sz="0" w:space="0" w:color="auto"/>
        <w:bottom w:val="none" w:sz="0" w:space="0" w:color="auto"/>
        <w:right w:val="none" w:sz="0" w:space="0" w:color="auto"/>
      </w:divBdr>
    </w:div>
    <w:div w:id="1368751767">
      <w:bodyDiv w:val="1"/>
      <w:marLeft w:val="0"/>
      <w:marRight w:val="0"/>
      <w:marTop w:val="0"/>
      <w:marBottom w:val="0"/>
      <w:divBdr>
        <w:top w:val="none" w:sz="0" w:space="0" w:color="auto"/>
        <w:left w:val="none" w:sz="0" w:space="0" w:color="auto"/>
        <w:bottom w:val="none" w:sz="0" w:space="0" w:color="auto"/>
        <w:right w:val="none" w:sz="0" w:space="0" w:color="auto"/>
      </w:divBdr>
    </w:div>
    <w:div w:id="1524594226">
      <w:bodyDiv w:val="1"/>
      <w:marLeft w:val="0"/>
      <w:marRight w:val="0"/>
      <w:marTop w:val="0"/>
      <w:marBottom w:val="0"/>
      <w:divBdr>
        <w:top w:val="none" w:sz="0" w:space="0" w:color="auto"/>
        <w:left w:val="none" w:sz="0" w:space="0" w:color="auto"/>
        <w:bottom w:val="none" w:sz="0" w:space="0" w:color="auto"/>
        <w:right w:val="none" w:sz="0" w:space="0" w:color="auto"/>
      </w:divBdr>
    </w:div>
    <w:div w:id="1532457258">
      <w:bodyDiv w:val="1"/>
      <w:marLeft w:val="0"/>
      <w:marRight w:val="0"/>
      <w:marTop w:val="0"/>
      <w:marBottom w:val="0"/>
      <w:divBdr>
        <w:top w:val="none" w:sz="0" w:space="0" w:color="auto"/>
        <w:left w:val="none" w:sz="0" w:space="0" w:color="auto"/>
        <w:bottom w:val="none" w:sz="0" w:space="0" w:color="auto"/>
        <w:right w:val="none" w:sz="0" w:space="0" w:color="auto"/>
      </w:divBdr>
    </w:div>
    <w:div w:id="1592160450">
      <w:bodyDiv w:val="1"/>
      <w:marLeft w:val="0"/>
      <w:marRight w:val="0"/>
      <w:marTop w:val="0"/>
      <w:marBottom w:val="0"/>
      <w:divBdr>
        <w:top w:val="none" w:sz="0" w:space="0" w:color="auto"/>
        <w:left w:val="none" w:sz="0" w:space="0" w:color="auto"/>
        <w:bottom w:val="none" w:sz="0" w:space="0" w:color="auto"/>
        <w:right w:val="none" w:sz="0" w:space="0" w:color="auto"/>
      </w:divBdr>
    </w:div>
    <w:div w:id="1738088050">
      <w:bodyDiv w:val="1"/>
      <w:marLeft w:val="0"/>
      <w:marRight w:val="0"/>
      <w:marTop w:val="0"/>
      <w:marBottom w:val="0"/>
      <w:divBdr>
        <w:top w:val="none" w:sz="0" w:space="0" w:color="auto"/>
        <w:left w:val="none" w:sz="0" w:space="0" w:color="auto"/>
        <w:bottom w:val="none" w:sz="0" w:space="0" w:color="auto"/>
        <w:right w:val="none" w:sz="0" w:space="0" w:color="auto"/>
      </w:divBdr>
    </w:div>
    <w:div w:id="1886527191">
      <w:bodyDiv w:val="1"/>
      <w:marLeft w:val="0"/>
      <w:marRight w:val="0"/>
      <w:marTop w:val="0"/>
      <w:marBottom w:val="0"/>
      <w:divBdr>
        <w:top w:val="none" w:sz="0" w:space="0" w:color="auto"/>
        <w:left w:val="none" w:sz="0" w:space="0" w:color="auto"/>
        <w:bottom w:val="none" w:sz="0" w:space="0" w:color="auto"/>
        <w:right w:val="none" w:sz="0" w:space="0" w:color="auto"/>
      </w:divBdr>
    </w:div>
    <w:div w:id="1907109082">
      <w:bodyDiv w:val="1"/>
      <w:marLeft w:val="0"/>
      <w:marRight w:val="0"/>
      <w:marTop w:val="0"/>
      <w:marBottom w:val="0"/>
      <w:divBdr>
        <w:top w:val="none" w:sz="0" w:space="0" w:color="auto"/>
        <w:left w:val="none" w:sz="0" w:space="0" w:color="auto"/>
        <w:bottom w:val="none" w:sz="0" w:space="0" w:color="auto"/>
        <w:right w:val="none" w:sz="0" w:space="0" w:color="auto"/>
      </w:divBdr>
    </w:div>
    <w:div w:id="2008289598">
      <w:bodyDiv w:val="1"/>
      <w:marLeft w:val="0"/>
      <w:marRight w:val="0"/>
      <w:marTop w:val="0"/>
      <w:marBottom w:val="0"/>
      <w:divBdr>
        <w:top w:val="none" w:sz="0" w:space="0" w:color="auto"/>
        <w:left w:val="none" w:sz="0" w:space="0" w:color="auto"/>
        <w:bottom w:val="none" w:sz="0" w:space="0" w:color="auto"/>
        <w:right w:val="none" w:sz="0" w:space="0" w:color="auto"/>
      </w:divBdr>
    </w:div>
    <w:div w:id="20257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ia.pekao.com.pl/" TargetMode="External"/><Relationship Id="rId4" Type="http://schemas.openxmlformats.org/officeDocument/2006/relationships/settings" Target="settings.xml"/><Relationship Id="rId9" Type="http://schemas.openxmlformats.org/officeDocument/2006/relationships/hyperlink" Target="mailto:media@pekao.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D976-09B4-455A-858A-AE1EA218B91F}">
  <ds:schemaRefs>
    <ds:schemaRef ds:uri="http://schemas.openxmlformats.org/officeDocument/2006/bibliography"/>
  </ds:schemaRefs>
</ds:datastoreItem>
</file>

<file path=docMetadata/LabelInfo.xml><?xml version="1.0" encoding="utf-8"?>
<clbl:labelList xmlns:clbl="http://schemas.microsoft.com/office/2020/mipLabelMetadata">
  <clbl:label id="{e926a907-a439-4552-97d4-cf3e4f94d4c9}" enabled="1" method="Standard" siteId="{72d4cc57-c098-4169-86a9-284d255e89f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Bank Pekao S.A.</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 Pekao SA</dc:creator>
  <cp:keywords/>
  <dc:description/>
  <cp:lastModifiedBy>Nowak-Feliszewska Kamila</cp:lastModifiedBy>
  <cp:revision>2</cp:revision>
  <dcterms:created xsi:type="dcterms:W3CDTF">2026-02-17T14:40:00Z</dcterms:created>
  <dcterms:modified xsi:type="dcterms:W3CDTF">2026-02-17T14:40:00Z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26a907-a439-4552-97d4-cf3e4f94d4c9_Enabled">
    <vt:lpwstr>true</vt:lpwstr>
  </property>
  <property fmtid="{D5CDD505-2E9C-101B-9397-08002B2CF9AE}" pid="3" name="MSIP_Label_e926a907-a439-4552-97d4-cf3e4f94d4c9_SetDate">
    <vt:lpwstr>2024-07-09T06:49:29Z</vt:lpwstr>
  </property>
  <property fmtid="{D5CDD505-2E9C-101B-9397-08002B2CF9AE}" pid="4" name="MSIP_Label_e926a907-a439-4552-97d4-cf3e4f94d4c9_Method">
    <vt:lpwstr>Standard</vt:lpwstr>
  </property>
  <property fmtid="{D5CDD505-2E9C-101B-9397-08002B2CF9AE}" pid="5" name="MSIP_Label_e926a907-a439-4552-97d4-cf3e4f94d4c9_Name">
    <vt:lpwstr>Bank Pekao SA – Do użytku służbowego</vt:lpwstr>
  </property>
  <property fmtid="{D5CDD505-2E9C-101B-9397-08002B2CF9AE}" pid="6" name="MSIP_Label_e926a907-a439-4552-97d4-cf3e4f94d4c9_SiteId">
    <vt:lpwstr>72d4cc57-c098-4169-86a9-284d255e89f2</vt:lpwstr>
  </property>
  <property fmtid="{D5CDD505-2E9C-101B-9397-08002B2CF9AE}" pid="7" name="MSIP_Label_e926a907-a439-4552-97d4-cf3e4f94d4c9_ActionId">
    <vt:lpwstr>463cb8a0-7303-451e-a79d-0edfb4894551</vt:lpwstr>
  </property>
  <property fmtid="{D5CDD505-2E9C-101B-9397-08002B2CF9AE}" pid="8" name="MSIP_Label_e926a907-a439-4552-97d4-cf3e4f94d4c9_ContentBits">
    <vt:lpwstr>0</vt:lpwstr>
  </property>
  <property fmtid="{D5CDD505-2E9C-101B-9397-08002B2CF9AE}" pid="9" name="MSIP_Label_ad6fd914-8286-453e-8cdd-01ba4c22f429_Enabled">
    <vt:lpwstr>true</vt:lpwstr>
  </property>
  <property fmtid="{D5CDD505-2E9C-101B-9397-08002B2CF9AE}" pid="10" name="MSIP_Label_ad6fd914-8286-453e-8cdd-01ba4c22f429_SetDate">
    <vt:lpwstr>2024-09-16T14:12:05Z</vt:lpwstr>
  </property>
  <property fmtid="{D5CDD505-2E9C-101B-9397-08002B2CF9AE}" pid="11" name="MSIP_Label_ad6fd914-8286-453e-8cdd-01ba4c22f429_Method">
    <vt:lpwstr>Standard</vt:lpwstr>
  </property>
  <property fmtid="{D5CDD505-2E9C-101B-9397-08002B2CF9AE}" pid="12" name="MSIP_Label_ad6fd914-8286-453e-8cdd-01ba4c22f429_Name">
    <vt:lpwstr>Informacja chroniona</vt:lpwstr>
  </property>
  <property fmtid="{D5CDD505-2E9C-101B-9397-08002B2CF9AE}" pid="13" name="MSIP_Label_ad6fd914-8286-453e-8cdd-01ba4c22f429_SiteId">
    <vt:lpwstr>70494a27-b38e-4c71-aa33-8d5d48639f41</vt:lpwstr>
  </property>
  <property fmtid="{D5CDD505-2E9C-101B-9397-08002B2CF9AE}" pid="14" name="MSIP_Label_ad6fd914-8286-453e-8cdd-01ba4c22f429_ActionId">
    <vt:lpwstr>e7d91ea8-a19f-4a7d-a0eb-f21b7b6b53b6</vt:lpwstr>
  </property>
  <property fmtid="{D5CDD505-2E9C-101B-9397-08002B2CF9AE}" pid="15" name="MSIP_Label_ad6fd914-8286-453e-8cdd-01ba4c22f429_ContentBits">
    <vt:lpwstr>0</vt:lpwstr>
  </property>
</Properties>
</file>