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8B15" w14:textId="77777777" w:rsidR="00760F41" w:rsidRDefault="00760F41" w:rsidP="00867504">
      <w:pPr>
        <w:pStyle w:val="Nagwek1"/>
        <w:spacing w:before="240" w:after="0" w:line="259" w:lineRule="auto"/>
        <w:rPr>
          <w:rFonts w:ascii="Calibri Light" w:hAnsi="Calibri Light" w:cs="Calibri Light"/>
          <w:color w:val="215E99" w:themeColor="text2" w:themeTint="BF"/>
          <w:kern w:val="0"/>
          <w:sz w:val="32"/>
          <w:szCs w:val="32"/>
          <w14:ligatures w14:val="none"/>
        </w:rPr>
      </w:pPr>
    </w:p>
    <w:p w14:paraId="572DBC68" w14:textId="1D90F594" w:rsidR="00C53F28" w:rsidRPr="00C53F28" w:rsidRDefault="00C53F28" w:rsidP="00C53F28">
      <w:pPr>
        <w:pStyle w:val="Nagwek1"/>
        <w:spacing w:before="240" w:after="0" w:line="259" w:lineRule="auto"/>
        <w:jc w:val="right"/>
        <w:rPr>
          <w:rFonts w:ascii="Calibri Light" w:hAnsi="Calibri Light" w:cs="Calibri Light"/>
          <w:color w:val="215E99" w:themeColor="text2" w:themeTint="BF"/>
          <w:kern w:val="0"/>
          <w:sz w:val="16"/>
          <w:szCs w:val="16"/>
          <w14:ligatures w14:val="none"/>
        </w:rPr>
      </w:pPr>
      <w:r>
        <w:rPr>
          <w:rFonts w:ascii="Calibri Light" w:hAnsi="Calibri Light" w:cs="Calibri Light"/>
          <w:color w:val="215E99" w:themeColor="text2" w:themeTint="BF"/>
          <w:kern w:val="0"/>
          <w:sz w:val="16"/>
          <w:szCs w:val="16"/>
          <w14:ligatures w14:val="none"/>
        </w:rPr>
        <w:t>12</w:t>
      </w:r>
      <w:r w:rsidR="001511A5">
        <w:rPr>
          <w:rFonts w:ascii="Calibri Light" w:hAnsi="Calibri Light" w:cs="Calibri Light"/>
          <w:color w:val="215E99" w:themeColor="text2" w:themeTint="BF"/>
          <w:kern w:val="0"/>
          <w:sz w:val="16"/>
          <w:szCs w:val="16"/>
          <w14:ligatures w14:val="none"/>
        </w:rPr>
        <w:t>.</w:t>
      </w:r>
      <w:r>
        <w:rPr>
          <w:rFonts w:ascii="Calibri Light" w:hAnsi="Calibri Light" w:cs="Calibri Light"/>
          <w:color w:val="215E99" w:themeColor="text2" w:themeTint="BF"/>
          <w:kern w:val="0"/>
          <w:sz w:val="16"/>
          <w:szCs w:val="16"/>
          <w14:ligatures w14:val="none"/>
        </w:rPr>
        <w:t>03.2026</w:t>
      </w:r>
    </w:p>
    <w:p w14:paraId="0653C2FA" w14:textId="4D2D1FE7" w:rsidR="00370A77" w:rsidRDefault="00370A77" w:rsidP="00867504">
      <w:pPr>
        <w:pStyle w:val="Nagwek1"/>
        <w:spacing w:before="240" w:after="0" w:line="259" w:lineRule="auto"/>
        <w:rPr>
          <w:rFonts w:ascii="Calibri Light" w:hAnsi="Calibri Light" w:cs="Calibri Light"/>
          <w:color w:val="215E99" w:themeColor="text2" w:themeTint="BF"/>
          <w:kern w:val="0"/>
          <w:sz w:val="32"/>
          <w:szCs w:val="32"/>
          <w14:ligatures w14:val="none"/>
        </w:rPr>
      </w:pPr>
      <w:r w:rsidRPr="00D24E5E">
        <w:rPr>
          <w:rFonts w:ascii="Calibri Light" w:hAnsi="Calibri Light" w:cs="Calibri Light"/>
          <w:color w:val="215E99" w:themeColor="text2" w:themeTint="BF"/>
          <w:kern w:val="0"/>
          <w:sz w:val="32"/>
          <w:szCs w:val="32"/>
          <w14:ligatures w14:val="none"/>
        </w:rPr>
        <w:t>Dekarbonizacja bez inwestycji? Eurowag</w:t>
      </w:r>
      <w:r w:rsidR="00277044">
        <w:rPr>
          <w:rFonts w:ascii="Calibri Light" w:hAnsi="Calibri Light" w:cs="Calibri Light"/>
          <w:color w:val="215E99" w:themeColor="text2" w:themeTint="BF"/>
          <w:kern w:val="0"/>
          <w:sz w:val="32"/>
          <w:szCs w:val="32"/>
          <w14:ligatures w14:val="none"/>
        </w:rPr>
        <w:t xml:space="preserve"> z FincoEnergies</w:t>
      </w:r>
      <w:r w:rsidRPr="00D24E5E">
        <w:rPr>
          <w:rFonts w:ascii="Calibri Light" w:hAnsi="Calibri Light" w:cs="Calibri Light"/>
          <w:color w:val="215E99" w:themeColor="text2" w:themeTint="BF"/>
          <w:kern w:val="0"/>
          <w:sz w:val="32"/>
          <w:szCs w:val="32"/>
          <w14:ligatures w14:val="none"/>
        </w:rPr>
        <w:t xml:space="preserve"> otwiera przewoźnikom drogę do niższych emisji CO₂</w:t>
      </w:r>
    </w:p>
    <w:p w14:paraId="4B2A542A" w14:textId="42A0E41A" w:rsidR="000F31D8" w:rsidRPr="00D24E5E" w:rsidRDefault="001511A5" w:rsidP="000F31D8">
      <w:pPr>
        <w:jc w:val="both"/>
      </w:pPr>
      <w:r>
        <w:rPr>
          <w:rFonts w:ascii="Calibri Light" w:eastAsiaTheme="majorEastAsia" w:hAnsi="Calibri Light" w:cs="Calibri Light"/>
          <w:color w:val="215E99" w:themeColor="text2" w:themeTint="BF"/>
          <w:kern w:val="0"/>
          <w:sz w:val="22"/>
          <w:szCs w:val="22"/>
          <w14:ligatures w14:val="none"/>
        </w:rPr>
        <w:br/>
      </w:r>
      <w:r w:rsidR="003D5728" w:rsidRPr="00D24E5E">
        <w:rPr>
          <w:rFonts w:ascii="Calibri Light" w:eastAsiaTheme="majorEastAsia" w:hAnsi="Calibri Light" w:cs="Calibri Light"/>
          <w:color w:val="215E99" w:themeColor="text2" w:themeTint="BF"/>
          <w:kern w:val="0"/>
          <w:sz w:val="22"/>
          <w:szCs w:val="22"/>
          <w14:ligatures w14:val="none"/>
        </w:rPr>
        <w:t>Eurowag, lider technologiczny i jeden z głównych partnerów europejskiego sektora transportu drogowego, wykonuje kolejny krok w kierunku gospodarki o niższej emisji CO₂. W strategicznej współpracy z FincoEnergies, dostawcą paliw niskoemisyjnych i rozwiązań dekarbonizacyjnych, Eurowag wprowadza usługę Biofuel Swap. To nowe rozwiązanie zintegrowane z cyfrowym ekosystemem mobilności Eurowag, które pozwala firmom transportowym w całej Europie szybko ograniczać emisje CO₂. Efekty tych działań są mierzalne i potwierdzane certyfikatem – bez ingerencji w dotychczasowy sposób pracy.</w:t>
      </w:r>
    </w:p>
    <w:p w14:paraId="4714A6E3" w14:textId="1BAB6FE9" w:rsidR="000A44B0" w:rsidRPr="000A44B0" w:rsidRDefault="000A44B0" w:rsidP="00D24E5E">
      <w:pPr>
        <w:jc w:val="both"/>
        <w:rPr>
          <w:rFonts w:ascii="Calibri" w:hAnsi="Calibri" w:cs="Calibri"/>
          <w:sz w:val="22"/>
          <w:szCs w:val="22"/>
        </w:rPr>
      </w:pPr>
      <w:r w:rsidRPr="000A44B0">
        <w:rPr>
          <w:rFonts w:ascii="Calibri" w:hAnsi="Calibri" w:cs="Calibri"/>
          <w:sz w:val="22"/>
          <w:szCs w:val="22"/>
        </w:rPr>
        <w:t xml:space="preserve">Biofuel Swap to elastyczne rozwiązanie oparte na HVO (Hydrotreated Vegetable Oil). Można z niego korzystać także tam, gdzie HVO nie jest dostępne fizycznie. Usługa wpisuje się w długofalową strategię Eurowag, której celem jest </w:t>
      </w:r>
      <w:r w:rsidR="00916378">
        <w:rPr>
          <w:rFonts w:ascii="Calibri" w:hAnsi="Calibri" w:cs="Calibri"/>
          <w:sz w:val="22"/>
          <w:szCs w:val="22"/>
        </w:rPr>
        <w:t xml:space="preserve">pomoc w </w:t>
      </w:r>
      <w:r w:rsidRPr="000A44B0">
        <w:rPr>
          <w:rFonts w:ascii="Calibri" w:hAnsi="Calibri" w:cs="Calibri"/>
          <w:sz w:val="22"/>
          <w:szCs w:val="22"/>
        </w:rPr>
        <w:t>ograniczeni</w:t>
      </w:r>
      <w:r w:rsidR="00916378">
        <w:rPr>
          <w:rFonts w:ascii="Calibri" w:hAnsi="Calibri" w:cs="Calibri"/>
          <w:sz w:val="22"/>
          <w:szCs w:val="22"/>
        </w:rPr>
        <w:t>u</w:t>
      </w:r>
      <w:r w:rsidRPr="000A44B0">
        <w:rPr>
          <w:rFonts w:ascii="Calibri" w:hAnsi="Calibri" w:cs="Calibri"/>
          <w:sz w:val="22"/>
          <w:szCs w:val="22"/>
        </w:rPr>
        <w:t xml:space="preserve"> śladu węglowego flot bez konieczności </w:t>
      </w:r>
      <w:r w:rsidR="001552A2">
        <w:rPr>
          <w:rFonts w:ascii="Calibri" w:hAnsi="Calibri" w:cs="Calibri"/>
          <w:sz w:val="22"/>
          <w:szCs w:val="22"/>
        </w:rPr>
        <w:t>zmian</w:t>
      </w:r>
      <w:r w:rsidR="00916378">
        <w:rPr>
          <w:rFonts w:ascii="Calibri" w:hAnsi="Calibri" w:cs="Calibri"/>
          <w:sz w:val="22"/>
          <w:szCs w:val="22"/>
        </w:rPr>
        <w:t xml:space="preserve">y nawyków ani infrastruktury, a także </w:t>
      </w:r>
      <w:r w:rsidRPr="00333040">
        <w:rPr>
          <w:rFonts w:ascii="Calibri" w:hAnsi="Calibri" w:cs="Calibri"/>
          <w:sz w:val="22"/>
          <w:szCs w:val="22"/>
        </w:rPr>
        <w:t>generowania</w:t>
      </w:r>
      <w:r w:rsidRPr="000A44B0">
        <w:rPr>
          <w:rFonts w:ascii="Calibri" w:hAnsi="Calibri" w:cs="Calibri"/>
          <w:sz w:val="22"/>
          <w:szCs w:val="22"/>
        </w:rPr>
        <w:t xml:space="preserve"> dodatkowych kosztów.</w:t>
      </w:r>
    </w:p>
    <w:p w14:paraId="7E532E66" w14:textId="09FECC20" w:rsidR="000A44B0" w:rsidRPr="000A44B0" w:rsidRDefault="00E43A74" w:rsidP="00D24E5E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Usługa ta </w:t>
      </w:r>
      <w:r w:rsidR="000A44B0" w:rsidRPr="000A44B0">
        <w:rPr>
          <w:rFonts w:ascii="Calibri" w:hAnsi="Calibri" w:cs="Calibri"/>
          <w:sz w:val="22"/>
          <w:szCs w:val="22"/>
        </w:rPr>
        <w:t xml:space="preserve">działa jako </w:t>
      </w:r>
      <w:r w:rsidR="000A44B0" w:rsidRPr="00333040">
        <w:rPr>
          <w:rFonts w:ascii="Calibri" w:hAnsi="Calibri" w:cs="Calibri"/>
          <w:sz w:val="22"/>
          <w:szCs w:val="22"/>
        </w:rPr>
        <w:t>rozwiązanie oparte na bilansowaniu HVO</w:t>
      </w:r>
      <w:r w:rsidR="00916378">
        <w:rPr>
          <w:rFonts w:ascii="Calibri" w:hAnsi="Calibri" w:cs="Calibri"/>
          <w:sz w:val="22"/>
          <w:szCs w:val="22"/>
        </w:rPr>
        <w:t xml:space="preserve"> </w:t>
      </w:r>
      <w:r w:rsidR="00F84347">
        <w:rPr>
          <w:rFonts w:ascii="Calibri" w:hAnsi="Calibri" w:cs="Calibri"/>
          <w:sz w:val="22"/>
          <w:szCs w:val="22"/>
        </w:rPr>
        <w:t>(</w:t>
      </w:r>
      <w:r w:rsidR="00916378">
        <w:rPr>
          <w:rFonts w:ascii="Calibri" w:hAnsi="Calibri" w:cs="Calibri"/>
          <w:sz w:val="22"/>
          <w:szCs w:val="22"/>
        </w:rPr>
        <w:t>tzw. wirtualne HVO</w:t>
      </w:r>
      <w:r w:rsidR="00F84347">
        <w:rPr>
          <w:rFonts w:ascii="Calibri" w:hAnsi="Calibri" w:cs="Calibri"/>
          <w:sz w:val="22"/>
          <w:szCs w:val="22"/>
        </w:rPr>
        <w:t>)</w:t>
      </w:r>
      <w:r w:rsidR="000A44B0" w:rsidRPr="00333040">
        <w:rPr>
          <w:rFonts w:ascii="Calibri" w:hAnsi="Calibri" w:cs="Calibri"/>
          <w:sz w:val="22"/>
          <w:szCs w:val="22"/>
        </w:rPr>
        <w:t xml:space="preserve">. </w:t>
      </w:r>
      <w:r w:rsidR="000A44B0" w:rsidRPr="000A44B0">
        <w:rPr>
          <w:rFonts w:ascii="Calibri" w:hAnsi="Calibri" w:cs="Calibri"/>
          <w:sz w:val="22"/>
          <w:szCs w:val="22"/>
        </w:rPr>
        <w:t>Przewoźnicy tankują tradycyjny olej napędowy. Eurowag zleca natomiast wprowadzenie równoważnej ilości HVO do europejskiej sieci stacji. Realizuje to certyfikowany partner FincoEnergies.</w:t>
      </w:r>
    </w:p>
    <w:p w14:paraId="52E5BB40" w14:textId="0EE994CF" w:rsidR="000A44B0" w:rsidRPr="000A44B0" w:rsidRDefault="000A44B0" w:rsidP="00D24E5E">
      <w:pPr>
        <w:jc w:val="both"/>
        <w:rPr>
          <w:rFonts w:ascii="Calibri" w:hAnsi="Calibri" w:cs="Calibri"/>
          <w:sz w:val="22"/>
          <w:szCs w:val="22"/>
        </w:rPr>
      </w:pPr>
      <w:r w:rsidRPr="000A44B0">
        <w:rPr>
          <w:rFonts w:ascii="Calibri" w:hAnsi="Calibri" w:cs="Calibri"/>
          <w:sz w:val="22"/>
          <w:szCs w:val="22"/>
        </w:rPr>
        <w:t xml:space="preserve">Firmy korzystające z </w:t>
      </w:r>
      <w:r w:rsidR="00E43A74">
        <w:rPr>
          <w:rFonts w:ascii="Calibri" w:hAnsi="Calibri" w:cs="Calibri"/>
          <w:sz w:val="22"/>
          <w:szCs w:val="22"/>
        </w:rPr>
        <w:t xml:space="preserve">tego </w:t>
      </w:r>
      <w:r w:rsidRPr="000A44B0">
        <w:rPr>
          <w:rFonts w:ascii="Calibri" w:hAnsi="Calibri" w:cs="Calibri"/>
          <w:sz w:val="22"/>
          <w:szCs w:val="22"/>
        </w:rPr>
        <w:t>otrzymują weryfikowany certyfikat środowiskowy</w:t>
      </w:r>
      <w:r w:rsidR="00D35F26">
        <w:rPr>
          <w:rFonts w:ascii="Calibri" w:hAnsi="Calibri" w:cs="Calibri"/>
          <w:sz w:val="22"/>
          <w:szCs w:val="22"/>
        </w:rPr>
        <w:t>, wspierający raportowanie ESG coraz częściej wymagany przez d</w:t>
      </w:r>
      <w:r w:rsidR="00EA7C9D">
        <w:rPr>
          <w:rFonts w:ascii="Calibri" w:hAnsi="Calibri" w:cs="Calibri"/>
          <w:sz w:val="22"/>
          <w:szCs w:val="22"/>
        </w:rPr>
        <w:t xml:space="preserve">etalistów i zleceniodawców transportu. </w:t>
      </w:r>
      <w:r w:rsidRPr="000A44B0">
        <w:rPr>
          <w:rFonts w:ascii="Calibri" w:hAnsi="Calibri" w:cs="Calibri"/>
          <w:sz w:val="22"/>
          <w:szCs w:val="22"/>
        </w:rPr>
        <w:t xml:space="preserve">Dokument zawiera rodzaj paliwa, wskaźnik emisji i okres, którego dotyczy. </w:t>
      </w:r>
      <w:r w:rsidR="00EA7C9D">
        <w:rPr>
          <w:rFonts w:ascii="Calibri" w:hAnsi="Calibri" w:cs="Calibri"/>
          <w:sz w:val="22"/>
          <w:szCs w:val="22"/>
        </w:rPr>
        <w:t xml:space="preserve">Ma również informacje o </w:t>
      </w:r>
      <w:r w:rsidRPr="000A44B0">
        <w:rPr>
          <w:rFonts w:ascii="Calibri" w:hAnsi="Calibri" w:cs="Calibri"/>
          <w:sz w:val="22"/>
          <w:szCs w:val="22"/>
        </w:rPr>
        <w:t>szacowan</w:t>
      </w:r>
      <w:r w:rsidR="00EA7C9D">
        <w:rPr>
          <w:rFonts w:ascii="Calibri" w:hAnsi="Calibri" w:cs="Calibri"/>
          <w:sz w:val="22"/>
          <w:szCs w:val="22"/>
        </w:rPr>
        <w:t>ej</w:t>
      </w:r>
      <w:r w:rsidRPr="000A44B0">
        <w:rPr>
          <w:rFonts w:ascii="Calibri" w:hAnsi="Calibri" w:cs="Calibri"/>
          <w:sz w:val="22"/>
          <w:szCs w:val="22"/>
        </w:rPr>
        <w:t xml:space="preserve"> skal</w:t>
      </w:r>
      <w:r w:rsidR="00EA7C9D">
        <w:rPr>
          <w:rFonts w:ascii="Calibri" w:hAnsi="Calibri" w:cs="Calibri"/>
          <w:sz w:val="22"/>
          <w:szCs w:val="22"/>
        </w:rPr>
        <w:t>i</w:t>
      </w:r>
      <w:r w:rsidRPr="000A44B0">
        <w:rPr>
          <w:rFonts w:ascii="Calibri" w:hAnsi="Calibri" w:cs="Calibri"/>
          <w:sz w:val="22"/>
          <w:szCs w:val="22"/>
        </w:rPr>
        <w:t xml:space="preserve"> redukcji CO₂. Zgłoszenie do usługi można złożyć przez stronę internetową Eurowag.</w:t>
      </w:r>
    </w:p>
    <w:p w14:paraId="4EB73EB3" w14:textId="047936F2" w:rsidR="000A44B0" w:rsidRPr="00D24E5E" w:rsidRDefault="00333040" w:rsidP="00D24E5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- 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 xml:space="preserve">Przejście na niskoemisyjny transport drogowy wymaga rozwiązań, które działają od razu i można je stosować w całej Europie. Dzięki </w:t>
      </w:r>
      <w:r w:rsidR="00690F1A">
        <w:rPr>
          <w:rFonts w:ascii="Calibri" w:hAnsi="Calibri" w:cs="Calibri"/>
          <w:i/>
          <w:iCs/>
          <w:sz w:val="22"/>
          <w:szCs w:val="22"/>
        </w:rPr>
        <w:t xml:space="preserve">połączeniu naszej rozwijającej się 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 xml:space="preserve">sieci stacji HVO </w:t>
      </w:r>
      <w:r w:rsidR="00690F1A">
        <w:rPr>
          <w:rFonts w:ascii="Calibri" w:hAnsi="Calibri" w:cs="Calibri"/>
          <w:i/>
          <w:iCs/>
          <w:sz w:val="22"/>
          <w:szCs w:val="22"/>
        </w:rPr>
        <w:t xml:space="preserve">z nową usług 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>Biofuel Swap</w:t>
      </w:r>
      <w:r w:rsidR="00A0779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="00483CBF">
        <w:rPr>
          <w:rFonts w:ascii="Calibri" w:hAnsi="Calibri" w:cs="Calibri"/>
          <w:i/>
          <w:iCs/>
          <w:sz w:val="22"/>
          <w:szCs w:val="22"/>
        </w:rPr>
        <w:t>s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>tworzy</w:t>
      </w:r>
      <w:r w:rsidR="00483CBF">
        <w:rPr>
          <w:rFonts w:ascii="Calibri" w:hAnsi="Calibri" w:cs="Calibri"/>
          <w:i/>
          <w:iCs/>
          <w:sz w:val="22"/>
          <w:szCs w:val="22"/>
        </w:rPr>
        <w:t xml:space="preserve">liśmy 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>spójny model pracy. Przewoźnicy nie muszą nic zmieniać</w:t>
      </w:r>
      <w:r w:rsidR="00483CBF">
        <w:rPr>
          <w:rFonts w:ascii="Calibri" w:hAnsi="Calibri" w:cs="Calibri"/>
          <w:i/>
          <w:iCs/>
          <w:sz w:val="22"/>
          <w:szCs w:val="22"/>
        </w:rPr>
        <w:t xml:space="preserve"> w tankowaniu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>, a całość jest certyfikowana</w:t>
      </w:r>
      <w:r w:rsidR="000A44B0" w:rsidRPr="000A44B0">
        <w:rPr>
          <w:rFonts w:ascii="Calibri" w:hAnsi="Calibri" w:cs="Calibri"/>
          <w:sz w:val="22"/>
          <w:szCs w:val="22"/>
        </w:rPr>
        <w:t xml:space="preserve"> – </w:t>
      </w:r>
      <w:r w:rsidR="000A44B0" w:rsidRPr="00D24E5E">
        <w:rPr>
          <w:rFonts w:ascii="Calibri" w:hAnsi="Calibri" w:cs="Calibri"/>
          <w:b/>
          <w:bCs/>
          <w:sz w:val="22"/>
          <w:szCs w:val="22"/>
        </w:rPr>
        <w:t xml:space="preserve">mówi </w:t>
      </w:r>
      <w:r w:rsidR="000A44B0" w:rsidRPr="00483CBF">
        <w:rPr>
          <w:rFonts w:ascii="Calibri" w:hAnsi="Calibri" w:cs="Calibri"/>
          <w:b/>
          <w:bCs/>
          <w:sz w:val="22"/>
          <w:szCs w:val="22"/>
        </w:rPr>
        <w:t>Matthias Maedge</w:t>
      </w:r>
      <w:r w:rsidR="000A44B0" w:rsidRPr="00D24E5E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0A44B0" w:rsidRPr="00483CBF">
        <w:rPr>
          <w:rFonts w:ascii="Calibri" w:hAnsi="Calibri" w:cs="Calibri"/>
          <w:b/>
          <w:bCs/>
          <w:sz w:val="22"/>
          <w:szCs w:val="22"/>
        </w:rPr>
        <w:t xml:space="preserve">Wiceprezes ds. Dekarbonizacji </w:t>
      </w:r>
      <w:r w:rsidRPr="00483CBF">
        <w:rPr>
          <w:rFonts w:ascii="Calibri" w:hAnsi="Calibri" w:cs="Calibri"/>
          <w:b/>
          <w:bCs/>
          <w:sz w:val="22"/>
          <w:szCs w:val="22"/>
        </w:rPr>
        <w:t>Transportu Drogowego</w:t>
      </w:r>
      <w:r w:rsidR="000A44B0" w:rsidRPr="00483CBF">
        <w:rPr>
          <w:rFonts w:ascii="Calibri" w:hAnsi="Calibri" w:cs="Calibri"/>
          <w:b/>
          <w:bCs/>
          <w:sz w:val="22"/>
          <w:szCs w:val="22"/>
        </w:rPr>
        <w:t xml:space="preserve"> w Eurowag.</w:t>
      </w:r>
    </w:p>
    <w:p w14:paraId="3AA96A12" w14:textId="07B9271B" w:rsidR="00333040" w:rsidRPr="00333040" w:rsidRDefault="000A44B0" w:rsidP="00D24E5E">
      <w:pPr>
        <w:jc w:val="both"/>
        <w:rPr>
          <w:rFonts w:ascii="Calibri" w:hAnsi="Calibri" w:cs="Calibri"/>
          <w:sz w:val="22"/>
          <w:szCs w:val="22"/>
        </w:rPr>
      </w:pPr>
      <w:r w:rsidRPr="000A44B0">
        <w:rPr>
          <w:rFonts w:ascii="Calibri" w:hAnsi="Calibri" w:cs="Calibri"/>
          <w:sz w:val="22"/>
          <w:szCs w:val="22"/>
        </w:rPr>
        <w:t>Klienci Eurowag korzystają przy tym z doświadczenia FincoEnergies w obszarze paliw niskoemisyjnych i rozliczania wpływu na środowisko. Ta wiedza pozwala zamien</w:t>
      </w:r>
      <w:r w:rsidR="006B0EB9">
        <w:rPr>
          <w:rFonts w:ascii="Calibri" w:hAnsi="Calibri" w:cs="Calibri"/>
          <w:sz w:val="22"/>
          <w:szCs w:val="22"/>
        </w:rPr>
        <w:t xml:space="preserve">ić swoje </w:t>
      </w:r>
      <w:r w:rsidRPr="000A44B0">
        <w:rPr>
          <w:rFonts w:ascii="Calibri" w:hAnsi="Calibri" w:cs="Calibri"/>
          <w:sz w:val="22"/>
          <w:szCs w:val="22"/>
        </w:rPr>
        <w:t>cele klimatyczne w konkretne działania</w:t>
      </w:r>
      <w:r w:rsidR="006B0EB9">
        <w:rPr>
          <w:rFonts w:ascii="Calibri" w:hAnsi="Calibri" w:cs="Calibri"/>
          <w:sz w:val="22"/>
          <w:szCs w:val="22"/>
        </w:rPr>
        <w:t xml:space="preserve"> na rzecz ekologii. </w:t>
      </w:r>
    </w:p>
    <w:p w14:paraId="66ED4599" w14:textId="651DE4AA" w:rsidR="000A44B0" w:rsidRPr="00333040" w:rsidRDefault="00333040" w:rsidP="00D24E5E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- 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 xml:space="preserve">Dekarbonizacja transportu nie może czekać na idealne warunki. Razem z Eurowag wprowadzamy rozwiązania, które można stosować </w:t>
      </w:r>
      <w:r w:rsidR="00B548F3">
        <w:rPr>
          <w:rFonts w:ascii="Calibri" w:hAnsi="Calibri" w:cs="Calibri"/>
          <w:i/>
          <w:iCs/>
          <w:sz w:val="22"/>
          <w:szCs w:val="22"/>
        </w:rPr>
        <w:t>już w codziennych operacjach transportowych</w:t>
      </w:r>
      <w:r w:rsidR="000A44B0" w:rsidRPr="000A44B0">
        <w:rPr>
          <w:rFonts w:ascii="Calibri" w:hAnsi="Calibri" w:cs="Calibri"/>
          <w:i/>
          <w:iCs/>
          <w:sz w:val="22"/>
          <w:szCs w:val="22"/>
        </w:rPr>
        <w:t>. Są przejrzyste i łatwe we wdrożeniu w różnych krajach</w:t>
      </w:r>
      <w:r w:rsidR="000A44B0" w:rsidRPr="000A44B0">
        <w:rPr>
          <w:rFonts w:ascii="Calibri" w:hAnsi="Calibri" w:cs="Calibri"/>
          <w:sz w:val="22"/>
          <w:szCs w:val="22"/>
        </w:rPr>
        <w:t xml:space="preserve"> – komentuje</w:t>
      </w:r>
      <w:r w:rsidR="000A44B0" w:rsidRPr="000A44B0">
        <w:rPr>
          <w:rFonts w:ascii="Calibri" w:hAnsi="Calibri" w:cs="Calibri"/>
          <w:b/>
          <w:bCs/>
          <w:sz w:val="22"/>
          <w:szCs w:val="22"/>
        </w:rPr>
        <w:t xml:space="preserve"> Oliver Steen, </w:t>
      </w:r>
      <w:r w:rsidRPr="00333040">
        <w:rPr>
          <w:rFonts w:ascii="Calibri" w:hAnsi="Calibri" w:cs="Calibri"/>
          <w:b/>
          <w:bCs/>
          <w:sz w:val="22"/>
          <w:szCs w:val="22"/>
        </w:rPr>
        <w:t xml:space="preserve">Dyrektor ds. paliw odnawialnych w Niemczech </w:t>
      </w:r>
      <w:r w:rsidR="000A44B0" w:rsidRPr="000A44B0">
        <w:rPr>
          <w:rFonts w:ascii="Calibri" w:hAnsi="Calibri" w:cs="Calibri"/>
          <w:b/>
          <w:bCs/>
          <w:sz w:val="22"/>
          <w:szCs w:val="22"/>
        </w:rPr>
        <w:t>w FincoEnergies.</w:t>
      </w:r>
    </w:p>
    <w:p w14:paraId="638FCB23" w14:textId="76A8CBC1" w:rsidR="001627C7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lastRenderedPageBreak/>
        <w:t>Elmex Group, polska firma transportowa</w:t>
      </w:r>
      <w:r w:rsidR="00B548F3">
        <w:rPr>
          <w:rFonts w:ascii="Calibri" w:hAnsi="Calibri" w:cs="Calibri"/>
          <w:sz w:val="22"/>
          <w:szCs w:val="22"/>
        </w:rPr>
        <w:t xml:space="preserve"> jest jednym z</w:t>
      </w:r>
      <w:r w:rsidR="0012537F">
        <w:rPr>
          <w:rFonts w:ascii="Calibri" w:hAnsi="Calibri" w:cs="Calibri"/>
          <w:sz w:val="22"/>
          <w:szCs w:val="22"/>
        </w:rPr>
        <w:t xml:space="preserve"> </w:t>
      </w:r>
      <w:r w:rsidR="00B548F3">
        <w:rPr>
          <w:rFonts w:ascii="Calibri" w:hAnsi="Calibri" w:cs="Calibri"/>
          <w:sz w:val="22"/>
          <w:szCs w:val="22"/>
        </w:rPr>
        <w:t>liderów</w:t>
      </w:r>
      <w:r w:rsidRPr="00333040">
        <w:rPr>
          <w:rFonts w:ascii="Calibri" w:hAnsi="Calibri" w:cs="Calibri"/>
          <w:sz w:val="22"/>
          <w:szCs w:val="22"/>
        </w:rPr>
        <w:t xml:space="preserve"> korzystających z Biofuel Swap. Spółka zarządza flotą pojazdów spełniających normę Euro 6. Realizuje przewozy dla klientów z branży </w:t>
      </w:r>
    </w:p>
    <w:p w14:paraId="53AEF1A8" w14:textId="7342C516" w:rsidR="00B548F3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>motoryzacyjnej i e</w:t>
      </w:r>
      <w:r w:rsidRPr="00333040">
        <w:rPr>
          <w:rFonts w:ascii="Calibri" w:hAnsi="Calibri" w:cs="Calibri"/>
          <w:sz w:val="22"/>
          <w:szCs w:val="22"/>
        </w:rPr>
        <w:noBreakHyphen/>
        <w:t>commerce. Współpracuje także z</w:t>
      </w:r>
      <w:r w:rsidR="001627C7">
        <w:rPr>
          <w:rFonts w:ascii="Calibri" w:hAnsi="Calibri" w:cs="Calibri"/>
          <w:sz w:val="22"/>
          <w:szCs w:val="22"/>
        </w:rPr>
        <w:t xml:space="preserve"> </w:t>
      </w:r>
      <w:r w:rsidRPr="00333040">
        <w:rPr>
          <w:rFonts w:ascii="Calibri" w:hAnsi="Calibri" w:cs="Calibri"/>
          <w:sz w:val="22"/>
          <w:szCs w:val="22"/>
        </w:rPr>
        <w:t>firmami działającymi w sektorze FMCG. Obsługuje ponadto</w:t>
      </w:r>
      <w:r w:rsidR="001627C7">
        <w:rPr>
          <w:rFonts w:ascii="Calibri" w:hAnsi="Calibri" w:cs="Calibri"/>
          <w:sz w:val="22"/>
          <w:szCs w:val="22"/>
        </w:rPr>
        <w:t xml:space="preserve"> </w:t>
      </w:r>
      <w:r w:rsidRPr="00333040">
        <w:rPr>
          <w:rFonts w:ascii="Calibri" w:hAnsi="Calibri" w:cs="Calibri"/>
          <w:sz w:val="22"/>
          <w:szCs w:val="22"/>
        </w:rPr>
        <w:t>producentów papieru i operatorów z segmentu przemysłowego.</w:t>
      </w:r>
    </w:p>
    <w:p w14:paraId="6BE25F1A" w14:textId="720BD6C6" w:rsidR="00333040" w:rsidRDefault="00333040" w:rsidP="00867504">
      <w:pPr>
        <w:jc w:val="both"/>
        <w:rPr>
          <w:rFonts w:ascii="Calibri" w:hAnsi="Calibri" w:cs="Calibri"/>
          <w:b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- </w:t>
      </w:r>
      <w:r w:rsidR="00E43A74">
        <w:rPr>
          <w:rFonts w:ascii="Calibri" w:hAnsi="Calibri" w:cs="Calibri"/>
          <w:i/>
          <w:iCs/>
          <w:sz w:val="22"/>
          <w:szCs w:val="22"/>
        </w:rPr>
        <w:t>Inwestujemy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 w alternatywne źródła energii.</w:t>
      </w:r>
      <w:r w:rsidR="002870D7">
        <w:rPr>
          <w:rFonts w:ascii="Calibri" w:hAnsi="Calibri" w:cs="Calibri"/>
          <w:i/>
          <w:iCs/>
          <w:sz w:val="22"/>
          <w:szCs w:val="22"/>
        </w:rPr>
        <w:t xml:space="preserve"> Aby ograniczać ślad węglowy </w:t>
      </w:r>
      <w:r w:rsidR="00E43A74">
        <w:rPr>
          <w:rFonts w:ascii="Calibri" w:hAnsi="Calibri" w:cs="Calibri"/>
          <w:i/>
          <w:iCs/>
          <w:sz w:val="22"/>
          <w:szCs w:val="22"/>
        </w:rPr>
        <w:t>w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ykorzystujemy </w:t>
      </w:r>
      <w:r w:rsidR="00E43A74">
        <w:rPr>
          <w:rFonts w:ascii="Calibri" w:hAnsi="Calibri" w:cs="Calibri"/>
          <w:i/>
          <w:iCs/>
          <w:sz w:val="22"/>
          <w:szCs w:val="22"/>
        </w:rPr>
        <w:t>narzędzia do zarządzania transportem (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TMS </w:t>
      </w:r>
      <w:r w:rsidR="008A7F8A">
        <w:rPr>
          <w:rFonts w:ascii="Calibri" w:hAnsi="Calibri" w:cs="Calibri"/>
          <w:i/>
          <w:iCs/>
          <w:sz w:val="22"/>
          <w:szCs w:val="22"/>
        </w:rPr>
        <w:t>i magazynem</w:t>
      </w:r>
      <w:r w:rsidR="00E43A74">
        <w:rPr>
          <w:rFonts w:ascii="Calibri" w:hAnsi="Calibri" w:cs="Calibri"/>
          <w:i/>
          <w:iCs/>
          <w:sz w:val="22"/>
          <w:szCs w:val="22"/>
        </w:rPr>
        <w:t xml:space="preserve"> (</w:t>
      </w:r>
      <w:r w:rsidRPr="00333040">
        <w:rPr>
          <w:rFonts w:ascii="Calibri" w:hAnsi="Calibri" w:cs="Calibri"/>
          <w:i/>
          <w:iCs/>
          <w:sz w:val="22"/>
          <w:szCs w:val="22"/>
        </w:rPr>
        <w:t>WMS</w:t>
      </w:r>
      <w:r w:rsidR="00E43A74">
        <w:rPr>
          <w:rFonts w:ascii="Calibri" w:hAnsi="Calibri" w:cs="Calibri"/>
          <w:i/>
          <w:iCs/>
          <w:sz w:val="22"/>
          <w:szCs w:val="22"/>
        </w:rPr>
        <w:t>)</w:t>
      </w:r>
      <w:r w:rsidR="002870D7">
        <w:rPr>
          <w:rFonts w:ascii="Calibri" w:hAnsi="Calibri" w:cs="Calibri"/>
          <w:i/>
          <w:iCs/>
          <w:sz w:val="22"/>
          <w:szCs w:val="22"/>
        </w:rPr>
        <w:t xml:space="preserve"> oraz telematykę. Dzięki tym rozwiązaniom n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asze procesy </w:t>
      </w:r>
      <w:r w:rsidR="002870D7">
        <w:rPr>
          <w:rFonts w:ascii="Calibri" w:hAnsi="Calibri" w:cs="Calibri"/>
          <w:i/>
          <w:iCs/>
          <w:sz w:val="22"/>
          <w:szCs w:val="22"/>
        </w:rPr>
        <w:t xml:space="preserve">są wydajne </w:t>
      </w:r>
      <w:r w:rsidR="000C33E0">
        <w:rPr>
          <w:rFonts w:ascii="Calibri" w:hAnsi="Calibri" w:cs="Calibri"/>
          <w:i/>
          <w:iCs/>
          <w:sz w:val="22"/>
          <w:szCs w:val="22"/>
        </w:rPr>
        <w:t xml:space="preserve">i jesteśmy lepiej przygotowani na </w:t>
      </w:r>
      <w:r w:rsidR="008A7F8A">
        <w:rPr>
          <w:rFonts w:ascii="Calibri" w:hAnsi="Calibri" w:cs="Calibri"/>
          <w:i/>
          <w:iCs/>
          <w:sz w:val="22"/>
          <w:szCs w:val="22"/>
        </w:rPr>
        <w:t xml:space="preserve">przyszłe </w:t>
      </w:r>
      <w:r w:rsidR="008A7F8A" w:rsidRPr="00333040">
        <w:rPr>
          <w:rFonts w:ascii="Calibri" w:hAnsi="Calibri" w:cs="Calibri"/>
          <w:i/>
          <w:iCs/>
          <w:sz w:val="22"/>
          <w:szCs w:val="22"/>
        </w:rPr>
        <w:t>zmiany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 regulacyjne.</w:t>
      </w:r>
      <w:r w:rsidR="00B8236A">
        <w:rPr>
          <w:rFonts w:ascii="Calibri" w:hAnsi="Calibri" w:cs="Calibri"/>
          <w:i/>
          <w:iCs/>
          <w:sz w:val="22"/>
          <w:szCs w:val="22"/>
        </w:rPr>
        <w:t xml:space="preserve"> Biofuel Swap jest dobrym </w:t>
      </w:r>
      <w:r w:rsidR="00F84347">
        <w:rPr>
          <w:rFonts w:ascii="Calibri" w:hAnsi="Calibri" w:cs="Calibri"/>
          <w:i/>
          <w:iCs/>
          <w:sz w:val="22"/>
          <w:szCs w:val="22"/>
        </w:rPr>
        <w:t>uzupełnieniem</w:t>
      </w:r>
      <w:r w:rsidR="00B8236A">
        <w:rPr>
          <w:rFonts w:ascii="Calibri" w:hAnsi="Calibri" w:cs="Calibri"/>
          <w:i/>
          <w:iCs/>
          <w:sz w:val="22"/>
          <w:szCs w:val="22"/>
        </w:rPr>
        <w:t xml:space="preserve"> naszego miksu energetycznego, w którym mamy dostępne LNG i bioLNG. Co więcej, usługa ta o</w:t>
      </w:r>
      <w:r w:rsidRPr="00333040">
        <w:rPr>
          <w:rFonts w:ascii="Calibri" w:hAnsi="Calibri" w:cs="Calibri"/>
          <w:i/>
          <w:iCs/>
          <w:sz w:val="22"/>
          <w:szCs w:val="22"/>
        </w:rPr>
        <w:t>dpowiada na wymagania</w:t>
      </w:r>
      <w:r w:rsidR="00B8236A">
        <w:rPr>
          <w:rFonts w:ascii="Calibri" w:hAnsi="Calibri" w:cs="Calibri"/>
          <w:i/>
          <w:iCs/>
          <w:sz w:val="22"/>
          <w:szCs w:val="22"/>
        </w:rPr>
        <w:t xml:space="preserve"> i potrzeby naszych </w:t>
      </w:r>
      <w:r w:rsidR="00F84347">
        <w:rPr>
          <w:rFonts w:ascii="Calibri" w:hAnsi="Calibri" w:cs="Calibri"/>
          <w:i/>
          <w:iCs/>
          <w:sz w:val="22"/>
          <w:szCs w:val="22"/>
        </w:rPr>
        <w:t>klientów</w:t>
      </w:r>
      <w:r w:rsidR="00B8236A">
        <w:rPr>
          <w:rFonts w:ascii="Calibri" w:hAnsi="Calibri" w:cs="Calibri"/>
          <w:i/>
          <w:iCs/>
          <w:sz w:val="22"/>
          <w:szCs w:val="22"/>
        </w:rPr>
        <w:t xml:space="preserve"> i mo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żna </w:t>
      </w:r>
      <w:r w:rsidR="00B8236A">
        <w:rPr>
          <w:rFonts w:ascii="Calibri" w:hAnsi="Calibri" w:cs="Calibri"/>
          <w:i/>
          <w:iCs/>
          <w:sz w:val="22"/>
          <w:szCs w:val="22"/>
        </w:rPr>
        <w:t>ją</w:t>
      </w:r>
      <w:r w:rsidRPr="00333040">
        <w:rPr>
          <w:rFonts w:ascii="Calibri" w:hAnsi="Calibri" w:cs="Calibri"/>
          <w:i/>
          <w:iCs/>
          <w:sz w:val="22"/>
          <w:szCs w:val="22"/>
        </w:rPr>
        <w:t xml:space="preserve"> stosować w większości krajów, w których działamy</w:t>
      </w:r>
      <w:r w:rsidRPr="00333040">
        <w:rPr>
          <w:rFonts w:ascii="Calibri" w:hAnsi="Calibri" w:cs="Calibri"/>
          <w:sz w:val="22"/>
          <w:szCs w:val="22"/>
        </w:rPr>
        <w:t xml:space="preserve"> – </w:t>
      </w:r>
      <w:r w:rsidR="008A7F8A" w:rsidRPr="00D24E5E">
        <w:rPr>
          <w:rFonts w:ascii="Calibri" w:hAnsi="Calibri" w:cs="Calibri"/>
          <w:b/>
          <w:bCs/>
          <w:sz w:val="22"/>
          <w:szCs w:val="22"/>
        </w:rPr>
        <w:t>komentuje Krzysztof</w:t>
      </w:r>
      <w:r w:rsidRPr="00333040">
        <w:rPr>
          <w:rFonts w:ascii="Calibri" w:hAnsi="Calibri" w:cs="Calibri"/>
          <w:b/>
          <w:bCs/>
          <w:sz w:val="22"/>
          <w:szCs w:val="22"/>
        </w:rPr>
        <w:t xml:space="preserve"> Potok, Prezes Grupy Elmex.</w:t>
      </w:r>
    </w:p>
    <w:p w14:paraId="36062B8F" w14:textId="6C9D5C14" w:rsidR="00333040" w:rsidRPr="00333040" w:rsidRDefault="00333040" w:rsidP="00867504">
      <w:pPr>
        <w:jc w:val="both"/>
        <w:rPr>
          <w:rFonts w:ascii="Calibri" w:hAnsi="Calibri" w:cs="Calibri"/>
          <w:b/>
          <w:sz w:val="22"/>
          <w:szCs w:val="22"/>
        </w:rPr>
      </w:pPr>
      <w:r w:rsidRPr="00333040">
        <w:rPr>
          <w:rFonts w:ascii="Calibri" w:hAnsi="Calibri" w:cs="Calibri"/>
          <w:b/>
          <w:sz w:val="22"/>
          <w:szCs w:val="22"/>
        </w:rPr>
        <w:t xml:space="preserve">O Eurowag: </w:t>
      </w:r>
    </w:p>
    <w:p w14:paraId="25C1E73D" w14:textId="77777777" w:rsidR="00333040" w:rsidRPr="00333040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Eurowag został założony w 1995 roku i jest wiodącą firmą technologiczną oraz ważnym partnerem europejskiej branży transportu drogowego (CRT), działającą z misją tworzenia czystej, sprawiedliwej i wydajnej przyszłości. Eurowag wspiera firmy transportowe w przechodzeniu na niskoemisyjne, cyfrowe rozwiązania, integrując kluczowe dane operacyjne, analizy, płatności oraz finansowanie w jednym ekosystemie, który łączy procesy przed trasą, w jej trakcie i po dostawie: </w:t>
      </w:r>
      <w:hyperlink r:id="rId6" w:history="1">
        <w:r w:rsidRPr="00333040">
          <w:rPr>
            <w:rStyle w:val="Hipercze"/>
            <w:rFonts w:ascii="Calibri" w:hAnsi="Calibri" w:cs="Calibri"/>
            <w:sz w:val="22"/>
            <w:szCs w:val="22"/>
          </w:rPr>
          <w:t>eurowag.com/pl</w:t>
        </w:r>
      </w:hyperlink>
    </w:p>
    <w:p w14:paraId="0260C232" w14:textId="77777777" w:rsidR="00333040" w:rsidRPr="00333040" w:rsidRDefault="00333040" w:rsidP="00867504">
      <w:pPr>
        <w:jc w:val="both"/>
        <w:rPr>
          <w:rFonts w:ascii="Calibri" w:hAnsi="Calibri" w:cs="Calibri"/>
          <w:b/>
          <w:sz w:val="22"/>
          <w:szCs w:val="22"/>
        </w:rPr>
      </w:pPr>
      <w:r w:rsidRPr="00333040">
        <w:rPr>
          <w:rFonts w:ascii="Calibri" w:hAnsi="Calibri" w:cs="Calibri"/>
          <w:b/>
          <w:sz w:val="22"/>
          <w:szCs w:val="22"/>
        </w:rPr>
        <w:t>O FincoEnergies</w:t>
      </w:r>
    </w:p>
    <w:p w14:paraId="1BD209BB" w14:textId="77777777" w:rsidR="005C7803" w:rsidRDefault="005C7803" w:rsidP="005C7803">
      <w:pPr>
        <w:jc w:val="both"/>
        <w:rPr>
          <w:rFonts w:ascii="Calibri" w:hAnsi="Calibri" w:cs="Calibri"/>
          <w:sz w:val="22"/>
          <w:szCs w:val="22"/>
        </w:rPr>
      </w:pPr>
      <w:r w:rsidRPr="005C7803">
        <w:rPr>
          <w:rFonts w:ascii="Calibri" w:hAnsi="Calibri" w:cs="Calibri"/>
          <w:sz w:val="22"/>
          <w:szCs w:val="22"/>
        </w:rPr>
        <w:t>FincoEnergies dostarcza paliwa odnawialne i rozwiązania wspierające ograniczanie śladu węglowego. Firma działa z myślą o przewoźnikach oraz właścicielach ładunków. Wspiera także partnerów logistycznych. Jej celem jest ułatwianie redukcji zanieczyszczeń w sposób wiarygodny i efektywny.</w:t>
      </w:r>
    </w:p>
    <w:p w14:paraId="7137122E" w14:textId="113AE78F" w:rsidR="00333040" w:rsidRPr="00333040" w:rsidRDefault="00333040" w:rsidP="005C7803">
      <w:pPr>
        <w:jc w:val="both"/>
        <w:rPr>
          <w:rFonts w:ascii="Calibri" w:hAnsi="Calibri" w:cs="Calibri"/>
          <w:b/>
          <w:sz w:val="22"/>
          <w:szCs w:val="22"/>
        </w:rPr>
      </w:pPr>
      <w:r w:rsidRPr="00333040">
        <w:rPr>
          <w:rFonts w:ascii="Calibri" w:hAnsi="Calibri" w:cs="Calibri"/>
          <w:b/>
          <w:sz w:val="22"/>
          <w:szCs w:val="22"/>
        </w:rPr>
        <w:t xml:space="preserve">Kontakty dla mediów: </w:t>
      </w:r>
    </w:p>
    <w:p w14:paraId="68C15FC7" w14:textId="77777777" w:rsidR="00333040" w:rsidRPr="00333040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Karolina Góral </w:t>
      </w:r>
    </w:p>
    <w:p w14:paraId="5D8432E0" w14:textId="77777777" w:rsidR="00333040" w:rsidRPr="00333040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hyperlink r:id="rId7">
        <w:r w:rsidRPr="00333040">
          <w:rPr>
            <w:rFonts w:ascii="Calibri" w:hAnsi="Calibri" w:cs="Calibri"/>
            <w:color w:val="0563C1"/>
            <w:sz w:val="22"/>
            <w:szCs w:val="22"/>
            <w:u w:val="single"/>
          </w:rPr>
          <w:t>k.goral@lightscape.pl</w:t>
        </w:r>
      </w:hyperlink>
      <w:r w:rsidRPr="00333040">
        <w:rPr>
          <w:rFonts w:ascii="Calibri" w:hAnsi="Calibri" w:cs="Calibri"/>
          <w:sz w:val="22"/>
          <w:szCs w:val="22"/>
        </w:rPr>
        <w:t xml:space="preserve"> / </w:t>
      </w:r>
      <w:r w:rsidRPr="00333040">
        <w:rPr>
          <w:rFonts w:ascii="Calibri" w:hAnsi="Calibri" w:cs="Calibri"/>
          <w:color w:val="000000"/>
          <w:sz w:val="22"/>
          <w:szCs w:val="22"/>
          <w:lang w:val="fr-FR"/>
        </w:rPr>
        <w:t>+48 532 186 748</w:t>
      </w:r>
    </w:p>
    <w:p w14:paraId="33A0B68F" w14:textId="77777777" w:rsidR="00333040" w:rsidRPr="00333040" w:rsidRDefault="00333040" w:rsidP="00867504">
      <w:pPr>
        <w:jc w:val="both"/>
        <w:rPr>
          <w:rFonts w:ascii="Calibri" w:hAnsi="Calibri" w:cs="Calibri"/>
          <w:color w:val="000000"/>
          <w:sz w:val="22"/>
          <w:szCs w:val="22"/>
          <w:lang w:val="fr-FR"/>
        </w:rPr>
      </w:pPr>
      <w:r w:rsidRPr="00333040">
        <w:rPr>
          <w:rFonts w:ascii="Calibri" w:hAnsi="Calibri" w:cs="Calibri"/>
          <w:sz w:val="22"/>
          <w:szCs w:val="22"/>
          <w:lang w:val="fr-FR"/>
        </w:rPr>
        <w:t>Aleksandra Morka</w:t>
      </w:r>
    </w:p>
    <w:p w14:paraId="3788571A" w14:textId="77777777" w:rsidR="00333040" w:rsidRPr="00333040" w:rsidRDefault="00333040" w:rsidP="00867504">
      <w:pPr>
        <w:jc w:val="both"/>
        <w:rPr>
          <w:rFonts w:ascii="Calibri" w:hAnsi="Calibri" w:cs="Calibri"/>
          <w:sz w:val="22"/>
          <w:szCs w:val="22"/>
          <w:lang w:val="fr-FR"/>
        </w:rPr>
      </w:pPr>
      <w:hyperlink r:id="rId8">
        <w:r w:rsidRPr="00333040">
          <w:rPr>
            <w:rFonts w:ascii="Calibri" w:hAnsi="Calibri" w:cs="Calibri"/>
            <w:color w:val="0563C1"/>
            <w:sz w:val="22"/>
            <w:szCs w:val="22"/>
            <w:u w:val="single"/>
            <w:lang w:val="fr-FR"/>
          </w:rPr>
          <w:t>a.morka@lightscape.pl</w:t>
        </w:r>
      </w:hyperlink>
      <w:r w:rsidRPr="00333040">
        <w:rPr>
          <w:rFonts w:ascii="Calibri" w:hAnsi="Calibri" w:cs="Calibri"/>
          <w:sz w:val="22"/>
          <w:szCs w:val="22"/>
          <w:lang w:val="fr-FR"/>
        </w:rPr>
        <w:t xml:space="preserve"> / </w:t>
      </w:r>
      <w:r w:rsidRPr="00333040">
        <w:rPr>
          <w:rFonts w:ascii="Calibri" w:hAnsi="Calibri" w:cs="Calibri"/>
          <w:sz w:val="22"/>
          <w:szCs w:val="22"/>
        </w:rPr>
        <w:t>+48 531 444 469</w:t>
      </w:r>
    </w:p>
    <w:p w14:paraId="04826168" w14:textId="77777777" w:rsidR="00333040" w:rsidRPr="00333040" w:rsidRDefault="00333040" w:rsidP="00867504">
      <w:pPr>
        <w:jc w:val="both"/>
        <w:rPr>
          <w:rFonts w:ascii="Calibri" w:hAnsi="Calibri" w:cs="Calibri"/>
          <w:b/>
          <w:sz w:val="22"/>
          <w:szCs w:val="22"/>
        </w:rPr>
      </w:pPr>
      <w:r w:rsidRPr="00333040">
        <w:rPr>
          <w:rFonts w:ascii="Calibri" w:hAnsi="Calibri" w:cs="Calibri"/>
          <w:b/>
          <w:sz w:val="22"/>
          <w:szCs w:val="22"/>
        </w:rPr>
        <w:t>EUROWAG:</w:t>
      </w:r>
    </w:p>
    <w:p w14:paraId="18DF87E8" w14:textId="77777777" w:rsidR="00333040" w:rsidRPr="00333040" w:rsidRDefault="00333040" w:rsidP="00867504">
      <w:pPr>
        <w:jc w:val="both"/>
        <w:rPr>
          <w:rFonts w:ascii="Calibri" w:hAnsi="Calibri" w:cs="Calibri"/>
          <w:sz w:val="22"/>
          <w:szCs w:val="22"/>
        </w:rPr>
      </w:pPr>
      <w:r w:rsidRPr="00333040">
        <w:rPr>
          <w:rFonts w:ascii="Calibri" w:hAnsi="Calibri" w:cs="Calibri"/>
          <w:sz w:val="22"/>
          <w:szCs w:val="22"/>
        </w:rPr>
        <w:t xml:space="preserve">Zuzana Kačánová </w:t>
      </w:r>
    </w:p>
    <w:p w14:paraId="526DA0CD" w14:textId="77777777" w:rsidR="00333040" w:rsidRPr="00333040" w:rsidRDefault="00333040" w:rsidP="00D24E5E">
      <w:pPr>
        <w:jc w:val="both"/>
        <w:rPr>
          <w:rFonts w:ascii="Calibri" w:hAnsi="Calibri" w:cs="Calibri"/>
          <w:sz w:val="22"/>
          <w:szCs w:val="22"/>
          <w:lang w:val="fr-FR"/>
        </w:rPr>
      </w:pPr>
      <w:hyperlink r:id="rId9">
        <w:r w:rsidRPr="00333040">
          <w:rPr>
            <w:rFonts w:ascii="Calibri" w:hAnsi="Calibri" w:cs="Calibri"/>
            <w:color w:val="0563C1"/>
            <w:sz w:val="22"/>
            <w:szCs w:val="22"/>
            <w:u w:val="single"/>
            <w:lang w:val="fr-FR"/>
          </w:rPr>
          <w:t xml:space="preserve">zuzana.kacanova@eurowag.com </w:t>
        </w:r>
      </w:hyperlink>
    </w:p>
    <w:p w14:paraId="34C79582" w14:textId="77777777" w:rsidR="000A44B0" w:rsidRPr="00333040" w:rsidRDefault="000A44B0" w:rsidP="00D24E5E">
      <w:pPr>
        <w:jc w:val="both"/>
        <w:rPr>
          <w:rFonts w:ascii="Calibri" w:hAnsi="Calibri" w:cs="Calibri"/>
          <w:sz w:val="22"/>
          <w:szCs w:val="22"/>
          <w:lang w:val="fr-FR"/>
        </w:rPr>
      </w:pPr>
    </w:p>
    <w:sectPr w:rsidR="000A44B0" w:rsidRPr="00333040" w:rsidSect="0012537F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A0A7A" w14:textId="77777777" w:rsidR="000A2F32" w:rsidRDefault="000A2F32" w:rsidP="00370A77">
      <w:pPr>
        <w:spacing w:after="0" w:line="240" w:lineRule="auto"/>
      </w:pPr>
      <w:r>
        <w:separator/>
      </w:r>
    </w:p>
  </w:endnote>
  <w:endnote w:type="continuationSeparator" w:id="0">
    <w:p w14:paraId="2160AB08" w14:textId="77777777" w:rsidR="000A2F32" w:rsidRDefault="000A2F32" w:rsidP="0037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7A9F" w14:textId="77777777" w:rsidR="000A2F32" w:rsidRDefault="000A2F32" w:rsidP="00370A77">
      <w:pPr>
        <w:spacing w:after="0" w:line="240" w:lineRule="auto"/>
      </w:pPr>
      <w:r>
        <w:separator/>
      </w:r>
    </w:p>
  </w:footnote>
  <w:footnote w:type="continuationSeparator" w:id="0">
    <w:p w14:paraId="55E14973" w14:textId="77777777" w:rsidR="000A2F32" w:rsidRDefault="000A2F32" w:rsidP="0037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D653" w14:textId="06AC15B9" w:rsidR="00370A77" w:rsidRDefault="00760F41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CA06A5" wp14:editId="191B2C4E">
          <wp:simplePos x="0" y="0"/>
          <wp:positionH relativeFrom="margin">
            <wp:posOffset>3418840</wp:posOffset>
          </wp:positionH>
          <wp:positionV relativeFrom="page">
            <wp:posOffset>207506</wp:posOffset>
          </wp:positionV>
          <wp:extent cx="3213735" cy="1033145"/>
          <wp:effectExtent l="0" t="0" r="0" b="0"/>
          <wp:wrapSquare wrapText="bothSides"/>
          <wp:docPr id="691953627" name="Obrázok 1" descr="Obrázok, na ktorom je písmo, snímka obrazovky, grafika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05859" name="Obrázok 1" descr="Obrázok, na ktorom je písmo, snímka obrazovky, grafika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373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A77"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7A7DC16D" wp14:editId="43B41EE9">
          <wp:simplePos x="0" y="0"/>
          <wp:positionH relativeFrom="page">
            <wp:posOffset>357640</wp:posOffset>
          </wp:positionH>
          <wp:positionV relativeFrom="page">
            <wp:posOffset>126020</wp:posOffset>
          </wp:positionV>
          <wp:extent cx="7563600" cy="10698834"/>
          <wp:effectExtent l="0" t="0" r="0" b="7620"/>
          <wp:wrapNone/>
          <wp:docPr id="5321401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0698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F07DCD" w14:textId="7D8657F7" w:rsidR="00370A77" w:rsidRDefault="00370A7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28"/>
    <w:rsid w:val="00017D67"/>
    <w:rsid w:val="000A2F32"/>
    <w:rsid w:val="000A44B0"/>
    <w:rsid w:val="000C1F60"/>
    <w:rsid w:val="000C33E0"/>
    <w:rsid w:val="000F31D8"/>
    <w:rsid w:val="0012537F"/>
    <w:rsid w:val="001511A5"/>
    <w:rsid w:val="001552A2"/>
    <w:rsid w:val="001627C7"/>
    <w:rsid w:val="00277044"/>
    <w:rsid w:val="002870D7"/>
    <w:rsid w:val="002D58F9"/>
    <w:rsid w:val="00333040"/>
    <w:rsid w:val="00370A77"/>
    <w:rsid w:val="003D5728"/>
    <w:rsid w:val="00467793"/>
    <w:rsid w:val="00483CBF"/>
    <w:rsid w:val="00505C9C"/>
    <w:rsid w:val="005C7803"/>
    <w:rsid w:val="005F213A"/>
    <w:rsid w:val="005F240B"/>
    <w:rsid w:val="00690F1A"/>
    <w:rsid w:val="006B0EB9"/>
    <w:rsid w:val="00760F41"/>
    <w:rsid w:val="007C7F57"/>
    <w:rsid w:val="00867504"/>
    <w:rsid w:val="008A7F8A"/>
    <w:rsid w:val="00916378"/>
    <w:rsid w:val="009F3B4E"/>
    <w:rsid w:val="00A0779C"/>
    <w:rsid w:val="00A43703"/>
    <w:rsid w:val="00AC2229"/>
    <w:rsid w:val="00AD26FD"/>
    <w:rsid w:val="00B2151B"/>
    <w:rsid w:val="00B548F3"/>
    <w:rsid w:val="00B560B1"/>
    <w:rsid w:val="00B8236A"/>
    <w:rsid w:val="00BC1990"/>
    <w:rsid w:val="00C53F28"/>
    <w:rsid w:val="00D24E5E"/>
    <w:rsid w:val="00D35F26"/>
    <w:rsid w:val="00D93B19"/>
    <w:rsid w:val="00E43A74"/>
    <w:rsid w:val="00EA7C9D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1A1B"/>
  <w15:chartTrackingRefBased/>
  <w15:docId w15:val="{77F36E53-0C85-4178-8626-399D2043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57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57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57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57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57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57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57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57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57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57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572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33040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7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A77"/>
  </w:style>
  <w:style w:type="paragraph" w:styleId="Stopka">
    <w:name w:val="footer"/>
    <w:basedOn w:val="Normalny"/>
    <w:link w:val="StopkaZnak"/>
    <w:uiPriority w:val="99"/>
    <w:unhideWhenUsed/>
    <w:rsid w:val="0037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A77"/>
  </w:style>
  <w:style w:type="paragraph" w:styleId="Poprawka">
    <w:name w:val="Revision"/>
    <w:hidden/>
    <w:uiPriority w:val="99"/>
    <w:semiHidden/>
    <w:rsid w:val="0086750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6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63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63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63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63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orka@lightscap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.goral@lightscape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urowag.com/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pr@eurowag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Morka</dc:creator>
  <cp:keywords/>
  <dc:description/>
  <cp:lastModifiedBy>Aleksandra Morka</cp:lastModifiedBy>
  <cp:revision>9</cp:revision>
  <dcterms:created xsi:type="dcterms:W3CDTF">2026-03-12T11:41:00Z</dcterms:created>
  <dcterms:modified xsi:type="dcterms:W3CDTF">2026-03-12T11:48:00Z</dcterms:modified>
</cp:coreProperties>
</file>