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BCBD" w14:textId="77777777" w:rsidR="009E6316" w:rsidRDefault="009E6316" w:rsidP="009E6316">
      <w:pPr>
        <w:spacing w:line="200" w:lineRule="exact"/>
        <w:jc w:val="right"/>
        <w:rPr>
          <w:sz w:val="24"/>
          <w:szCs w:val="24"/>
        </w:rPr>
      </w:pPr>
    </w:p>
    <w:p w14:paraId="2DF2F738" w14:textId="24B46ED3" w:rsidR="0032193F" w:rsidRDefault="009E6316" w:rsidP="00F4406A">
      <w:pPr>
        <w:spacing w:line="200" w:lineRule="exact"/>
        <w:ind w:right="24"/>
        <w:jc w:val="right"/>
        <w:rPr>
          <w:rFonts w:ascii="Calibri" w:hAnsi="Calibri" w:cs="Calibri"/>
        </w:rPr>
      </w:pPr>
      <w:r w:rsidRPr="009E6316">
        <w:rPr>
          <w:rFonts w:ascii="Calibri" w:hAnsi="Calibri" w:cs="Calibri"/>
        </w:rPr>
        <w:t>Warszawa,</w:t>
      </w:r>
      <w:r w:rsidR="00755DB1">
        <w:rPr>
          <w:rFonts w:ascii="Calibri" w:hAnsi="Calibri" w:cs="Calibri"/>
        </w:rPr>
        <w:t xml:space="preserve"> </w:t>
      </w:r>
      <w:r w:rsidR="00A75643">
        <w:rPr>
          <w:rFonts w:ascii="Calibri" w:hAnsi="Calibri" w:cs="Calibri"/>
        </w:rPr>
        <w:t>3</w:t>
      </w:r>
      <w:r w:rsidR="004233C5">
        <w:rPr>
          <w:rFonts w:ascii="Calibri" w:hAnsi="Calibri" w:cs="Calibri"/>
        </w:rPr>
        <w:t>1</w:t>
      </w:r>
      <w:r w:rsidR="00A75643">
        <w:rPr>
          <w:rFonts w:ascii="Calibri" w:hAnsi="Calibri" w:cs="Calibri"/>
        </w:rPr>
        <w:t xml:space="preserve"> marca 2026</w:t>
      </w:r>
    </w:p>
    <w:p w14:paraId="29706FB8" w14:textId="77777777" w:rsidR="009E6316" w:rsidRDefault="009E6316" w:rsidP="009E6316">
      <w:pPr>
        <w:spacing w:line="200" w:lineRule="exact"/>
        <w:rPr>
          <w:rFonts w:ascii="Calibri" w:hAnsi="Calibri" w:cs="Calibri"/>
        </w:rPr>
      </w:pPr>
    </w:p>
    <w:p w14:paraId="273E603C" w14:textId="77777777" w:rsidR="008024D9" w:rsidRDefault="008024D9" w:rsidP="006E0A72">
      <w:pPr>
        <w:ind w:right="-299"/>
        <w:jc w:val="both"/>
        <w:rPr>
          <w:rFonts w:ascii="Calibri" w:hAnsi="Calibri" w:cs="Calibri"/>
        </w:rPr>
      </w:pPr>
    </w:p>
    <w:p w14:paraId="7C22228C" w14:textId="58857B28" w:rsidR="008024D9" w:rsidRDefault="00326B2D" w:rsidP="0052377D">
      <w:pPr>
        <w:spacing w:line="276" w:lineRule="auto"/>
        <w:ind w:right="-299"/>
        <w:jc w:val="both"/>
        <w:rPr>
          <w:rFonts w:ascii="Calibri" w:hAnsi="Calibri" w:cs="Calibri"/>
        </w:rPr>
      </w:pPr>
      <w:r w:rsidRPr="00481D05">
        <w:rPr>
          <w:rFonts w:ascii="Calibri" w:hAnsi="Calibri" w:cs="Calibri"/>
        </w:rPr>
        <w:t>Informacja prasowa</w:t>
      </w:r>
    </w:p>
    <w:p w14:paraId="0B36A5A0" w14:textId="77777777" w:rsidR="008024D9" w:rsidRDefault="008024D9" w:rsidP="0052377D">
      <w:pPr>
        <w:spacing w:line="276" w:lineRule="auto"/>
        <w:ind w:right="-299"/>
        <w:jc w:val="both"/>
        <w:rPr>
          <w:rFonts w:ascii="Calibri" w:hAnsi="Calibri" w:cs="Calibri"/>
        </w:rPr>
      </w:pPr>
    </w:p>
    <w:p w14:paraId="1A8CC568" w14:textId="652FBB67" w:rsidR="00A51443" w:rsidRPr="00A51443" w:rsidRDefault="00A51443" w:rsidP="00A51443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proofErr w:type="spellStart"/>
      <w:r w:rsidRPr="00A5144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Royal</w:t>
      </w:r>
      <w:proofErr w:type="spellEnd"/>
      <w:r w:rsidRPr="00A5144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Wilanów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zmienił właściciela</w:t>
      </w:r>
    </w:p>
    <w:p w14:paraId="1D3CB81A" w14:textId="20294C4F" w:rsidR="00A51443" w:rsidRPr="00A51443" w:rsidRDefault="00A51443" w:rsidP="00A51443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Grupa Capital Park sprzedała kompleks </w:t>
      </w:r>
      <w:proofErr w:type="spellStart"/>
      <w:r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Royal</w:t>
      </w:r>
      <w:proofErr w:type="spellEnd"/>
      <w:r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Wilanów w Warszawie czeskiemu funduszowi nieruchomościowemu WOOD &amp; Company. Wartość transakcji przekroczyła 100 mln euro.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>Budynek</w:t>
      </w:r>
      <w:r w:rsidR="00A60154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>oferuje 3</w:t>
      </w:r>
      <w:r w:rsidR="004A4622">
        <w:rPr>
          <w:rFonts w:ascii="Calibri" w:hAnsi="Calibri" w:cs="Calibri"/>
          <w:b/>
          <w:bCs/>
          <w:color w:val="000000"/>
          <w:sz w:val="24"/>
          <w:szCs w:val="24"/>
        </w:rPr>
        <w:t>7</w:t>
      </w:r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 xml:space="preserve"> 000 mkw. powierzchni najmu i jest w pełni skomercjalizowany.</w:t>
      </w:r>
    </w:p>
    <w:p w14:paraId="3D6F8322" w14:textId="7F40FBEE" w:rsidR="00A51443" w:rsidRPr="00A51443" w:rsidRDefault="00A51443" w:rsidP="00A51443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Royal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Wilanów to nowoczesny, wielofunkcyjny kompleks zlokalizowany </w:t>
      </w:r>
      <w:r w:rsidR="00A60154">
        <w:rPr>
          <w:rFonts w:ascii="Calibri" w:eastAsia="Times New Roman" w:hAnsi="Calibri" w:cs="Calibri"/>
          <w:color w:val="000000"/>
          <w:sz w:val="24"/>
          <w:szCs w:val="24"/>
        </w:rPr>
        <w:t>na w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>arszaw</w:t>
      </w:r>
      <w:r w:rsidR="00A60154">
        <w:rPr>
          <w:rFonts w:ascii="Calibri" w:eastAsia="Times New Roman" w:hAnsi="Calibri" w:cs="Calibri"/>
          <w:color w:val="000000"/>
          <w:sz w:val="24"/>
          <w:szCs w:val="24"/>
        </w:rPr>
        <w:t>skim Wilanowie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>ięciokondygnacyjny budynek klasy A o</w:t>
      </w:r>
      <w:r>
        <w:rPr>
          <w:rFonts w:ascii="Calibri" w:eastAsia="Times New Roman" w:hAnsi="Calibri" w:cs="Calibri"/>
          <w:color w:val="000000"/>
          <w:sz w:val="24"/>
          <w:szCs w:val="24"/>
        </w:rPr>
        <w:t>feruje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ok. 2</w:t>
      </w:r>
      <w:r w:rsidR="004A4622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000 mkw. powierzchni biurowej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Pozostałą część stanowi strefa handlowo-usługowa z bogatą ofertą gastronomiczną, sklepami</w:t>
      </w:r>
      <w:r w:rsidR="004A4622">
        <w:rPr>
          <w:rFonts w:ascii="Calibri" w:eastAsia="Times New Roman" w:hAnsi="Calibri" w:cs="Calibri"/>
          <w:color w:val="000000"/>
          <w:sz w:val="24"/>
          <w:szCs w:val="24"/>
        </w:rPr>
        <w:t>, przedszkolem, klubem fitness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oraz </w:t>
      </w:r>
      <w:r w:rsidR="00A60154">
        <w:rPr>
          <w:rFonts w:ascii="Calibri" w:eastAsia="Times New Roman" w:hAnsi="Calibri" w:cs="Calibri"/>
          <w:color w:val="000000"/>
          <w:sz w:val="24"/>
          <w:szCs w:val="24"/>
        </w:rPr>
        <w:t>operatorami medycznymi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. Wśród najemców znajdują się m.in.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Hilti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Polska,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Erbud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S.A., Carrefour Polska, MJM Holdings, Benefit Systems S.A.</w:t>
      </w:r>
      <w:r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Lindt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&amp; </w:t>
      </w:r>
      <w:proofErr w:type="spellStart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>Sprüngli</w:t>
      </w:r>
      <w:proofErr w:type="spellEnd"/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Polska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Medicover oraz LUXMED. </w:t>
      </w:r>
    </w:p>
    <w:p w14:paraId="7A0676FB" w14:textId="5BBA8BD8" w:rsidR="00A51443" w:rsidRPr="00A51443" w:rsidRDefault="00A51443" w:rsidP="00A51443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A5144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Royal</w:t>
      </w:r>
      <w:proofErr w:type="spellEnd"/>
      <w:r w:rsidRPr="00A5144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Wilanów to dla nas znacznie więcej niż budynek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-</w:t>
      </w:r>
      <w:r w:rsidRPr="00A5144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to także siedziba naszej firmy i miejsce, które rozwijaliśmy przez ponad 10 lat. Od momentu otwarcia w 2015 roku konsekwentnie dbaliśmy o jego</w:t>
      </w:r>
      <w:r w:rsidR="00A60154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codzienne</w:t>
      </w:r>
      <w:r w:rsidRPr="00A5144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funkcjonowanie, obserwując z dumą, jak stał się integralną częścią Wilanowa oraz popularnym miejscem spotkań lokalnej społeczności. Cieszymy się, że projekt trafia w dobre ręce, a my pozostajemy zaangażowani w jego dalsze </w:t>
      </w:r>
      <w:r w:rsidR="00A60154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działanie</w:t>
      </w:r>
      <w:r w:rsidRPr="00A5144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jako zarządca, zapewniając ciągłość dla naszych najemców i partnerów</w:t>
      </w:r>
      <w:r w:rsidR="00B372E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biznesowych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372EC"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mówi </w:t>
      </w:r>
      <w:r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Marcin Juszczyk, Partner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Zarządzajacy</w:t>
      </w:r>
      <w:proofErr w:type="spellEnd"/>
      <w:r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 Wiceprezes Zarządu</w:t>
      </w:r>
      <w:r w:rsidR="000014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 Grupie</w:t>
      </w:r>
      <w:r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Capital Park</w:t>
      </w:r>
      <w:r w:rsidRPr="00A51443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48A49A6C" w14:textId="6D4AD539" w:rsidR="00B372EC" w:rsidRDefault="00A46A65" w:rsidP="00B372E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4"/>
          <w:szCs w:val="24"/>
        </w:rPr>
      </w:pPr>
      <w:r w:rsidRPr="00A46A65">
        <w:rPr>
          <w:rFonts w:ascii="Calibri" w:eastAsia="Times New Roman" w:hAnsi="Calibri" w:cs="Calibri"/>
          <w:color w:val="000000"/>
          <w:sz w:val="24"/>
          <w:szCs w:val="24"/>
        </w:rPr>
        <w:t>Dzięki zakupowi WOOD &amp; Company</w:t>
      </w:r>
      <w:r w:rsidRPr="00A46A65">
        <w:rPr>
          <w:rFonts w:ascii="Calibri" w:hAnsi="Calibri" w:cs="Calibri"/>
          <w:color w:val="000000"/>
          <w:sz w:val="24"/>
          <w:szCs w:val="24"/>
        </w:rPr>
        <w:t xml:space="preserve"> ponad dwukrotnie zwiększył swoje zaangażowanie na polskim rynku biurowym.</w:t>
      </w:r>
      <w:r w:rsidRPr="00A5144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372EC" w:rsidRPr="00B372EC">
        <w:rPr>
          <w:rFonts w:ascii="Calibri" w:hAnsi="Calibri" w:cs="Calibri"/>
          <w:color w:val="000000"/>
          <w:sz w:val="24"/>
          <w:szCs w:val="24"/>
        </w:rPr>
        <w:t xml:space="preserve">To piąta inwestycja nieruchomościowa grupy w Polsce oraz trzeci budynek biurowy w Warszawie, po projektach </w:t>
      </w:r>
      <w:proofErr w:type="spellStart"/>
      <w:r w:rsidR="00B372EC" w:rsidRPr="00B372EC">
        <w:rPr>
          <w:rFonts w:ascii="Calibri" w:hAnsi="Calibri" w:cs="Calibri"/>
          <w:color w:val="000000"/>
          <w:sz w:val="24"/>
          <w:szCs w:val="24"/>
        </w:rPr>
        <w:t>Astrum</w:t>
      </w:r>
      <w:proofErr w:type="spellEnd"/>
      <w:r w:rsidR="00B372EC" w:rsidRPr="00B372EC">
        <w:rPr>
          <w:rFonts w:ascii="Calibri" w:hAnsi="Calibri" w:cs="Calibri"/>
          <w:color w:val="000000"/>
          <w:sz w:val="24"/>
          <w:szCs w:val="24"/>
        </w:rPr>
        <w:t xml:space="preserve"> Business Park i </w:t>
      </w:r>
      <w:proofErr w:type="spellStart"/>
      <w:r w:rsidR="00B372EC" w:rsidRPr="00B372EC">
        <w:rPr>
          <w:rFonts w:ascii="Calibri" w:hAnsi="Calibri" w:cs="Calibri"/>
          <w:color w:val="000000"/>
          <w:sz w:val="24"/>
          <w:szCs w:val="24"/>
        </w:rPr>
        <w:t>Concept</w:t>
      </w:r>
      <w:proofErr w:type="spellEnd"/>
      <w:r w:rsidR="00B372EC" w:rsidRPr="00B372EC">
        <w:rPr>
          <w:rFonts w:ascii="Calibri" w:hAnsi="Calibri" w:cs="Calibri"/>
          <w:color w:val="000000"/>
          <w:sz w:val="24"/>
          <w:szCs w:val="24"/>
        </w:rPr>
        <w:t xml:space="preserve"> Tower.</w:t>
      </w:r>
    </w:p>
    <w:p w14:paraId="1BF7EDFE" w14:textId="40A58D10" w:rsidR="00A51443" w:rsidRPr="00A51443" w:rsidRDefault="00B372EC" w:rsidP="00B372EC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="00A51443"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A51443" w:rsidRPr="00A5144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Royal</w:t>
      </w:r>
      <w:proofErr w:type="spellEnd"/>
      <w:r w:rsidR="00A51443" w:rsidRPr="00A5144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Wilanów to unikalny kompleks, który łączy funkcje biurowe, handlowe i rekreacyjne, tworząc dynamiczne środowisko dla najemców i lokalnej społeczności. Zróżnicowana baza ponad 80 najemców oraz historycznie wysoki poziom komercjalizacji doskonale wpisują się w naszą strategię inwestowania w wysokiej jakości aktywa generujące stabilne, długoterminowe zwroty</w:t>
      </w:r>
      <w:r w:rsidR="00A51443"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="00A51443" w:rsidRPr="00A51443">
        <w:rPr>
          <w:rFonts w:ascii="Calibri" w:eastAsia="Times New Roman" w:hAnsi="Calibri" w:cs="Calibri"/>
          <w:color w:val="000000"/>
          <w:sz w:val="24"/>
          <w:szCs w:val="24"/>
        </w:rPr>
        <w:t xml:space="preserve"> mówi </w:t>
      </w:r>
      <w:r w:rsidR="00A51443"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Jan Kolb, Investment Manager w WOOD Real </w:t>
      </w:r>
      <w:proofErr w:type="spellStart"/>
      <w:r w:rsidR="00A51443" w:rsidRPr="00A514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Estate</w:t>
      </w:r>
      <w:proofErr w:type="spellEnd"/>
      <w:r w:rsidR="00A51443" w:rsidRPr="00A51443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B04F6A9" w14:textId="0D648598" w:rsidR="00B372EC" w:rsidRPr="00B372EC" w:rsidRDefault="00B372EC" w:rsidP="00B372E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 w:rsidRPr="00B372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60154">
        <w:rPr>
          <w:rFonts w:ascii="Calibri" w:hAnsi="Calibri" w:cs="Calibri"/>
          <w:i/>
          <w:iCs/>
          <w:color w:val="000000"/>
          <w:sz w:val="24"/>
          <w:szCs w:val="24"/>
        </w:rPr>
        <w:t>Zakup</w:t>
      </w:r>
      <w:r w:rsidRPr="00A60154">
        <w:rPr>
          <w:rFonts w:ascii="Calibri" w:hAnsi="Calibri" w:cs="Calibri"/>
          <w:i/>
          <w:iCs/>
          <w:color w:val="000000"/>
          <w:sz w:val="24"/>
          <w:szCs w:val="24"/>
        </w:rPr>
        <w:t xml:space="preserve"> projektu </w:t>
      </w:r>
      <w:proofErr w:type="spellStart"/>
      <w:r w:rsidRPr="00A60154">
        <w:rPr>
          <w:rFonts w:ascii="Calibri" w:hAnsi="Calibri" w:cs="Calibri"/>
          <w:i/>
          <w:iCs/>
          <w:color w:val="000000"/>
          <w:sz w:val="24"/>
          <w:szCs w:val="24"/>
        </w:rPr>
        <w:t>Royal</w:t>
      </w:r>
      <w:proofErr w:type="spellEnd"/>
      <w:r w:rsidRPr="00A60154">
        <w:rPr>
          <w:rFonts w:ascii="Calibri" w:hAnsi="Calibri" w:cs="Calibri"/>
          <w:i/>
          <w:iCs/>
          <w:color w:val="000000"/>
          <w:sz w:val="24"/>
          <w:szCs w:val="24"/>
        </w:rPr>
        <w:t xml:space="preserve"> Wilanów jest w pełni zgodne z naszą długoterminową strategią inwestycyjną, która zakłada wzmacnianie zaangażowania na kluczowych rynkach Europy </w:t>
      </w:r>
      <w:r w:rsidRPr="00A60154">
        <w:rPr>
          <w:rFonts w:ascii="Calibri" w:hAnsi="Calibri" w:cs="Calibri"/>
          <w:i/>
          <w:iCs/>
          <w:color w:val="000000"/>
          <w:sz w:val="24"/>
          <w:szCs w:val="24"/>
        </w:rPr>
        <w:lastRenderedPageBreak/>
        <w:t>Środkowej, w szczególności w Polsce - jednym z największych i najbardziej płynnych rynków nieruchomości w regionie. Transakcja przyczyn</w:t>
      </w:r>
      <w:r w:rsidR="00A60154">
        <w:rPr>
          <w:rFonts w:ascii="Calibri" w:hAnsi="Calibri" w:cs="Calibri"/>
          <w:i/>
          <w:iCs/>
          <w:color w:val="000000"/>
          <w:sz w:val="24"/>
          <w:szCs w:val="24"/>
        </w:rPr>
        <w:t>ia</w:t>
      </w:r>
      <w:r w:rsidRPr="00A60154">
        <w:rPr>
          <w:rFonts w:ascii="Calibri" w:hAnsi="Calibri" w:cs="Calibri"/>
          <w:i/>
          <w:iCs/>
          <w:color w:val="000000"/>
          <w:sz w:val="24"/>
          <w:szCs w:val="24"/>
        </w:rPr>
        <w:t xml:space="preserve"> się do dalszej dywersyfikacji geograficznej portfeli </w:t>
      </w:r>
      <w:r w:rsidR="00A60154">
        <w:rPr>
          <w:rFonts w:ascii="Calibri" w:hAnsi="Calibri" w:cs="Calibri"/>
          <w:i/>
          <w:iCs/>
          <w:color w:val="000000"/>
          <w:sz w:val="24"/>
          <w:szCs w:val="24"/>
        </w:rPr>
        <w:t xml:space="preserve">naszych </w:t>
      </w:r>
      <w:r w:rsidRPr="00A60154">
        <w:rPr>
          <w:rFonts w:ascii="Calibri" w:hAnsi="Calibri" w:cs="Calibri"/>
          <w:i/>
          <w:iCs/>
          <w:color w:val="000000"/>
          <w:sz w:val="24"/>
          <w:szCs w:val="24"/>
        </w:rPr>
        <w:t xml:space="preserve">subfunduszy </w:t>
      </w:r>
      <w:r w:rsidR="00A60154">
        <w:rPr>
          <w:rFonts w:ascii="Calibri" w:hAnsi="Calibri" w:cs="Calibri"/>
          <w:i/>
          <w:iCs/>
          <w:color w:val="000000"/>
          <w:sz w:val="24"/>
          <w:szCs w:val="24"/>
        </w:rPr>
        <w:t xml:space="preserve">biurowych i </w:t>
      </w:r>
      <w:proofErr w:type="spellStart"/>
      <w:r w:rsidR="00A60154">
        <w:rPr>
          <w:rFonts w:ascii="Calibri" w:hAnsi="Calibri" w:cs="Calibri"/>
          <w:i/>
          <w:iCs/>
          <w:color w:val="000000"/>
          <w:sz w:val="24"/>
          <w:szCs w:val="24"/>
        </w:rPr>
        <w:t>retailowych</w:t>
      </w:r>
      <w:proofErr w:type="spellEnd"/>
      <w:r w:rsidRPr="00A60154">
        <w:rPr>
          <w:rFonts w:ascii="Calibri" w:hAnsi="Calibri" w:cs="Calibri"/>
          <w:i/>
          <w:iCs/>
          <w:color w:val="000000"/>
          <w:sz w:val="24"/>
          <w:szCs w:val="24"/>
        </w:rPr>
        <w:t xml:space="preserve"> oraz wspiera stabilność długoterminowych zwrotów</w:t>
      </w:r>
      <w:r w:rsidRPr="00B372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-</w:t>
      </w:r>
      <w:r w:rsidRPr="00B372EC">
        <w:rPr>
          <w:rFonts w:ascii="Calibri" w:hAnsi="Calibri" w:cs="Calibri"/>
          <w:color w:val="000000"/>
          <w:sz w:val="24"/>
          <w:szCs w:val="24"/>
        </w:rPr>
        <w:t xml:space="preserve"> dodaje </w:t>
      </w:r>
      <w:proofErr w:type="spellStart"/>
      <w:r w:rsidRPr="00B372EC">
        <w:rPr>
          <w:rFonts w:ascii="Calibri" w:hAnsi="Calibri" w:cs="Calibri"/>
          <w:b/>
          <w:bCs/>
          <w:color w:val="000000"/>
          <w:sz w:val="24"/>
          <w:szCs w:val="24"/>
        </w:rPr>
        <w:t>Jiří</w:t>
      </w:r>
      <w:proofErr w:type="spellEnd"/>
      <w:r w:rsidRPr="00B372E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372EC">
        <w:rPr>
          <w:rFonts w:ascii="Calibri" w:hAnsi="Calibri" w:cs="Calibri"/>
          <w:b/>
          <w:bCs/>
          <w:color w:val="000000"/>
          <w:sz w:val="24"/>
          <w:szCs w:val="24"/>
        </w:rPr>
        <w:t>Hrbáček</w:t>
      </w:r>
      <w:proofErr w:type="spellEnd"/>
      <w:r w:rsidRPr="00B372EC">
        <w:rPr>
          <w:rFonts w:ascii="Calibri" w:hAnsi="Calibri" w:cs="Calibri"/>
          <w:b/>
          <w:bCs/>
          <w:color w:val="000000"/>
          <w:sz w:val="24"/>
          <w:szCs w:val="24"/>
        </w:rPr>
        <w:t xml:space="preserve">, Portfolio Manager w WOOD Real </w:t>
      </w:r>
      <w:proofErr w:type="spellStart"/>
      <w:r w:rsidRPr="00B372EC">
        <w:rPr>
          <w:rFonts w:ascii="Calibri" w:hAnsi="Calibri" w:cs="Calibri"/>
          <w:b/>
          <w:bCs/>
          <w:color w:val="000000"/>
          <w:sz w:val="24"/>
          <w:szCs w:val="24"/>
        </w:rPr>
        <w:t>Estate</w:t>
      </w:r>
      <w:proofErr w:type="spellEnd"/>
      <w:r w:rsidRPr="00B372EC">
        <w:rPr>
          <w:rFonts w:ascii="Calibri" w:hAnsi="Calibri" w:cs="Calibri"/>
          <w:color w:val="000000"/>
          <w:sz w:val="24"/>
          <w:szCs w:val="24"/>
        </w:rPr>
        <w:t>.</w:t>
      </w:r>
    </w:p>
    <w:p w14:paraId="62CD5576" w14:textId="77777777" w:rsidR="00B372EC" w:rsidRDefault="00B372EC" w:rsidP="00B372EC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C0DC784" w14:textId="14FD374F" w:rsidR="00A51443" w:rsidRPr="00B372EC" w:rsidRDefault="00B372EC" w:rsidP="00B372E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W procesie sprzedaży Grupie </w:t>
      </w:r>
      <w:r w:rsidRPr="00B372EC">
        <w:rPr>
          <w:rFonts w:ascii="Calibri" w:hAnsi="Calibri" w:cs="Calibri"/>
          <w:color w:val="000000"/>
          <w:sz w:val="24"/>
          <w:szCs w:val="24"/>
        </w:rPr>
        <w:t>Capital Park doradzały</w:t>
      </w:r>
      <w:r w:rsidR="004233C5">
        <w:rPr>
          <w:rFonts w:ascii="Calibri" w:hAnsi="Calibri" w:cs="Calibri"/>
          <w:color w:val="000000"/>
          <w:sz w:val="24"/>
          <w:szCs w:val="24"/>
        </w:rPr>
        <w:t xml:space="preserve"> firmy</w:t>
      </w:r>
      <w:r w:rsidRPr="00B372EC">
        <w:rPr>
          <w:rFonts w:ascii="Calibri" w:hAnsi="Calibri" w:cs="Calibri"/>
          <w:color w:val="000000"/>
          <w:sz w:val="24"/>
          <w:szCs w:val="24"/>
        </w:rPr>
        <w:t xml:space="preserve"> CBRE, MDDP oraz </w:t>
      </w:r>
      <w:proofErr w:type="spellStart"/>
      <w:r w:rsidRPr="00B372EC">
        <w:rPr>
          <w:rFonts w:ascii="Calibri" w:hAnsi="Calibri" w:cs="Calibri"/>
          <w:color w:val="000000"/>
          <w:sz w:val="24"/>
          <w:szCs w:val="24"/>
        </w:rPr>
        <w:t>Greenberg</w:t>
      </w:r>
      <w:proofErr w:type="spellEnd"/>
      <w:r w:rsidRPr="00B372E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B372EC">
        <w:rPr>
          <w:rFonts w:ascii="Calibri" w:hAnsi="Calibri" w:cs="Calibri"/>
          <w:color w:val="000000"/>
          <w:sz w:val="24"/>
          <w:szCs w:val="24"/>
        </w:rPr>
        <w:t>Traurig</w:t>
      </w:r>
      <w:proofErr w:type="spellEnd"/>
      <w:r w:rsidRPr="00B372EC">
        <w:rPr>
          <w:rFonts w:ascii="Calibri" w:hAnsi="Calibri" w:cs="Calibri"/>
          <w:color w:val="000000"/>
          <w:sz w:val="24"/>
          <w:szCs w:val="24"/>
        </w:rPr>
        <w:t xml:space="preserve">, natomiast WOOD &amp; Company </w:t>
      </w:r>
      <w:r w:rsidR="004233C5">
        <w:rPr>
          <w:rFonts w:ascii="Calibri" w:hAnsi="Calibri" w:cs="Calibri"/>
          <w:color w:val="000000"/>
          <w:sz w:val="24"/>
          <w:szCs w:val="24"/>
        </w:rPr>
        <w:t xml:space="preserve">był </w:t>
      </w:r>
      <w:r w:rsidRPr="00B372EC">
        <w:rPr>
          <w:rFonts w:ascii="Calibri" w:hAnsi="Calibri" w:cs="Calibri"/>
          <w:color w:val="000000"/>
          <w:sz w:val="24"/>
          <w:szCs w:val="24"/>
        </w:rPr>
        <w:t>wspiera</w:t>
      </w:r>
      <w:r w:rsidR="004233C5">
        <w:rPr>
          <w:rFonts w:ascii="Calibri" w:hAnsi="Calibri" w:cs="Calibri"/>
          <w:color w:val="000000"/>
          <w:sz w:val="24"/>
          <w:szCs w:val="24"/>
        </w:rPr>
        <w:t>ny przez</w:t>
      </w:r>
      <w:r w:rsidRPr="00B372E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B372EC">
        <w:rPr>
          <w:rFonts w:ascii="Calibri" w:hAnsi="Calibri" w:cs="Calibri"/>
          <w:color w:val="000000"/>
          <w:sz w:val="24"/>
          <w:szCs w:val="24"/>
        </w:rPr>
        <w:t>Avison</w:t>
      </w:r>
      <w:proofErr w:type="spellEnd"/>
      <w:r w:rsidRPr="00B372EC">
        <w:rPr>
          <w:rFonts w:ascii="Calibri" w:hAnsi="Calibri" w:cs="Calibri"/>
          <w:color w:val="000000"/>
          <w:sz w:val="24"/>
          <w:szCs w:val="24"/>
        </w:rPr>
        <w:t xml:space="preserve"> Young, CMS i Koda.</w:t>
      </w:r>
    </w:p>
    <w:p w14:paraId="289F8551" w14:textId="77777777" w:rsidR="00A51443" w:rsidRDefault="00A51443" w:rsidP="009F38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00473E43" w14:textId="77777777" w:rsid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643EA2" w14:textId="231F3BD6" w:rsidR="009F38D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80E10">
        <w:rPr>
          <w:rFonts w:asciiTheme="minorHAnsi" w:hAnsiTheme="minorHAnsi" w:cstheme="minorHAnsi"/>
          <w:b/>
          <w:bCs/>
          <w:sz w:val="20"/>
          <w:szCs w:val="20"/>
        </w:rPr>
        <w:t>Więcej informacji:</w:t>
      </w:r>
    </w:p>
    <w:p w14:paraId="44441872" w14:textId="325D1F7C" w:rsidR="00D80E1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0E10">
        <w:rPr>
          <w:rFonts w:asciiTheme="minorHAnsi" w:hAnsiTheme="minorHAnsi" w:cstheme="minorHAnsi"/>
          <w:sz w:val="20"/>
          <w:szCs w:val="20"/>
        </w:rPr>
        <w:t>Lidia Piekarska-Juszczyk</w:t>
      </w:r>
    </w:p>
    <w:p w14:paraId="0805D025" w14:textId="27C498EB" w:rsidR="00D80E1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D80E10">
          <w:rPr>
            <w:rStyle w:val="Hipercze"/>
            <w:rFonts w:asciiTheme="minorHAnsi" w:hAnsiTheme="minorHAnsi" w:cstheme="minorHAnsi"/>
            <w:sz w:val="20"/>
            <w:szCs w:val="20"/>
          </w:rPr>
          <w:t>l.piekarska@bepr.pl</w:t>
        </w:r>
      </w:hyperlink>
    </w:p>
    <w:p w14:paraId="36EA3103" w14:textId="7AD36D0D" w:rsidR="00D80E1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0E10">
        <w:rPr>
          <w:rFonts w:asciiTheme="minorHAnsi" w:hAnsiTheme="minorHAnsi" w:cstheme="minorHAnsi"/>
          <w:sz w:val="20"/>
          <w:szCs w:val="20"/>
        </w:rPr>
        <w:t>tel. 691 38 12 38</w:t>
      </w:r>
    </w:p>
    <w:p w14:paraId="3BC3B980" w14:textId="77777777" w:rsidR="009F38D0" w:rsidRPr="009F38D0" w:rsidRDefault="009F38D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9BED68" w14:textId="0BD9E6CF" w:rsidR="009F38D0" w:rsidRPr="009F38D0" w:rsidRDefault="009F38D0" w:rsidP="00D80E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</w:t>
      </w:r>
    </w:p>
    <w:p w14:paraId="6ED4DE6E" w14:textId="2DDC38B1" w:rsidR="00B372EC" w:rsidRPr="00B372EC" w:rsidRDefault="00B372EC" w:rsidP="00B372EC">
      <w:pPr>
        <w:pStyle w:val="NormalnyWeb"/>
        <w:spacing w:before="0" w:beforeAutospacing="0" w:after="75" w:afterAutospacing="0"/>
        <w:jc w:val="both"/>
        <w:rPr>
          <w:rFonts w:ascii="Calibri" w:hAnsi="Calibri" w:cs="Calibri"/>
          <w:color w:val="1A1A1A"/>
          <w:sz w:val="20"/>
          <w:szCs w:val="20"/>
        </w:rPr>
      </w:pPr>
      <w:r w:rsidRPr="00B372EC">
        <w:rPr>
          <w:rFonts w:ascii="Calibri" w:hAnsi="Calibri" w:cs="Calibri"/>
          <w:b/>
          <w:bCs/>
          <w:color w:val="1A1A1A"/>
          <w:sz w:val="20"/>
          <w:szCs w:val="20"/>
        </w:rPr>
        <w:t>Grupa Capital Park</w:t>
      </w:r>
      <w:r w:rsidRPr="00B372EC">
        <w:rPr>
          <w:rFonts w:ascii="Calibri" w:hAnsi="Calibri" w:cs="Calibri"/>
          <w:color w:val="1A1A1A"/>
          <w:sz w:val="20"/>
          <w:szCs w:val="20"/>
        </w:rPr>
        <w:t xml:space="preserve"> jest inwestorem, deweloperem i zarządzającym aktywami na rynku nieruchomości w Polsce.</w:t>
      </w:r>
      <w:r>
        <w:rPr>
          <w:rFonts w:ascii="Calibri" w:hAnsi="Calibri" w:cs="Calibri"/>
          <w:color w:val="1A1A1A"/>
          <w:sz w:val="20"/>
          <w:szCs w:val="20"/>
        </w:rPr>
        <w:t xml:space="preserve"> </w:t>
      </w:r>
      <w:r w:rsidRPr="00B372EC">
        <w:rPr>
          <w:rFonts w:ascii="Calibri" w:hAnsi="Calibri" w:cs="Calibri"/>
          <w:color w:val="1A1A1A"/>
          <w:sz w:val="20"/>
          <w:szCs w:val="20"/>
        </w:rPr>
        <w:t xml:space="preserve">W ciągu ponad 20 lat swojej działalności firma stworzyła wysokiej jakości portfel projektów składający się z nowoczesnej powierzchni biurowej, handlowej, wielofunkcyjnej oraz mieszkaniowej obejmujący m.in. takie aktywa jak </w:t>
      </w:r>
      <w:proofErr w:type="spellStart"/>
      <w:r w:rsidRPr="00B372EC">
        <w:rPr>
          <w:rFonts w:ascii="Calibri" w:hAnsi="Calibri" w:cs="Calibri"/>
          <w:color w:val="1A1A1A"/>
          <w:sz w:val="20"/>
          <w:szCs w:val="20"/>
        </w:rPr>
        <w:t>Royal</w:t>
      </w:r>
      <w:proofErr w:type="spellEnd"/>
      <w:r w:rsidRPr="00B372EC">
        <w:rPr>
          <w:rFonts w:ascii="Calibri" w:hAnsi="Calibri" w:cs="Calibri"/>
          <w:color w:val="1A1A1A"/>
          <w:sz w:val="20"/>
          <w:szCs w:val="20"/>
        </w:rPr>
        <w:t xml:space="preserve"> Wilanów oraz zrewitalizowana Fabryka Norblina.</w:t>
      </w:r>
      <w:r>
        <w:rPr>
          <w:rFonts w:ascii="Calibri" w:hAnsi="Calibri" w:cs="Calibri"/>
          <w:color w:val="1A1A1A"/>
          <w:sz w:val="20"/>
          <w:szCs w:val="20"/>
        </w:rPr>
        <w:t xml:space="preserve"> </w:t>
      </w:r>
      <w:r w:rsidRPr="00B372EC">
        <w:rPr>
          <w:rFonts w:ascii="Calibri" w:hAnsi="Calibri" w:cs="Calibri"/>
          <w:color w:val="1A1A1A"/>
          <w:sz w:val="20"/>
          <w:szCs w:val="20"/>
        </w:rPr>
        <w:t xml:space="preserve">Obecnie Grupa zarządza portfelem nieruchomości o łącznej powierzchni 150 tys. mkw. i wartości rynkowej 2,9 mld PLN. Firma jest w trakcie przygotowania kolejnych unikatowych projektów wielofunkcyjnych np. Nowy </w:t>
      </w:r>
      <w:proofErr w:type="spellStart"/>
      <w:r w:rsidRPr="00B372EC">
        <w:rPr>
          <w:rFonts w:ascii="Calibri" w:hAnsi="Calibri" w:cs="Calibri"/>
          <w:color w:val="1A1A1A"/>
          <w:sz w:val="20"/>
          <w:szCs w:val="20"/>
        </w:rPr>
        <w:t>Wełnowiec</w:t>
      </w:r>
      <w:proofErr w:type="spellEnd"/>
      <w:r w:rsidRPr="00B372EC">
        <w:rPr>
          <w:rFonts w:ascii="Calibri" w:hAnsi="Calibri" w:cs="Calibri"/>
          <w:color w:val="1A1A1A"/>
          <w:sz w:val="20"/>
          <w:szCs w:val="20"/>
        </w:rPr>
        <w:t xml:space="preserve"> w Katowicach.</w:t>
      </w:r>
      <w:r>
        <w:rPr>
          <w:rFonts w:ascii="Calibri" w:hAnsi="Calibri" w:cs="Calibri"/>
          <w:color w:val="1A1A1A"/>
          <w:sz w:val="20"/>
          <w:szCs w:val="20"/>
        </w:rPr>
        <w:t xml:space="preserve"> </w:t>
      </w:r>
      <w:r w:rsidRPr="00B372EC">
        <w:rPr>
          <w:rFonts w:ascii="Calibri" w:hAnsi="Calibri" w:cs="Calibri"/>
          <w:color w:val="1A1A1A"/>
          <w:sz w:val="20"/>
          <w:szCs w:val="20"/>
        </w:rPr>
        <w:t>W latach 2013 – 2023 spółka była notowana na warszawskiej Giełdzie Papierów Wartościowych.</w:t>
      </w:r>
    </w:p>
    <w:p w14:paraId="5EA4108F" w14:textId="77777777" w:rsidR="00B372EC" w:rsidRDefault="00B372EC" w:rsidP="00B372EC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B372E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WOOD &amp; Company</w:t>
      </w:r>
    </w:p>
    <w:p w14:paraId="33D13D31" w14:textId="7CA62419" w:rsidR="00B372EC" w:rsidRPr="00B372EC" w:rsidRDefault="00B372EC" w:rsidP="00B372EC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B372EC">
        <w:rPr>
          <w:rFonts w:ascii="Calibri" w:eastAsia="Times New Roman" w:hAnsi="Calibri" w:cs="Calibri"/>
          <w:color w:val="000000"/>
          <w:sz w:val="20"/>
          <w:szCs w:val="20"/>
        </w:rPr>
        <w:t>WOOD &amp; Company to wiodąca grupa inwestycyjna o silnej pozycji na rynku Europy Środkowej. Od 1991 roku świadczy usługi z zakresu bankowości inwestycyjnej, zarządzania aktywami oraz obrotu na globalnych rynkach kapitałowych. Grupa zarządza aktywami o wartości przekraczającej 5,5 mld euro.</w:t>
      </w:r>
    </w:p>
    <w:p w14:paraId="514DD517" w14:textId="77777777" w:rsidR="00B372EC" w:rsidRDefault="00B372EC" w:rsidP="00B372EC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B372E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WOOD Real </w:t>
      </w:r>
      <w:proofErr w:type="spellStart"/>
      <w:r w:rsidRPr="00B372EC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Estate</w:t>
      </w:r>
      <w:proofErr w:type="spellEnd"/>
    </w:p>
    <w:p w14:paraId="7D2558D7" w14:textId="31F4BD01" w:rsidR="00B372EC" w:rsidRPr="00B372EC" w:rsidRDefault="00B372EC" w:rsidP="00B372EC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372EC">
        <w:rPr>
          <w:rFonts w:ascii="Calibri" w:eastAsia="Times New Roman" w:hAnsi="Calibri" w:cs="Calibri"/>
          <w:color w:val="000000"/>
          <w:sz w:val="20"/>
          <w:szCs w:val="20"/>
        </w:rPr>
        <w:t xml:space="preserve">WOOD Real </w:t>
      </w:r>
      <w:proofErr w:type="spellStart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>Estate</w:t>
      </w:r>
      <w:proofErr w:type="spellEnd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 xml:space="preserve"> odpowiada za działalność nieruchomościową grupy inwestycyjnej WOOD &amp; Company oraz aktywnie zarządza nieruchomościami komercyjnymi w Pradze, Bratysławie i Warszawie. Portfolio obejmuje obecnie około 30 projektów, w tym 17 nieruchomości komercyjnych o łącznej powierzchni najmu przekraczającej 450 000 mkw. Wśród aktywów znajdują się m.in. centra handlowe i budynki biurowe, takie jak Galerie Harfa, </w:t>
      </w:r>
      <w:proofErr w:type="spellStart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>Hadovka</w:t>
      </w:r>
      <w:proofErr w:type="spellEnd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 xml:space="preserve"> Office Park, </w:t>
      </w:r>
      <w:proofErr w:type="spellStart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>Aupark</w:t>
      </w:r>
      <w:proofErr w:type="spellEnd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 xml:space="preserve"> Tower (SK) oraz </w:t>
      </w:r>
      <w:proofErr w:type="spellStart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>Astrum</w:t>
      </w:r>
      <w:proofErr w:type="spellEnd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 xml:space="preserve"> Business Park (PL). WOOD Real </w:t>
      </w:r>
      <w:proofErr w:type="spellStart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>Estate</w:t>
      </w:r>
      <w:proofErr w:type="spellEnd"/>
      <w:r w:rsidRPr="00B372EC">
        <w:rPr>
          <w:rFonts w:ascii="Calibri" w:eastAsia="Times New Roman" w:hAnsi="Calibri" w:cs="Calibri"/>
          <w:color w:val="000000"/>
          <w:sz w:val="20"/>
          <w:szCs w:val="20"/>
        </w:rPr>
        <w:t xml:space="preserve"> angażuje się również w rozwój projektów komercyjnych, mieszkaniowych i logistycznych oraz – we współpracy z partnerami – realizuje obecnie kilka udanych inwestycji mieszkaniowych w Pradze i Bratysławie.</w:t>
      </w:r>
    </w:p>
    <w:p w14:paraId="744AEC84" w14:textId="26576AD1" w:rsidR="003D4B96" w:rsidRPr="009F38D0" w:rsidRDefault="003D4B96" w:rsidP="009F38D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D4B96" w:rsidRPr="009F38D0">
      <w:headerReference w:type="default" r:id="rId8"/>
      <w:footerReference w:type="default" r:id="rId9"/>
      <w:pgSz w:w="12240" w:h="15840"/>
      <w:pgMar w:top="1440" w:right="1440" w:bottom="0" w:left="1420" w:header="0" w:footer="0" w:gutter="0"/>
      <w:cols w:space="708" w:equalWidth="0">
        <w:col w:w="9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A21F" w14:textId="77777777" w:rsidR="005C609D" w:rsidRDefault="005C609D" w:rsidP="00D72099">
      <w:r>
        <w:separator/>
      </w:r>
    </w:p>
  </w:endnote>
  <w:endnote w:type="continuationSeparator" w:id="0">
    <w:p w14:paraId="034D24BB" w14:textId="77777777" w:rsidR="005C609D" w:rsidRDefault="005C609D" w:rsidP="00D7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F57D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D879D97" w14:textId="77777777" w:rsidR="00D72099" w:rsidRDefault="00D72099" w:rsidP="00D72099">
    <w:pPr>
      <w:tabs>
        <w:tab w:val="left" w:pos="4245"/>
        <w:tab w:val="center" w:pos="4879"/>
      </w:tabs>
      <w:ind w:right="-379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ab/>
    </w:r>
    <w:r>
      <w:rPr>
        <w:rFonts w:ascii="Calibri Light" w:eastAsia="Calibri Light" w:hAnsi="Calibri Light" w:cs="Calibri Light"/>
        <w:color w:val="3E3F3E"/>
        <w:sz w:val="14"/>
        <w:szCs w:val="14"/>
      </w:rPr>
      <w:tab/>
    </w:r>
  </w:p>
  <w:p w14:paraId="66B59A3F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39489330" wp14:editId="30437BDE">
          <wp:simplePos x="0" y="0"/>
          <wp:positionH relativeFrom="column">
            <wp:posOffset>2203450</wp:posOffset>
          </wp:positionH>
          <wp:positionV relativeFrom="paragraph">
            <wp:posOffset>51435</wp:posOffset>
          </wp:positionV>
          <wp:extent cx="1993265" cy="581660"/>
          <wp:effectExtent l="0" t="0" r="6985" b="889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EB4E6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12BDEB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B0C2B1B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CDEAB16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155643A3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296D731F" w14:textId="17EB32B8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CAPITAL</w:t>
    </w:r>
    <w:r w:rsidR="00C558C6">
      <w:rPr>
        <w:rFonts w:ascii="Calibri Light" w:eastAsia="Calibri Light" w:hAnsi="Calibri Light" w:cs="Calibri Light"/>
        <w:color w:val="3E3F3E"/>
        <w:sz w:val="14"/>
        <w:szCs w:val="14"/>
      </w:rPr>
      <w:t xml:space="preserve"> </w:t>
    </w:r>
    <w:r>
      <w:rPr>
        <w:rFonts w:ascii="Calibri Light" w:eastAsia="Calibri Light" w:hAnsi="Calibri Light" w:cs="Calibri Light"/>
        <w:color w:val="3E3F3E"/>
        <w:sz w:val="14"/>
        <w:szCs w:val="14"/>
      </w:rPr>
      <w:t>PARK S.A.</w:t>
    </w:r>
  </w:p>
  <w:p w14:paraId="66E63ADC" w14:textId="77777777" w:rsidR="00D72099" w:rsidRDefault="00D72099" w:rsidP="00D72099">
    <w:pPr>
      <w:spacing w:line="33" w:lineRule="exact"/>
      <w:rPr>
        <w:sz w:val="24"/>
        <w:szCs w:val="24"/>
      </w:rPr>
    </w:pPr>
  </w:p>
  <w:p w14:paraId="296CF885" w14:textId="77777777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ul. Klimczaka 1, 02-797 Warszawa</w:t>
    </w:r>
  </w:p>
  <w:p w14:paraId="5486BDB0" w14:textId="77777777" w:rsidR="00D72099" w:rsidRDefault="00D72099" w:rsidP="00D72099">
    <w:pPr>
      <w:spacing w:line="36" w:lineRule="exact"/>
      <w:rPr>
        <w:sz w:val="24"/>
        <w:szCs w:val="24"/>
      </w:rPr>
    </w:pPr>
  </w:p>
  <w:p w14:paraId="5027EBB1" w14:textId="77777777" w:rsidR="00D72099" w:rsidRDefault="00D72099" w:rsidP="00D72099">
    <w:pPr>
      <w:numPr>
        <w:ilvl w:val="1"/>
        <w:numId w:val="1"/>
      </w:numPr>
      <w:tabs>
        <w:tab w:val="left" w:pos="4460"/>
      </w:tabs>
      <w:ind w:left="4460" w:hanging="13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+48 22 318 88 88</w:t>
    </w:r>
  </w:p>
  <w:p w14:paraId="2689CE94" w14:textId="77777777" w:rsidR="00D72099" w:rsidRDefault="00D72099" w:rsidP="00D72099">
    <w:pPr>
      <w:spacing w:line="33" w:lineRule="exact"/>
      <w:rPr>
        <w:rFonts w:ascii="Calibri" w:eastAsia="Calibri" w:hAnsi="Calibri" w:cs="Calibri"/>
        <w:b/>
        <w:bCs/>
        <w:color w:val="3E3F3E"/>
        <w:sz w:val="14"/>
        <w:szCs w:val="14"/>
      </w:rPr>
    </w:pPr>
  </w:p>
  <w:p w14:paraId="0FC6BF1D" w14:textId="77777777" w:rsidR="00D72099" w:rsidRDefault="00D72099" w:rsidP="00D72099">
    <w:pPr>
      <w:numPr>
        <w:ilvl w:val="0"/>
        <w:numId w:val="2"/>
      </w:numPr>
      <w:tabs>
        <w:tab w:val="left" w:pos="4380"/>
      </w:tabs>
      <w:ind w:left="4380" w:hanging="18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biuro@capitalpark.pl</w:t>
    </w:r>
  </w:p>
  <w:p w14:paraId="569E699D" w14:textId="77777777" w:rsidR="00D72099" w:rsidRDefault="00D72099" w:rsidP="00D72099">
    <w:pPr>
      <w:spacing w:line="243" w:lineRule="exact"/>
      <w:rPr>
        <w:sz w:val="24"/>
        <w:szCs w:val="24"/>
      </w:rPr>
    </w:pPr>
  </w:p>
  <w:p w14:paraId="1646A113" w14:textId="77777777" w:rsidR="00D72099" w:rsidRDefault="00D72099" w:rsidP="00D72099">
    <w:pPr>
      <w:ind w:right="-299"/>
      <w:jc w:val="center"/>
      <w:rPr>
        <w:sz w:val="20"/>
        <w:szCs w:val="20"/>
      </w:rPr>
    </w:pPr>
    <w:r>
      <w:rPr>
        <w:rFonts w:ascii="Calibri" w:eastAsia="Calibri" w:hAnsi="Calibri" w:cs="Calibri"/>
        <w:color w:val="3E3F3E"/>
        <w:sz w:val="12"/>
        <w:szCs w:val="12"/>
      </w:rPr>
      <w:t>WWW.CAPITALPARK.PL</w:t>
    </w:r>
  </w:p>
  <w:p w14:paraId="2E9E251A" w14:textId="77777777" w:rsidR="00D72099" w:rsidRDefault="00D72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1E7D" w14:textId="77777777" w:rsidR="005C609D" w:rsidRDefault="005C609D" w:rsidP="00D72099">
      <w:r>
        <w:separator/>
      </w:r>
    </w:p>
  </w:footnote>
  <w:footnote w:type="continuationSeparator" w:id="0">
    <w:p w14:paraId="45419642" w14:textId="77777777" w:rsidR="005C609D" w:rsidRDefault="005C609D" w:rsidP="00D7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FC0F" w14:textId="44E6E59D" w:rsidR="00D72099" w:rsidRDefault="00B208FF" w:rsidP="006E0A72">
    <w:pPr>
      <w:pStyle w:val="Nagwek"/>
      <w:jc w:val="center"/>
    </w:pPr>
    <w:r>
      <w:rPr>
        <w:noProof/>
      </w:rPr>
      <w:drawing>
        <wp:inline distT="0" distB="0" distL="0" distR="0" wp14:anchorId="6903976B" wp14:editId="49D4C67A">
          <wp:extent cx="4998296" cy="887940"/>
          <wp:effectExtent l="0" t="0" r="0" b="1270"/>
          <wp:docPr id="1970353887" name="Obraz 1" descr="Obraz zawierający tekst, biały, Czcionka, algebr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53887" name="Obraz 1" descr="Obraz zawierający tekst, biały, Czcionka, algebr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68" b="38234"/>
                  <a:stretch/>
                </pic:blipFill>
                <pic:spPr bwMode="auto">
                  <a:xfrm>
                    <a:off x="0" y="0"/>
                    <a:ext cx="5087386" cy="903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5CFF"/>
    <w:multiLevelType w:val="hybridMultilevel"/>
    <w:tmpl w:val="5EA66B4A"/>
    <w:lvl w:ilvl="0" w:tplc="7B3AE372">
      <w:start w:val="13"/>
      <w:numFmt w:val="upperLetter"/>
      <w:lvlText w:val="%1:"/>
      <w:lvlJc w:val="left"/>
    </w:lvl>
    <w:lvl w:ilvl="1" w:tplc="1736D010">
      <w:start w:val="1"/>
      <w:numFmt w:val="upperLetter"/>
      <w:lvlText w:val="%2"/>
      <w:lvlJc w:val="left"/>
    </w:lvl>
    <w:lvl w:ilvl="2" w:tplc="75C6B690">
      <w:numFmt w:val="decimal"/>
      <w:lvlText w:val=""/>
      <w:lvlJc w:val="left"/>
    </w:lvl>
    <w:lvl w:ilvl="3" w:tplc="38E4DC42">
      <w:numFmt w:val="decimal"/>
      <w:lvlText w:val=""/>
      <w:lvlJc w:val="left"/>
    </w:lvl>
    <w:lvl w:ilvl="4" w:tplc="502297B0">
      <w:numFmt w:val="decimal"/>
      <w:lvlText w:val=""/>
      <w:lvlJc w:val="left"/>
    </w:lvl>
    <w:lvl w:ilvl="5" w:tplc="BD0A9926">
      <w:numFmt w:val="decimal"/>
      <w:lvlText w:val=""/>
      <w:lvlJc w:val="left"/>
    </w:lvl>
    <w:lvl w:ilvl="6" w:tplc="C51E9084">
      <w:numFmt w:val="decimal"/>
      <w:lvlText w:val=""/>
      <w:lvlJc w:val="left"/>
    </w:lvl>
    <w:lvl w:ilvl="7" w:tplc="BC467982">
      <w:numFmt w:val="decimal"/>
      <w:lvlText w:val=""/>
      <w:lvlJc w:val="left"/>
    </w:lvl>
    <w:lvl w:ilvl="8" w:tplc="FEB294F0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304E81BC"/>
    <w:lvl w:ilvl="0" w:tplc="79BE1414">
      <w:start w:val="1"/>
      <w:numFmt w:val="upperLetter"/>
      <w:lvlText w:val="%1"/>
      <w:lvlJc w:val="left"/>
    </w:lvl>
    <w:lvl w:ilvl="1" w:tplc="81E839CC">
      <w:start w:val="20"/>
      <w:numFmt w:val="upperLetter"/>
      <w:lvlText w:val="%2:"/>
      <w:lvlJc w:val="left"/>
    </w:lvl>
    <w:lvl w:ilvl="2" w:tplc="9AD4237A">
      <w:numFmt w:val="decimal"/>
      <w:lvlText w:val=""/>
      <w:lvlJc w:val="left"/>
    </w:lvl>
    <w:lvl w:ilvl="3" w:tplc="537ABF38">
      <w:numFmt w:val="decimal"/>
      <w:lvlText w:val=""/>
      <w:lvlJc w:val="left"/>
    </w:lvl>
    <w:lvl w:ilvl="4" w:tplc="5404A466">
      <w:numFmt w:val="decimal"/>
      <w:lvlText w:val=""/>
      <w:lvlJc w:val="left"/>
    </w:lvl>
    <w:lvl w:ilvl="5" w:tplc="4FC496EC">
      <w:numFmt w:val="decimal"/>
      <w:lvlText w:val=""/>
      <w:lvlJc w:val="left"/>
    </w:lvl>
    <w:lvl w:ilvl="6" w:tplc="641E64C0">
      <w:numFmt w:val="decimal"/>
      <w:lvlText w:val=""/>
      <w:lvlJc w:val="left"/>
    </w:lvl>
    <w:lvl w:ilvl="7" w:tplc="7F1E3E74">
      <w:numFmt w:val="decimal"/>
      <w:lvlText w:val=""/>
      <w:lvlJc w:val="left"/>
    </w:lvl>
    <w:lvl w:ilvl="8" w:tplc="6DC0CE20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54024D70"/>
    <w:lvl w:ilvl="0" w:tplc="15C8F772">
      <w:start w:val="13"/>
      <w:numFmt w:val="upperLetter"/>
      <w:lvlText w:val="%1:"/>
      <w:lvlJc w:val="left"/>
    </w:lvl>
    <w:lvl w:ilvl="1" w:tplc="96468D68">
      <w:start w:val="1"/>
      <w:numFmt w:val="upperLetter"/>
      <w:lvlText w:val="%2"/>
      <w:lvlJc w:val="left"/>
    </w:lvl>
    <w:lvl w:ilvl="2" w:tplc="78746E3C">
      <w:numFmt w:val="decimal"/>
      <w:lvlText w:val=""/>
      <w:lvlJc w:val="left"/>
    </w:lvl>
    <w:lvl w:ilvl="3" w:tplc="5F2EE230">
      <w:numFmt w:val="decimal"/>
      <w:lvlText w:val=""/>
      <w:lvlJc w:val="left"/>
    </w:lvl>
    <w:lvl w:ilvl="4" w:tplc="01021FD6">
      <w:numFmt w:val="decimal"/>
      <w:lvlText w:val=""/>
      <w:lvlJc w:val="left"/>
    </w:lvl>
    <w:lvl w:ilvl="5" w:tplc="AE0C97AE">
      <w:numFmt w:val="decimal"/>
      <w:lvlText w:val=""/>
      <w:lvlJc w:val="left"/>
    </w:lvl>
    <w:lvl w:ilvl="6" w:tplc="887CA58A">
      <w:numFmt w:val="decimal"/>
      <w:lvlText w:val=""/>
      <w:lvlJc w:val="left"/>
    </w:lvl>
    <w:lvl w:ilvl="7" w:tplc="0B2290BA">
      <w:numFmt w:val="decimal"/>
      <w:lvlText w:val=""/>
      <w:lvlJc w:val="left"/>
    </w:lvl>
    <w:lvl w:ilvl="8" w:tplc="92600798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511AE39A"/>
    <w:lvl w:ilvl="0" w:tplc="35402CEA">
      <w:start w:val="1"/>
      <w:numFmt w:val="upperLetter"/>
      <w:lvlText w:val="%1"/>
      <w:lvlJc w:val="left"/>
    </w:lvl>
    <w:lvl w:ilvl="1" w:tplc="6742E196">
      <w:start w:val="20"/>
      <w:numFmt w:val="upperLetter"/>
      <w:lvlText w:val="%2:"/>
      <w:lvlJc w:val="left"/>
    </w:lvl>
    <w:lvl w:ilvl="2" w:tplc="DEDA11BA">
      <w:numFmt w:val="decimal"/>
      <w:lvlText w:val=""/>
      <w:lvlJc w:val="left"/>
    </w:lvl>
    <w:lvl w:ilvl="3" w:tplc="7236E840">
      <w:numFmt w:val="decimal"/>
      <w:lvlText w:val=""/>
      <w:lvlJc w:val="left"/>
    </w:lvl>
    <w:lvl w:ilvl="4" w:tplc="7C1EEAAA">
      <w:numFmt w:val="decimal"/>
      <w:lvlText w:val=""/>
      <w:lvlJc w:val="left"/>
    </w:lvl>
    <w:lvl w:ilvl="5" w:tplc="0CA69F78">
      <w:numFmt w:val="decimal"/>
      <w:lvlText w:val=""/>
      <w:lvlJc w:val="left"/>
    </w:lvl>
    <w:lvl w:ilvl="6" w:tplc="4F6AF458">
      <w:numFmt w:val="decimal"/>
      <w:lvlText w:val=""/>
      <w:lvlJc w:val="left"/>
    </w:lvl>
    <w:lvl w:ilvl="7" w:tplc="820A2EFC">
      <w:numFmt w:val="decimal"/>
      <w:lvlText w:val=""/>
      <w:lvlJc w:val="left"/>
    </w:lvl>
    <w:lvl w:ilvl="8" w:tplc="E3E0C704">
      <w:numFmt w:val="decimal"/>
      <w:lvlText w:val=""/>
      <w:lvlJc w:val="left"/>
    </w:lvl>
  </w:abstractNum>
  <w:num w:numId="1" w16cid:durableId="125048034">
    <w:abstractNumId w:val="3"/>
  </w:num>
  <w:num w:numId="2" w16cid:durableId="1590014">
    <w:abstractNumId w:val="0"/>
  </w:num>
  <w:num w:numId="3" w16cid:durableId="307517676">
    <w:abstractNumId w:val="1"/>
  </w:num>
  <w:num w:numId="4" w16cid:durableId="973679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3F"/>
    <w:rsid w:val="00001423"/>
    <w:rsid w:val="00042D6A"/>
    <w:rsid w:val="000456E3"/>
    <w:rsid w:val="0005102B"/>
    <w:rsid w:val="00061012"/>
    <w:rsid w:val="00096111"/>
    <w:rsid w:val="00097B31"/>
    <w:rsid w:val="000A1C2F"/>
    <w:rsid w:val="000A5A74"/>
    <w:rsid w:val="000B3282"/>
    <w:rsid w:val="000C274C"/>
    <w:rsid w:val="000C717B"/>
    <w:rsid w:val="000D0A92"/>
    <w:rsid w:val="000D1954"/>
    <w:rsid w:val="000D1E11"/>
    <w:rsid w:val="000D50E7"/>
    <w:rsid w:val="000E2D6E"/>
    <w:rsid w:val="001019A8"/>
    <w:rsid w:val="00106006"/>
    <w:rsid w:val="00120343"/>
    <w:rsid w:val="00124D1F"/>
    <w:rsid w:val="00142386"/>
    <w:rsid w:val="00150966"/>
    <w:rsid w:val="001714BF"/>
    <w:rsid w:val="0019045D"/>
    <w:rsid w:val="001933C0"/>
    <w:rsid w:val="0019627E"/>
    <w:rsid w:val="001A0F86"/>
    <w:rsid w:val="001A3338"/>
    <w:rsid w:val="001A3999"/>
    <w:rsid w:val="001B3617"/>
    <w:rsid w:val="001C128F"/>
    <w:rsid w:val="001C7BE5"/>
    <w:rsid w:val="001D5066"/>
    <w:rsid w:val="001E5890"/>
    <w:rsid w:val="001F0E7C"/>
    <w:rsid w:val="001F100D"/>
    <w:rsid w:val="00200C6A"/>
    <w:rsid w:val="002038EE"/>
    <w:rsid w:val="00207778"/>
    <w:rsid w:val="002173F4"/>
    <w:rsid w:val="00232F3F"/>
    <w:rsid w:val="00237E25"/>
    <w:rsid w:val="0024588E"/>
    <w:rsid w:val="00246BFE"/>
    <w:rsid w:val="00252E8C"/>
    <w:rsid w:val="00260ED9"/>
    <w:rsid w:val="00263B91"/>
    <w:rsid w:val="00274C5B"/>
    <w:rsid w:val="00281322"/>
    <w:rsid w:val="00282256"/>
    <w:rsid w:val="002849C3"/>
    <w:rsid w:val="00293894"/>
    <w:rsid w:val="00294BB4"/>
    <w:rsid w:val="002A4E63"/>
    <w:rsid w:val="002A57DF"/>
    <w:rsid w:val="002B0698"/>
    <w:rsid w:val="002C6769"/>
    <w:rsid w:val="002D0E15"/>
    <w:rsid w:val="002E4935"/>
    <w:rsid w:val="002E50B1"/>
    <w:rsid w:val="002F0BAB"/>
    <w:rsid w:val="002F4A5B"/>
    <w:rsid w:val="002F52C1"/>
    <w:rsid w:val="00301AC6"/>
    <w:rsid w:val="00303D03"/>
    <w:rsid w:val="003108B9"/>
    <w:rsid w:val="00315541"/>
    <w:rsid w:val="00320B9C"/>
    <w:rsid w:val="0032193F"/>
    <w:rsid w:val="00326B2D"/>
    <w:rsid w:val="00336DEC"/>
    <w:rsid w:val="00337337"/>
    <w:rsid w:val="00337EC3"/>
    <w:rsid w:val="00342269"/>
    <w:rsid w:val="00350283"/>
    <w:rsid w:val="003513BD"/>
    <w:rsid w:val="003528E9"/>
    <w:rsid w:val="00372524"/>
    <w:rsid w:val="00385F81"/>
    <w:rsid w:val="00395E50"/>
    <w:rsid w:val="003A0104"/>
    <w:rsid w:val="003A21C8"/>
    <w:rsid w:val="003A3149"/>
    <w:rsid w:val="003A7B7C"/>
    <w:rsid w:val="003B479D"/>
    <w:rsid w:val="003C100D"/>
    <w:rsid w:val="003C229B"/>
    <w:rsid w:val="003D2979"/>
    <w:rsid w:val="003D4B96"/>
    <w:rsid w:val="003D5C2B"/>
    <w:rsid w:val="003D7A89"/>
    <w:rsid w:val="003D7E8E"/>
    <w:rsid w:val="0042265D"/>
    <w:rsid w:val="004233C5"/>
    <w:rsid w:val="00453A9A"/>
    <w:rsid w:val="00455F6E"/>
    <w:rsid w:val="00460F19"/>
    <w:rsid w:val="00472F6F"/>
    <w:rsid w:val="004759DC"/>
    <w:rsid w:val="00481946"/>
    <w:rsid w:val="00481D05"/>
    <w:rsid w:val="004838D5"/>
    <w:rsid w:val="00491B94"/>
    <w:rsid w:val="004956F2"/>
    <w:rsid w:val="004A2EB3"/>
    <w:rsid w:val="004A2ECB"/>
    <w:rsid w:val="004A4622"/>
    <w:rsid w:val="004A67DC"/>
    <w:rsid w:val="004B7A26"/>
    <w:rsid w:val="004D1AE4"/>
    <w:rsid w:val="004D3097"/>
    <w:rsid w:val="004D3DC0"/>
    <w:rsid w:val="004D5C8A"/>
    <w:rsid w:val="004F1CF0"/>
    <w:rsid w:val="004F3F3E"/>
    <w:rsid w:val="00502A3B"/>
    <w:rsid w:val="0051380B"/>
    <w:rsid w:val="00521BDF"/>
    <w:rsid w:val="0052377D"/>
    <w:rsid w:val="00534EA2"/>
    <w:rsid w:val="00545632"/>
    <w:rsid w:val="005467C4"/>
    <w:rsid w:val="005570F7"/>
    <w:rsid w:val="0057041D"/>
    <w:rsid w:val="0057204A"/>
    <w:rsid w:val="005751EC"/>
    <w:rsid w:val="00575781"/>
    <w:rsid w:val="005759E4"/>
    <w:rsid w:val="00582E70"/>
    <w:rsid w:val="00585D1D"/>
    <w:rsid w:val="005A1990"/>
    <w:rsid w:val="005B1B5C"/>
    <w:rsid w:val="005B7F49"/>
    <w:rsid w:val="005C4471"/>
    <w:rsid w:val="005C609D"/>
    <w:rsid w:val="005D6BAB"/>
    <w:rsid w:val="005E211F"/>
    <w:rsid w:val="005E598F"/>
    <w:rsid w:val="005E6CE4"/>
    <w:rsid w:val="005F0BE8"/>
    <w:rsid w:val="005F1048"/>
    <w:rsid w:val="005F526A"/>
    <w:rsid w:val="006065E6"/>
    <w:rsid w:val="006217F5"/>
    <w:rsid w:val="006330F9"/>
    <w:rsid w:val="0063361B"/>
    <w:rsid w:val="006366FE"/>
    <w:rsid w:val="0063719F"/>
    <w:rsid w:val="00645902"/>
    <w:rsid w:val="00646FDB"/>
    <w:rsid w:val="006501A3"/>
    <w:rsid w:val="006563FF"/>
    <w:rsid w:val="0067209F"/>
    <w:rsid w:val="00677B59"/>
    <w:rsid w:val="00680A4B"/>
    <w:rsid w:val="00681B89"/>
    <w:rsid w:val="00685426"/>
    <w:rsid w:val="0068624F"/>
    <w:rsid w:val="0068656E"/>
    <w:rsid w:val="006B1294"/>
    <w:rsid w:val="006B7CAE"/>
    <w:rsid w:val="006C50EA"/>
    <w:rsid w:val="006C520C"/>
    <w:rsid w:val="006D1B80"/>
    <w:rsid w:val="006D3ED1"/>
    <w:rsid w:val="006D40EC"/>
    <w:rsid w:val="006D4839"/>
    <w:rsid w:val="006E0A72"/>
    <w:rsid w:val="006E0F6F"/>
    <w:rsid w:val="006E4488"/>
    <w:rsid w:val="006E46E5"/>
    <w:rsid w:val="006F12D5"/>
    <w:rsid w:val="006F79F3"/>
    <w:rsid w:val="00704153"/>
    <w:rsid w:val="0070421C"/>
    <w:rsid w:val="00720F2A"/>
    <w:rsid w:val="00723154"/>
    <w:rsid w:val="00733537"/>
    <w:rsid w:val="00736BF3"/>
    <w:rsid w:val="00740B97"/>
    <w:rsid w:val="00742D7A"/>
    <w:rsid w:val="00743B1F"/>
    <w:rsid w:val="00755DB1"/>
    <w:rsid w:val="00793343"/>
    <w:rsid w:val="007A3087"/>
    <w:rsid w:val="007A3E31"/>
    <w:rsid w:val="007B4BC9"/>
    <w:rsid w:val="007C3DEF"/>
    <w:rsid w:val="007C7950"/>
    <w:rsid w:val="007C7E32"/>
    <w:rsid w:val="007D51FC"/>
    <w:rsid w:val="007D669C"/>
    <w:rsid w:val="007D6F2B"/>
    <w:rsid w:val="007D7B41"/>
    <w:rsid w:val="007E38BF"/>
    <w:rsid w:val="008024D9"/>
    <w:rsid w:val="0081025D"/>
    <w:rsid w:val="00814D80"/>
    <w:rsid w:val="008172D5"/>
    <w:rsid w:val="00834B37"/>
    <w:rsid w:val="00844BFD"/>
    <w:rsid w:val="0085492E"/>
    <w:rsid w:val="00860399"/>
    <w:rsid w:val="00861B30"/>
    <w:rsid w:val="00872543"/>
    <w:rsid w:val="00895088"/>
    <w:rsid w:val="008A0A7A"/>
    <w:rsid w:val="008A47DA"/>
    <w:rsid w:val="008A5B4F"/>
    <w:rsid w:val="008B124A"/>
    <w:rsid w:val="008B2965"/>
    <w:rsid w:val="008B7076"/>
    <w:rsid w:val="008D22C1"/>
    <w:rsid w:val="008D5493"/>
    <w:rsid w:val="008D5BB8"/>
    <w:rsid w:val="008D706B"/>
    <w:rsid w:val="008E17AC"/>
    <w:rsid w:val="008E4A93"/>
    <w:rsid w:val="008F17BA"/>
    <w:rsid w:val="008F244C"/>
    <w:rsid w:val="008F5B27"/>
    <w:rsid w:val="00900786"/>
    <w:rsid w:val="00910FAD"/>
    <w:rsid w:val="00921282"/>
    <w:rsid w:val="00922C07"/>
    <w:rsid w:val="00922CF3"/>
    <w:rsid w:val="00925D53"/>
    <w:rsid w:val="009348F3"/>
    <w:rsid w:val="00935718"/>
    <w:rsid w:val="00936218"/>
    <w:rsid w:val="00941D1E"/>
    <w:rsid w:val="009423A6"/>
    <w:rsid w:val="00944F6C"/>
    <w:rsid w:val="009639B0"/>
    <w:rsid w:val="009662F5"/>
    <w:rsid w:val="009804D4"/>
    <w:rsid w:val="00986AD8"/>
    <w:rsid w:val="009870F1"/>
    <w:rsid w:val="00993B86"/>
    <w:rsid w:val="0099486B"/>
    <w:rsid w:val="00997EAC"/>
    <w:rsid w:val="009A39F6"/>
    <w:rsid w:val="009C106E"/>
    <w:rsid w:val="009D09DE"/>
    <w:rsid w:val="009D4822"/>
    <w:rsid w:val="009D7A83"/>
    <w:rsid w:val="009E6316"/>
    <w:rsid w:val="009F1739"/>
    <w:rsid w:val="009F1BD8"/>
    <w:rsid w:val="009F38D0"/>
    <w:rsid w:val="009F6D70"/>
    <w:rsid w:val="00A013E6"/>
    <w:rsid w:val="00A02B62"/>
    <w:rsid w:val="00A02BDC"/>
    <w:rsid w:val="00A044A0"/>
    <w:rsid w:val="00A06713"/>
    <w:rsid w:val="00A207A5"/>
    <w:rsid w:val="00A24DF9"/>
    <w:rsid w:val="00A24EFA"/>
    <w:rsid w:val="00A351FE"/>
    <w:rsid w:val="00A360A4"/>
    <w:rsid w:val="00A3658E"/>
    <w:rsid w:val="00A43E0F"/>
    <w:rsid w:val="00A46A65"/>
    <w:rsid w:val="00A51443"/>
    <w:rsid w:val="00A53A93"/>
    <w:rsid w:val="00A558AF"/>
    <w:rsid w:val="00A56CB5"/>
    <w:rsid w:val="00A57EEF"/>
    <w:rsid w:val="00A60154"/>
    <w:rsid w:val="00A748CF"/>
    <w:rsid w:val="00A7534F"/>
    <w:rsid w:val="00A75643"/>
    <w:rsid w:val="00A77B71"/>
    <w:rsid w:val="00A823DD"/>
    <w:rsid w:val="00A9028E"/>
    <w:rsid w:val="00A91499"/>
    <w:rsid w:val="00AA0E19"/>
    <w:rsid w:val="00AB05F4"/>
    <w:rsid w:val="00AB09E7"/>
    <w:rsid w:val="00AB5011"/>
    <w:rsid w:val="00AC002A"/>
    <w:rsid w:val="00AD2D03"/>
    <w:rsid w:val="00AE02BA"/>
    <w:rsid w:val="00AE14B9"/>
    <w:rsid w:val="00AE3BBD"/>
    <w:rsid w:val="00AF20CF"/>
    <w:rsid w:val="00AF5A3C"/>
    <w:rsid w:val="00AF5C83"/>
    <w:rsid w:val="00AF7802"/>
    <w:rsid w:val="00B006E1"/>
    <w:rsid w:val="00B1095B"/>
    <w:rsid w:val="00B111AF"/>
    <w:rsid w:val="00B13ADA"/>
    <w:rsid w:val="00B168A3"/>
    <w:rsid w:val="00B208FF"/>
    <w:rsid w:val="00B34E8D"/>
    <w:rsid w:val="00B372EC"/>
    <w:rsid w:val="00B37AB3"/>
    <w:rsid w:val="00B43407"/>
    <w:rsid w:val="00B461FE"/>
    <w:rsid w:val="00B4764B"/>
    <w:rsid w:val="00B504E5"/>
    <w:rsid w:val="00B51881"/>
    <w:rsid w:val="00B56C40"/>
    <w:rsid w:val="00B604DD"/>
    <w:rsid w:val="00B639D9"/>
    <w:rsid w:val="00B65081"/>
    <w:rsid w:val="00B669AD"/>
    <w:rsid w:val="00B779CF"/>
    <w:rsid w:val="00B817A8"/>
    <w:rsid w:val="00B82A27"/>
    <w:rsid w:val="00B8337C"/>
    <w:rsid w:val="00B95F72"/>
    <w:rsid w:val="00BA0839"/>
    <w:rsid w:val="00BA56A1"/>
    <w:rsid w:val="00BB3FE4"/>
    <w:rsid w:val="00BB4F15"/>
    <w:rsid w:val="00BC4571"/>
    <w:rsid w:val="00BD2245"/>
    <w:rsid w:val="00BD28AA"/>
    <w:rsid w:val="00BE4A07"/>
    <w:rsid w:val="00BF1C12"/>
    <w:rsid w:val="00BF2536"/>
    <w:rsid w:val="00BF6236"/>
    <w:rsid w:val="00C007D9"/>
    <w:rsid w:val="00C01AB5"/>
    <w:rsid w:val="00C043CD"/>
    <w:rsid w:val="00C14094"/>
    <w:rsid w:val="00C21B2B"/>
    <w:rsid w:val="00C25AF4"/>
    <w:rsid w:val="00C2751A"/>
    <w:rsid w:val="00C358AD"/>
    <w:rsid w:val="00C5261F"/>
    <w:rsid w:val="00C558C6"/>
    <w:rsid w:val="00C65D26"/>
    <w:rsid w:val="00C71C0A"/>
    <w:rsid w:val="00C7278C"/>
    <w:rsid w:val="00C740D2"/>
    <w:rsid w:val="00C76AB4"/>
    <w:rsid w:val="00C76B07"/>
    <w:rsid w:val="00C863F4"/>
    <w:rsid w:val="00C94E6D"/>
    <w:rsid w:val="00C97B7F"/>
    <w:rsid w:val="00CB0619"/>
    <w:rsid w:val="00CB39FE"/>
    <w:rsid w:val="00CB52D8"/>
    <w:rsid w:val="00CC079B"/>
    <w:rsid w:val="00CC1882"/>
    <w:rsid w:val="00CC20E8"/>
    <w:rsid w:val="00CC6456"/>
    <w:rsid w:val="00CD26FB"/>
    <w:rsid w:val="00CE114E"/>
    <w:rsid w:val="00CF0A3A"/>
    <w:rsid w:val="00CF35CD"/>
    <w:rsid w:val="00CF4F27"/>
    <w:rsid w:val="00CF58C3"/>
    <w:rsid w:val="00D06F67"/>
    <w:rsid w:val="00D217E2"/>
    <w:rsid w:val="00D25EDA"/>
    <w:rsid w:val="00D32532"/>
    <w:rsid w:val="00D43BEB"/>
    <w:rsid w:val="00D447D0"/>
    <w:rsid w:val="00D4633B"/>
    <w:rsid w:val="00D5094F"/>
    <w:rsid w:val="00D512A0"/>
    <w:rsid w:val="00D607E8"/>
    <w:rsid w:val="00D60E68"/>
    <w:rsid w:val="00D712A4"/>
    <w:rsid w:val="00D72099"/>
    <w:rsid w:val="00D72C29"/>
    <w:rsid w:val="00D74940"/>
    <w:rsid w:val="00D76FE0"/>
    <w:rsid w:val="00D80E10"/>
    <w:rsid w:val="00D90B65"/>
    <w:rsid w:val="00D91E71"/>
    <w:rsid w:val="00DA4571"/>
    <w:rsid w:val="00DB0499"/>
    <w:rsid w:val="00DB1CA3"/>
    <w:rsid w:val="00DB647B"/>
    <w:rsid w:val="00DD2299"/>
    <w:rsid w:val="00DD5DEF"/>
    <w:rsid w:val="00DE24FF"/>
    <w:rsid w:val="00DF3417"/>
    <w:rsid w:val="00DF45FE"/>
    <w:rsid w:val="00DF603D"/>
    <w:rsid w:val="00DF70D9"/>
    <w:rsid w:val="00E02DB9"/>
    <w:rsid w:val="00E147B5"/>
    <w:rsid w:val="00E158FD"/>
    <w:rsid w:val="00E17306"/>
    <w:rsid w:val="00E212D7"/>
    <w:rsid w:val="00E245AD"/>
    <w:rsid w:val="00E324B0"/>
    <w:rsid w:val="00E50CA4"/>
    <w:rsid w:val="00E51132"/>
    <w:rsid w:val="00E52DC2"/>
    <w:rsid w:val="00E567CC"/>
    <w:rsid w:val="00E66229"/>
    <w:rsid w:val="00E675A1"/>
    <w:rsid w:val="00E72306"/>
    <w:rsid w:val="00E72E6E"/>
    <w:rsid w:val="00E73A62"/>
    <w:rsid w:val="00E7471E"/>
    <w:rsid w:val="00E7562D"/>
    <w:rsid w:val="00E77CCB"/>
    <w:rsid w:val="00E8161B"/>
    <w:rsid w:val="00E859F4"/>
    <w:rsid w:val="00E85E30"/>
    <w:rsid w:val="00E93729"/>
    <w:rsid w:val="00E96E95"/>
    <w:rsid w:val="00EA1CF4"/>
    <w:rsid w:val="00EA7F73"/>
    <w:rsid w:val="00EB0C80"/>
    <w:rsid w:val="00EB58D8"/>
    <w:rsid w:val="00EB6BA7"/>
    <w:rsid w:val="00EC6997"/>
    <w:rsid w:val="00ED1224"/>
    <w:rsid w:val="00ED6C05"/>
    <w:rsid w:val="00ED789B"/>
    <w:rsid w:val="00EE7FDD"/>
    <w:rsid w:val="00F00D7C"/>
    <w:rsid w:val="00F058C3"/>
    <w:rsid w:val="00F0672C"/>
    <w:rsid w:val="00F20ED3"/>
    <w:rsid w:val="00F2140E"/>
    <w:rsid w:val="00F23C62"/>
    <w:rsid w:val="00F36273"/>
    <w:rsid w:val="00F40E17"/>
    <w:rsid w:val="00F4406A"/>
    <w:rsid w:val="00F527D2"/>
    <w:rsid w:val="00F60830"/>
    <w:rsid w:val="00F60C3A"/>
    <w:rsid w:val="00F62285"/>
    <w:rsid w:val="00F7093B"/>
    <w:rsid w:val="00F81250"/>
    <w:rsid w:val="00F85C04"/>
    <w:rsid w:val="00F92400"/>
    <w:rsid w:val="00FA0726"/>
    <w:rsid w:val="00FA5190"/>
    <w:rsid w:val="00FB23DA"/>
    <w:rsid w:val="00FB3F2A"/>
    <w:rsid w:val="00FC44B7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A3A0"/>
  <w15:docId w15:val="{DBFB88A2-DD1E-8043-B83E-3C881615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09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099"/>
  </w:style>
  <w:style w:type="paragraph" w:styleId="Stopka">
    <w:name w:val="footer"/>
    <w:basedOn w:val="Normalny"/>
    <w:link w:val="Stopka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099"/>
  </w:style>
  <w:style w:type="paragraph" w:styleId="Tekstdymka">
    <w:name w:val="Balloon Text"/>
    <w:basedOn w:val="Normalny"/>
    <w:link w:val="TekstdymkaZnak"/>
    <w:uiPriority w:val="99"/>
    <w:semiHidden/>
    <w:unhideWhenUsed/>
    <w:rsid w:val="002F52C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C1"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5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2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2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2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299"/>
  </w:style>
  <w:style w:type="character" w:styleId="Hipercze">
    <w:name w:val="Hyperlink"/>
    <w:basedOn w:val="Domylnaczcionkaakapitu"/>
    <w:uiPriority w:val="99"/>
    <w:unhideWhenUsed/>
    <w:rsid w:val="003D7E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E8E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D1B80"/>
    <w:rPr>
      <w:rFonts w:ascii="Calibri" w:hAnsi="Calibri"/>
      <w:b/>
      <w:bCs/>
    </w:rPr>
  </w:style>
  <w:style w:type="paragraph" w:styleId="NormalnyWeb">
    <w:name w:val="Normal (Web)"/>
    <w:basedOn w:val="Normalny"/>
    <w:uiPriority w:val="99"/>
    <w:unhideWhenUsed/>
    <w:rsid w:val="00B34E8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B1CA3"/>
    <w:rPr>
      <w:i/>
      <w:iCs/>
    </w:rPr>
  </w:style>
  <w:style w:type="character" w:customStyle="1" w:styleId="apple-converted-space">
    <w:name w:val="apple-converted-space"/>
    <w:basedOn w:val="Domylnaczcionkaakapitu"/>
    <w:rsid w:val="00DB1CA3"/>
  </w:style>
  <w:style w:type="character" w:styleId="UyteHipercze">
    <w:name w:val="FollowedHyperlink"/>
    <w:basedOn w:val="Domylnaczcionkaakapitu"/>
    <w:uiPriority w:val="99"/>
    <w:semiHidden/>
    <w:unhideWhenUsed/>
    <w:rsid w:val="00521BDF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EA7F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5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58C3"/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9D09DE"/>
    <w:rPr>
      <w:rFonts w:eastAsia="Times New Roman"/>
      <w:b/>
      <w:bCs/>
      <w:sz w:val="36"/>
      <w:szCs w:val="36"/>
      <w:lang w:eastAsia="en-GB"/>
    </w:rPr>
  </w:style>
  <w:style w:type="character" w:customStyle="1" w:styleId="searchhighlight">
    <w:name w:val="searchhighlight"/>
    <w:basedOn w:val="Domylnaczcionkaakapitu"/>
    <w:rsid w:val="00F9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piekarska@bep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Lidia Piekarska</cp:lastModifiedBy>
  <cp:revision>10</cp:revision>
  <dcterms:created xsi:type="dcterms:W3CDTF">2024-01-04T15:14:00Z</dcterms:created>
  <dcterms:modified xsi:type="dcterms:W3CDTF">2026-03-30T11:26:00Z</dcterms:modified>
</cp:coreProperties>
</file>