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2CDE6" w14:textId="1732874F" w:rsidR="004D23DD" w:rsidRPr="005706CC" w:rsidRDefault="004D23DD" w:rsidP="004D23DD">
      <w:pPr>
        <w:spacing w:before="0" w:after="0"/>
        <w:jc w:val="right"/>
        <w:rPr>
          <w:rFonts w:ascii="Intrum Sans" w:eastAsia="Calibri" w:hAnsi="Intrum Sans" w:cs="Times New Roman"/>
          <w:sz w:val="18"/>
          <w:szCs w:val="18"/>
          <w:lang w:val="pl-PL" w:eastAsia="en-US"/>
        </w:rPr>
      </w:pPr>
      <w:r w:rsidRPr="005706CC">
        <w:rPr>
          <w:rFonts w:ascii="Intrum Sans" w:eastAsia="Calibri" w:hAnsi="Intrum Sans" w:cs="Times New Roman"/>
          <w:sz w:val="18"/>
          <w:szCs w:val="18"/>
          <w:lang w:val="pl-PL" w:eastAsia="en-US"/>
        </w:rPr>
        <w:t xml:space="preserve">Materiał prasowy, </w:t>
      </w:r>
      <w:r w:rsidR="005C3CD8">
        <w:rPr>
          <w:rFonts w:ascii="Intrum Sans" w:eastAsia="Calibri" w:hAnsi="Intrum Sans" w:cs="Times New Roman"/>
          <w:sz w:val="18"/>
          <w:szCs w:val="18"/>
          <w:lang w:val="pl-PL" w:eastAsia="en-US"/>
        </w:rPr>
        <w:t>31</w:t>
      </w:r>
      <w:r w:rsidR="007B113B">
        <w:rPr>
          <w:rFonts w:ascii="Intrum Sans" w:eastAsia="Calibri" w:hAnsi="Intrum Sans" w:cs="Times New Roman"/>
          <w:sz w:val="18"/>
          <w:szCs w:val="18"/>
          <w:lang w:val="pl-PL" w:eastAsia="en-US"/>
        </w:rPr>
        <w:t>.03</w:t>
      </w:r>
      <w:r w:rsidRPr="005706CC">
        <w:rPr>
          <w:rFonts w:ascii="Intrum Sans" w:eastAsia="Calibri" w:hAnsi="Intrum Sans" w:cs="Times New Roman"/>
          <w:sz w:val="18"/>
          <w:szCs w:val="18"/>
          <w:lang w:val="pl-PL" w:eastAsia="en-US"/>
        </w:rPr>
        <w:t>.202</w:t>
      </w:r>
      <w:r w:rsidR="00B43596" w:rsidRPr="005706CC">
        <w:rPr>
          <w:rFonts w:ascii="Intrum Sans" w:eastAsia="Calibri" w:hAnsi="Intrum Sans" w:cs="Times New Roman"/>
          <w:sz w:val="18"/>
          <w:szCs w:val="18"/>
          <w:lang w:val="pl-PL" w:eastAsia="en-US"/>
        </w:rPr>
        <w:t>6</w:t>
      </w:r>
    </w:p>
    <w:p w14:paraId="0FF97D48" w14:textId="77777777" w:rsidR="004D23DD" w:rsidRPr="004D23DD" w:rsidRDefault="004D23DD" w:rsidP="004D23DD">
      <w:pPr>
        <w:spacing w:before="0" w:after="0"/>
        <w:jc w:val="right"/>
        <w:rPr>
          <w:rFonts w:ascii="Intrum Sans" w:eastAsia="Calibri" w:hAnsi="Intrum Sans" w:cs="Times New Roman"/>
          <w:sz w:val="20"/>
          <w:szCs w:val="20"/>
          <w:lang w:val="pl-PL" w:eastAsia="en-US"/>
        </w:rPr>
      </w:pPr>
    </w:p>
    <w:p w14:paraId="7CE9DDB6" w14:textId="77487C5D" w:rsidR="003C5368" w:rsidRPr="006F626A" w:rsidRDefault="006F626A" w:rsidP="0087074B">
      <w:pPr>
        <w:spacing w:before="0" w:after="0"/>
        <w:jc w:val="left"/>
        <w:rPr>
          <w:rFonts w:ascii="Intrum Sans" w:hAnsi="Intrum Sans"/>
          <w:b/>
          <w:bCs/>
          <w:sz w:val="20"/>
          <w:szCs w:val="20"/>
        </w:rPr>
      </w:pPr>
      <w:bookmarkStart w:id="0" w:name="_jmk1djhygp4t" w:colFirst="0" w:colLast="0"/>
      <w:bookmarkEnd w:id="0"/>
      <w:r w:rsidRPr="006F626A">
        <w:rPr>
          <w:rFonts w:ascii="Intrum Sans" w:hAnsi="Intrum Sans"/>
          <w:b/>
          <w:bCs/>
          <w:sz w:val="20"/>
          <w:szCs w:val="20"/>
        </w:rPr>
        <w:t>Polki na tle Europy: solidne w płaceniu rachunków, słabsze w gromadzeniu oszczędności</w:t>
      </w:r>
    </w:p>
    <w:p w14:paraId="2027CA79" w14:textId="77777777" w:rsidR="006F626A" w:rsidRDefault="006F626A" w:rsidP="0087074B">
      <w:pPr>
        <w:spacing w:before="0" w:after="0"/>
        <w:jc w:val="left"/>
        <w:rPr>
          <w:rFonts w:ascii="Intrum Sans" w:hAnsi="Intrum Sans"/>
          <w:b/>
          <w:bCs/>
          <w:sz w:val="18"/>
          <w:szCs w:val="18"/>
        </w:rPr>
      </w:pPr>
    </w:p>
    <w:p w14:paraId="72CF2E36" w14:textId="5C6285EE" w:rsidR="003606E3" w:rsidRDefault="0087074B" w:rsidP="003606E3">
      <w:pPr>
        <w:spacing w:before="0" w:after="0"/>
        <w:jc w:val="left"/>
        <w:rPr>
          <w:rFonts w:ascii="Intrum Sans" w:hAnsi="Intrum Sans"/>
          <w:b/>
          <w:bCs/>
          <w:sz w:val="18"/>
          <w:szCs w:val="18"/>
        </w:rPr>
      </w:pPr>
      <w:r w:rsidRPr="0087074B">
        <w:rPr>
          <w:rFonts w:ascii="Intrum Sans" w:hAnsi="Intrum Sans"/>
          <w:b/>
          <w:bCs/>
          <w:sz w:val="18"/>
          <w:szCs w:val="18"/>
        </w:rPr>
        <w:t>Polska przeżywa największy boom ekonomiczny w Europie</w:t>
      </w:r>
      <w:r w:rsidR="00420B1B">
        <w:rPr>
          <w:rStyle w:val="Odwoanieprzypisudolnego"/>
          <w:rFonts w:ascii="Intrum Sans" w:hAnsi="Intrum Sans"/>
          <w:b/>
          <w:bCs/>
          <w:sz w:val="18"/>
          <w:szCs w:val="18"/>
        </w:rPr>
        <w:footnoteReference w:id="1"/>
      </w:r>
      <w:r w:rsidRPr="0087074B">
        <w:rPr>
          <w:rFonts w:ascii="Intrum Sans" w:hAnsi="Intrum Sans"/>
          <w:b/>
          <w:bCs/>
          <w:sz w:val="18"/>
          <w:szCs w:val="18"/>
        </w:rPr>
        <w:t xml:space="preserve">. Pytanie jednak, czy jej obywatelki czują to na własnej skórze? Z jednej strony dane z najnowszego raportu Intrum European Consumer Payment Report 2025 (ECPR25) zdają się potwierdzać tę tezę, </w:t>
      </w:r>
      <w:r w:rsidR="007B113B" w:rsidRPr="0087074B">
        <w:rPr>
          <w:rFonts w:ascii="Intrum Sans" w:hAnsi="Intrum Sans"/>
          <w:b/>
          <w:bCs/>
          <w:sz w:val="18"/>
          <w:szCs w:val="18"/>
        </w:rPr>
        <w:t>wskazując,</w:t>
      </w:r>
      <w:r w:rsidRPr="0087074B">
        <w:rPr>
          <w:rFonts w:ascii="Intrum Sans" w:hAnsi="Intrum Sans"/>
          <w:b/>
          <w:bCs/>
          <w:sz w:val="18"/>
          <w:szCs w:val="18"/>
        </w:rPr>
        <w:t xml:space="preserve"> że przeciętna Polka opłaca swoje zobowiązania równie terminowo co bogatsza Niemka czy Brytyjka. Z drugiej strony okazuje się, że nad Wisłą nadal mamy problem z budowaniem poduszki finansowej – oszczędzaniem i inwestowaniem. Właśnie w tym tkwi największa różnica między Polkami a kobietami, na przykład z Niemiec lub Wielkiej Brytanii.</w:t>
      </w:r>
    </w:p>
    <w:p w14:paraId="7C264262" w14:textId="77777777" w:rsidR="003606E3" w:rsidRDefault="003606E3" w:rsidP="003606E3">
      <w:pPr>
        <w:spacing w:before="0" w:after="0"/>
        <w:jc w:val="left"/>
        <w:rPr>
          <w:rFonts w:ascii="Intrum Sans" w:hAnsi="Intrum Sans"/>
          <w:b/>
          <w:bCs/>
          <w:sz w:val="18"/>
          <w:szCs w:val="18"/>
        </w:rPr>
      </w:pPr>
    </w:p>
    <w:p w14:paraId="077F2F95" w14:textId="77777777" w:rsidR="003606E3" w:rsidRDefault="003606E3" w:rsidP="003606E3">
      <w:pPr>
        <w:spacing w:before="0" w:after="0"/>
        <w:jc w:val="left"/>
        <w:rPr>
          <w:rFonts w:ascii="Intrum Sans" w:hAnsi="Intrum Sans"/>
          <w:sz w:val="18"/>
          <w:szCs w:val="18"/>
          <w:lang w:val="pl-PL"/>
        </w:rPr>
      </w:pPr>
      <w:r w:rsidRPr="003606E3">
        <w:rPr>
          <w:rFonts w:ascii="Intrum Sans" w:hAnsi="Intrum Sans"/>
          <w:sz w:val="18"/>
          <w:szCs w:val="18"/>
          <w:lang w:val="pl-PL"/>
        </w:rPr>
        <w:t xml:space="preserve">Kraj, kultura i system ekonomiczny mają mocny wpływ na kształtowanie kondycji ekonomicznej, ale także na stereotypy: rysując profil oszczędnej Szwedki czy coraz bardziej zadłużonej Portugalki. Eksperci Intrum Polska przeanalizowali, jak na tym tle wygląda portret statystycznej Polki w oparciu o badanie Intrum ECPR25, przeprowadzone między lipcem a sierpniem 2025 roku na próbie 20 000 konsumentów z 20 państw europejskich. </w:t>
      </w:r>
    </w:p>
    <w:p w14:paraId="4376113C" w14:textId="77777777" w:rsidR="00BF15FA" w:rsidRDefault="00BF15FA" w:rsidP="003606E3">
      <w:pPr>
        <w:spacing w:before="0" w:after="0"/>
        <w:jc w:val="left"/>
        <w:rPr>
          <w:rFonts w:ascii="Intrum Sans" w:hAnsi="Intrum Sans"/>
          <w:sz w:val="18"/>
          <w:szCs w:val="18"/>
          <w:lang w:val="pl-PL"/>
        </w:rPr>
      </w:pPr>
    </w:p>
    <w:p w14:paraId="537E7925" w14:textId="77777777" w:rsidR="00BF15FA" w:rsidRDefault="00BF15FA" w:rsidP="00B43596">
      <w:pPr>
        <w:spacing w:before="0" w:after="0"/>
        <w:jc w:val="left"/>
        <w:rPr>
          <w:rFonts w:ascii="Intrum Sans" w:hAnsi="Intrum Sans"/>
          <w:b/>
          <w:bCs/>
          <w:sz w:val="18"/>
          <w:szCs w:val="18"/>
        </w:rPr>
      </w:pPr>
      <w:r w:rsidRPr="00BF15FA">
        <w:rPr>
          <w:rFonts w:ascii="Intrum Sans" w:hAnsi="Intrum Sans"/>
          <w:b/>
          <w:bCs/>
          <w:sz w:val="18"/>
          <w:szCs w:val="18"/>
        </w:rPr>
        <w:t xml:space="preserve">Dyscyplina płatnicza – Polki w środku rankingu </w:t>
      </w:r>
    </w:p>
    <w:p w14:paraId="0E45B4F7" w14:textId="77777777" w:rsidR="002776C6" w:rsidRDefault="002776C6" w:rsidP="002776C6">
      <w:pPr>
        <w:spacing w:before="0" w:after="0"/>
        <w:jc w:val="left"/>
        <w:rPr>
          <w:rFonts w:ascii="Intrum Sans" w:hAnsi="Intrum Sans"/>
          <w:sz w:val="18"/>
          <w:szCs w:val="18"/>
        </w:rPr>
      </w:pPr>
    </w:p>
    <w:p w14:paraId="70C4A858" w14:textId="303A9861" w:rsidR="002776C6" w:rsidRDefault="002776C6" w:rsidP="002776C6">
      <w:pPr>
        <w:spacing w:before="0" w:after="0"/>
        <w:jc w:val="left"/>
        <w:rPr>
          <w:rFonts w:ascii="Intrum Sans" w:hAnsi="Intrum Sans"/>
          <w:sz w:val="18"/>
          <w:szCs w:val="18"/>
        </w:rPr>
      </w:pPr>
      <w:r w:rsidRPr="002776C6">
        <w:rPr>
          <w:rFonts w:ascii="Intrum Sans" w:hAnsi="Intrum Sans"/>
          <w:sz w:val="18"/>
          <w:szCs w:val="18"/>
        </w:rPr>
        <w:t>Jeżeli chodzi o terminowość regulowania zobowiązań, Polki wypadają dość przeciętnie. Co miesiąc ze swoich rachunków na czas wywiązuje się 68 proc. polskich kobiet</w:t>
      </w:r>
      <w:r w:rsidR="00C454A4">
        <w:rPr>
          <w:rStyle w:val="Odwoanieprzypisudolnego"/>
          <w:rFonts w:ascii="Intrum Sans" w:hAnsi="Intrum Sans"/>
          <w:sz w:val="18"/>
          <w:szCs w:val="18"/>
        </w:rPr>
        <w:footnoteReference w:id="2"/>
      </w:r>
      <w:r w:rsidRPr="002776C6">
        <w:rPr>
          <w:rFonts w:ascii="Intrum Sans" w:hAnsi="Intrum Sans"/>
          <w:sz w:val="18"/>
          <w:szCs w:val="18"/>
        </w:rPr>
        <w:t>. Wypadamy więc nieźle w wartościach bezwzględnych, ale niżej od Niemek (70 proc.), Brytyjek (72 proc.) czy Holenderek (76 proc.)</w:t>
      </w:r>
      <w:r w:rsidR="00224CB4">
        <w:rPr>
          <w:rStyle w:val="Odwoanieprzypisudolnego"/>
          <w:rFonts w:ascii="Intrum Sans" w:hAnsi="Intrum Sans"/>
          <w:sz w:val="18"/>
          <w:szCs w:val="18"/>
        </w:rPr>
        <w:footnoteReference w:id="3"/>
      </w:r>
      <w:r w:rsidRPr="002776C6">
        <w:rPr>
          <w:rFonts w:ascii="Intrum Sans" w:hAnsi="Intrum Sans"/>
          <w:sz w:val="18"/>
          <w:szCs w:val="18"/>
        </w:rPr>
        <w:t xml:space="preserve">. W całym zestawieniu królują Hiszpanki: 86 proc. z nich opłaciło wszystkie rachunki w </w:t>
      </w:r>
      <w:r w:rsidR="007B113B" w:rsidRPr="002776C6">
        <w:rPr>
          <w:rFonts w:ascii="Intrum Sans" w:hAnsi="Intrum Sans"/>
          <w:sz w:val="18"/>
          <w:szCs w:val="18"/>
        </w:rPr>
        <w:t>terminie i</w:t>
      </w:r>
      <w:r w:rsidRPr="002776C6">
        <w:rPr>
          <w:rFonts w:ascii="Intrum Sans" w:hAnsi="Intrum Sans"/>
          <w:sz w:val="18"/>
          <w:szCs w:val="18"/>
        </w:rPr>
        <w:t xml:space="preserve">, co warto podkreślić, wyprzedziły tym samym własnych rodaków (80 proc.). </w:t>
      </w:r>
    </w:p>
    <w:p w14:paraId="64867703" w14:textId="77777777" w:rsidR="002776C6" w:rsidRDefault="002776C6" w:rsidP="002776C6">
      <w:pPr>
        <w:spacing w:before="0" w:after="0"/>
        <w:jc w:val="left"/>
        <w:rPr>
          <w:rFonts w:ascii="Intrum Sans" w:hAnsi="Intrum Sans"/>
          <w:sz w:val="18"/>
          <w:szCs w:val="18"/>
        </w:rPr>
      </w:pPr>
    </w:p>
    <w:p w14:paraId="24C642EA" w14:textId="15228D8A" w:rsidR="002776C6" w:rsidRDefault="002776C6" w:rsidP="002776C6">
      <w:pPr>
        <w:spacing w:before="0" w:after="0"/>
        <w:jc w:val="left"/>
        <w:rPr>
          <w:rFonts w:ascii="Intrum Sans" w:hAnsi="Intrum Sans"/>
          <w:sz w:val="18"/>
          <w:szCs w:val="18"/>
        </w:rPr>
      </w:pPr>
      <w:r w:rsidRPr="002776C6">
        <w:rPr>
          <w:rFonts w:ascii="Intrum Sans" w:hAnsi="Intrum Sans"/>
          <w:sz w:val="18"/>
          <w:szCs w:val="18"/>
        </w:rPr>
        <w:t xml:space="preserve">Co utrudnia Polkom terminowe regulowanie płatności? Główną przyczyną są rosnące koszty życia. Wskazuje je 51 proc. </w:t>
      </w:r>
      <w:r w:rsidR="006515FC">
        <w:rPr>
          <w:rFonts w:ascii="Intrum Sans" w:hAnsi="Intrum Sans"/>
          <w:sz w:val="18"/>
          <w:szCs w:val="18"/>
        </w:rPr>
        <w:t>z nich</w:t>
      </w:r>
      <w:r w:rsidRPr="002776C6">
        <w:rPr>
          <w:rFonts w:ascii="Intrum Sans" w:hAnsi="Intrum Sans"/>
          <w:sz w:val="18"/>
          <w:szCs w:val="18"/>
        </w:rPr>
        <w:t xml:space="preserve"> – to powyżej średniej europejskiej</w:t>
      </w:r>
      <w:r w:rsidR="00224CB4">
        <w:rPr>
          <w:rStyle w:val="Odwoanieprzypisudolnego"/>
          <w:rFonts w:ascii="Intrum Sans" w:hAnsi="Intrum Sans"/>
          <w:sz w:val="18"/>
          <w:szCs w:val="18"/>
        </w:rPr>
        <w:footnoteReference w:id="4"/>
      </w:r>
      <w:r w:rsidRPr="002776C6">
        <w:rPr>
          <w:rFonts w:ascii="Intrum Sans" w:hAnsi="Intrum Sans"/>
          <w:sz w:val="18"/>
          <w:szCs w:val="18"/>
        </w:rPr>
        <w:t>. Brytyjki odczuwają tę presję jednak najdotkliwiej: ponad 60 proc.</w:t>
      </w:r>
      <w:r w:rsidR="00224CB4">
        <w:rPr>
          <w:rStyle w:val="Odwoanieprzypisudolnego"/>
          <w:rFonts w:ascii="Intrum Sans" w:hAnsi="Intrum Sans"/>
          <w:sz w:val="18"/>
          <w:szCs w:val="18"/>
        </w:rPr>
        <w:footnoteReference w:id="5"/>
      </w:r>
      <w:r w:rsidRPr="002776C6">
        <w:rPr>
          <w:rFonts w:ascii="Intrum Sans" w:hAnsi="Intrum Sans"/>
          <w:sz w:val="18"/>
          <w:szCs w:val="18"/>
        </w:rPr>
        <w:t xml:space="preserve"> wymienia koszty życia jako źródło permanentnego stresu finansowego.</w:t>
      </w:r>
    </w:p>
    <w:p w14:paraId="60FDDB6E" w14:textId="77777777" w:rsidR="002776C6" w:rsidRPr="002776C6" w:rsidRDefault="002776C6" w:rsidP="002776C6">
      <w:pPr>
        <w:spacing w:before="0" w:after="0"/>
        <w:jc w:val="left"/>
        <w:rPr>
          <w:rFonts w:ascii="Intrum Sans" w:hAnsi="Intrum Sans"/>
          <w:sz w:val="18"/>
          <w:szCs w:val="18"/>
        </w:rPr>
      </w:pPr>
    </w:p>
    <w:p w14:paraId="34EB7F5E" w14:textId="7DB44178" w:rsidR="00B43596" w:rsidRDefault="002776C6" w:rsidP="002776C6">
      <w:pPr>
        <w:spacing w:before="0" w:after="0"/>
        <w:jc w:val="left"/>
        <w:rPr>
          <w:rFonts w:ascii="Intrum Sans" w:hAnsi="Intrum Sans"/>
          <w:sz w:val="18"/>
          <w:szCs w:val="18"/>
        </w:rPr>
      </w:pPr>
      <w:r w:rsidRPr="002776C6">
        <w:rPr>
          <w:rFonts w:ascii="Intrum Sans" w:hAnsi="Intrum Sans"/>
          <w:sz w:val="18"/>
          <w:szCs w:val="18"/>
        </w:rPr>
        <w:t xml:space="preserve">- </w:t>
      </w:r>
      <w:r w:rsidRPr="002776C6">
        <w:rPr>
          <w:rFonts w:ascii="Intrum Sans" w:hAnsi="Intrum Sans"/>
          <w:i/>
          <w:iCs/>
          <w:sz w:val="18"/>
          <w:szCs w:val="18"/>
        </w:rPr>
        <w:t>Polki posiadają silne poczucie odpowiedzialności finansowej, lecz w zderzeniu z realiami rynku pracy, gdzie wciąż istnieje luka p</w:t>
      </w:r>
      <w:r w:rsidR="0067189D">
        <w:rPr>
          <w:rFonts w:ascii="Intrum Sans" w:hAnsi="Intrum Sans"/>
          <w:i/>
          <w:iCs/>
          <w:sz w:val="18"/>
          <w:szCs w:val="18"/>
        </w:rPr>
        <w:t>ł</w:t>
      </w:r>
      <w:r w:rsidRPr="002776C6">
        <w:rPr>
          <w:rFonts w:ascii="Intrum Sans" w:hAnsi="Intrum Sans"/>
          <w:i/>
          <w:iCs/>
          <w:sz w:val="18"/>
          <w:szCs w:val="18"/>
        </w:rPr>
        <w:t xml:space="preserve">acowa, ich skrupulatność nie zawsze wystarcza, by opłacić rachunki na czas </w:t>
      </w:r>
      <w:r w:rsidRPr="002776C6">
        <w:rPr>
          <w:rFonts w:ascii="Intrum Sans" w:hAnsi="Intrum Sans"/>
          <w:sz w:val="18"/>
          <w:szCs w:val="18"/>
        </w:rPr>
        <w:t xml:space="preserve">– </w:t>
      </w:r>
      <w:r w:rsidRPr="009F4703">
        <w:rPr>
          <w:rFonts w:ascii="Intrum Sans" w:hAnsi="Intrum Sans"/>
          <w:sz w:val="18"/>
          <w:szCs w:val="18"/>
        </w:rPr>
        <w:t>podkreśla</w:t>
      </w:r>
      <w:r w:rsidRPr="009F4703">
        <w:rPr>
          <w:rFonts w:ascii="Intrum Sans" w:hAnsi="Intrum Sans"/>
          <w:b/>
          <w:bCs/>
          <w:sz w:val="18"/>
          <w:szCs w:val="18"/>
        </w:rPr>
        <w:t xml:space="preserve"> </w:t>
      </w:r>
      <w:r w:rsidR="009F4703" w:rsidRPr="009F4703">
        <w:rPr>
          <w:rFonts w:ascii="Intrum Sans" w:hAnsi="Intrum Sans"/>
          <w:b/>
          <w:bCs/>
          <w:sz w:val="18"/>
          <w:szCs w:val="18"/>
        </w:rPr>
        <w:t>Ula Szostkowska</w:t>
      </w:r>
      <w:r w:rsidR="009F4703">
        <w:rPr>
          <w:rFonts w:ascii="Intrum Sans" w:hAnsi="Intrum Sans"/>
          <w:b/>
          <w:bCs/>
          <w:sz w:val="18"/>
          <w:szCs w:val="18"/>
        </w:rPr>
        <w:t>,</w:t>
      </w:r>
      <w:r w:rsidRPr="009F4703">
        <w:rPr>
          <w:rFonts w:ascii="Intrum Sans" w:hAnsi="Intrum Sans"/>
          <w:b/>
          <w:bCs/>
          <w:sz w:val="18"/>
          <w:szCs w:val="18"/>
        </w:rPr>
        <w:t xml:space="preserve"> </w:t>
      </w:r>
      <w:r w:rsidR="005A11D9">
        <w:rPr>
          <w:rFonts w:ascii="Intrum Sans" w:hAnsi="Intrum Sans"/>
          <w:b/>
          <w:bCs/>
          <w:sz w:val="18"/>
          <w:szCs w:val="18"/>
        </w:rPr>
        <w:t xml:space="preserve">ekspertka </w:t>
      </w:r>
      <w:r w:rsidRPr="009F4703">
        <w:rPr>
          <w:rFonts w:ascii="Intrum Sans" w:hAnsi="Intrum Sans"/>
          <w:b/>
          <w:bCs/>
          <w:sz w:val="18"/>
          <w:szCs w:val="18"/>
        </w:rPr>
        <w:t>Intrum.</w:t>
      </w:r>
    </w:p>
    <w:p w14:paraId="2DFE4D25" w14:textId="77777777" w:rsidR="005D117C" w:rsidRPr="00B43596" w:rsidRDefault="005D117C" w:rsidP="002776C6">
      <w:pPr>
        <w:spacing w:before="0" w:after="0"/>
        <w:jc w:val="left"/>
        <w:rPr>
          <w:rFonts w:ascii="Intrum Sans" w:hAnsi="Intrum Sans"/>
          <w:b/>
          <w:bCs/>
          <w:sz w:val="18"/>
          <w:szCs w:val="18"/>
          <w:highlight w:val="white"/>
        </w:rPr>
      </w:pPr>
    </w:p>
    <w:p w14:paraId="7BECECEF" w14:textId="77777777" w:rsidR="005C6FCB" w:rsidRDefault="005D117C" w:rsidP="005C6FCB">
      <w:pPr>
        <w:spacing w:before="0" w:after="0"/>
        <w:jc w:val="left"/>
        <w:rPr>
          <w:rFonts w:ascii="Intrum Sans" w:hAnsi="Intrum Sans"/>
          <w:b/>
          <w:bCs/>
          <w:sz w:val="18"/>
          <w:szCs w:val="18"/>
        </w:rPr>
      </w:pPr>
      <w:bookmarkStart w:id="1" w:name="_fviu94l2rcao" w:colFirst="0" w:colLast="0"/>
      <w:bookmarkEnd w:id="1"/>
      <w:r w:rsidRPr="005D117C">
        <w:rPr>
          <w:rFonts w:ascii="Intrum Sans" w:hAnsi="Intrum Sans"/>
          <w:b/>
          <w:bCs/>
          <w:sz w:val="18"/>
          <w:szCs w:val="18"/>
        </w:rPr>
        <w:t>Fundusz awaryjny - tu Polki wyraźnie przegrywają</w:t>
      </w:r>
      <w:bookmarkStart w:id="2" w:name="_h48s9i8mhjkc" w:colFirst="0" w:colLast="0"/>
      <w:bookmarkEnd w:id="2"/>
    </w:p>
    <w:p w14:paraId="6BDC3FC0" w14:textId="75B7F521" w:rsidR="005C6FCB" w:rsidRDefault="005C6FCB" w:rsidP="005C6FCB">
      <w:pPr>
        <w:spacing w:before="0" w:after="0"/>
        <w:jc w:val="left"/>
        <w:rPr>
          <w:rFonts w:ascii="Intrum Sans" w:hAnsi="Intrum Sans"/>
          <w:sz w:val="18"/>
          <w:szCs w:val="18"/>
        </w:rPr>
      </w:pPr>
      <w:r w:rsidRPr="005C6FCB">
        <w:rPr>
          <w:rFonts w:ascii="Intrum Sans" w:hAnsi="Intrum Sans"/>
          <w:sz w:val="18"/>
          <w:szCs w:val="18"/>
        </w:rPr>
        <w:t>Dane pokazują, że pieniądze na fundusz awaryjny regularnie odkłada co druga respondentka z Polski (49 proc.)</w:t>
      </w:r>
      <w:r w:rsidR="00224CB4">
        <w:rPr>
          <w:rStyle w:val="Odwoanieprzypisudolnego"/>
          <w:rFonts w:ascii="Intrum Sans" w:hAnsi="Intrum Sans"/>
          <w:sz w:val="18"/>
          <w:szCs w:val="18"/>
        </w:rPr>
        <w:footnoteReference w:id="6"/>
      </w:r>
      <w:r w:rsidRPr="005C6FCB">
        <w:rPr>
          <w:rFonts w:ascii="Intrum Sans" w:hAnsi="Intrum Sans"/>
          <w:sz w:val="18"/>
          <w:szCs w:val="18"/>
        </w:rPr>
        <w:t>. To wynik zbliżony do Niemek i Szwedek (po 51 proc.)</w:t>
      </w:r>
      <w:r w:rsidR="00224CB4">
        <w:rPr>
          <w:rStyle w:val="Odwoanieprzypisudolnego"/>
          <w:rFonts w:ascii="Intrum Sans" w:hAnsi="Intrum Sans"/>
          <w:sz w:val="18"/>
          <w:szCs w:val="18"/>
        </w:rPr>
        <w:footnoteReference w:id="7"/>
      </w:r>
      <w:r w:rsidRPr="005C6FCB">
        <w:rPr>
          <w:rFonts w:ascii="Intrum Sans" w:hAnsi="Intrum Sans"/>
          <w:sz w:val="18"/>
          <w:szCs w:val="18"/>
        </w:rPr>
        <w:t>. Polska jest więc w tej kategorii prawie równa krajom, które postrzegamy jako wzorce finansowej odpowiedzialności.</w:t>
      </w:r>
    </w:p>
    <w:p w14:paraId="78430801" w14:textId="77777777" w:rsidR="005C6FCB" w:rsidRDefault="005C6FCB" w:rsidP="005C6FCB">
      <w:pPr>
        <w:spacing w:before="0" w:after="0"/>
        <w:jc w:val="left"/>
        <w:rPr>
          <w:rFonts w:ascii="Intrum Sans" w:hAnsi="Intrum Sans"/>
          <w:sz w:val="18"/>
          <w:szCs w:val="18"/>
        </w:rPr>
      </w:pPr>
    </w:p>
    <w:p w14:paraId="1947B865" w14:textId="4D9E85CD" w:rsidR="005C6FCB" w:rsidRDefault="005C6FCB" w:rsidP="005C6FCB">
      <w:pPr>
        <w:spacing w:before="0" w:after="0"/>
        <w:jc w:val="left"/>
        <w:rPr>
          <w:rFonts w:ascii="Intrum Sans" w:hAnsi="Intrum Sans"/>
          <w:sz w:val="18"/>
          <w:szCs w:val="18"/>
        </w:rPr>
      </w:pPr>
      <w:r w:rsidRPr="005C6FCB">
        <w:rPr>
          <w:rFonts w:ascii="Intrum Sans" w:hAnsi="Intrum Sans"/>
          <w:sz w:val="18"/>
          <w:szCs w:val="18"/>
        </w:rPr>
        <w:t>Liderkami europejskich oszczędności są natomiast Norweżki. Aż 71 proc. z nich regularnie zasila fundusz awaryjny. Co zaskakujące, tuż za nimi plasują się Włoszki (70 proc.) i Portugalki (64 proc.)</w:t>
      </w:r>
      <w:r w:rsidR="00224CB4">
        <w:rPr>
          <w:rStyle w:val="Odwoanieprzypisudolnego"/>
          <w:rFonts w:ascii="Intrum Sans" w:hAnsi="Intrum Sans"/>
          <w:sz w:val="18"/>
          <w:szCs w:val="18"/>
        </w:rPr>
        <w:footnoteReference w:id="8"/>
      </w:r>
      <w:r w:rsidRPr="005C6FCB">
        <w:rPr>
          <w:rFonts w:ascii="Intrum Sans" w:hAnsi="Intrum Sans"/>
          <w:sz w:val="18"/>
          <w:szCs w:val="18"/>
        </w:rPr>
        <w:t>. Ten wynik obala popularny stereotyp, według którego konserwatyzm finansowy jest domeną jedynie bogatszej Europy Północnej.</w:t>
      </w:r>
    </w:p>
    <w:p w14:paraId="2D9C50F2" w14:textId="77777777" w:rsidR="005C6FCB" w:rsidRDefault="005C6FCB" w:rsidP="005C6FCB">
      <w:pPr>
        <w:spacing w:before="0" w:after="0"/>
        <w:jc w:val="left"/>
        <w:rPr>
          <w:rFonts w:ascii="Intrum Sans" w:hAnsi="Intrum Sans"/>
          <w:sz w:val="18"/>
          <w:szCs w:val="18"/>
        </w:rPr>
      </w:pPr>
    </w:p>
    <w:p w14:paraId="3B1AD960" w14:textId="77777777" w:rsidR="005C6FCB" w:rsidRDefault="005C6FCB" w:rsidP="005C6FCB">
      <w:pPr>
        <w:spacing w:before="0" w:after="0"/>
        <w:jc w:val="left"/>
        <w:rPr>
          <w:rFonts w:ascii="Intrum Sans" w:hAnsi="Intrum Sans"/>
          <w:sz w:val="18"/>
          <w:szCs w:val="18"/>
        </w:rPr>
      </w:pPr>
      <w:r w:rsidRPr="005C6FCB">
        <w:rPr>
          <w:rFonts w:ascii="Intrum Sans" w:hAnsi="Intrum Sans"/>
          <w:sz w:val="18"/>
          <w:szCs w:val="18"/>
        </w:rPr>
        <w:t>Strategie oszczędzania różnią się jednak znacznie między krajami. Niemki i Szwedki preferują lokaty i konta oszczędnościowe. Bezpieczne, ale i mniej zyskowne. Norweżki częściej inwestują w produkty emerytalne powiązane z rynkiem pracy. Włoszki z kolei gromadzą rezerwy mimo trudniejszych warunków rynku pracy, co wskazuje na wysoką dyscyplinę wymuszoną przez brak siatki socjalnej. Polki są na właściwej drodze, lecz wciąż do nadrobienia mają zarówno wartość posiadanych środków, jak i same nawyki inwestowania.</w:t>
      </w:r>
    </w:p>
    <w:p w14:paraId="1DDD0692" w14:textId="77777777" w:rsidR="005C6FCB" w:rsidRDefault="005C6FCB" w:rsidP="005C6FCB">
      <w:pPr>
        <w:spacing w:before="0" w:after="0"/>
        <w:jc w:val="left"/>
        <w:rPr>
          <w:rFonts w:ascii="Intrum Sans" w:hAnsi="Intrum Sans"/>
          <w:sz w:val="18"/>
          <w:szCs w:val="18"/>
        </w:rPr>
      </w:pPr>
    </w:p>
    <w:p w14:paraId="37012130" w14:textId="09BAE4CD" w:rsidR="005C6FCB" w:rsidRDefault="005C6FCB" w:rsidP="005C6FCB">
      <w:pPr>
        <w:spacing w:before="0" w:after="0"/>
        <w:jc w:val="left"/>
        <w:rPr>
          <w:rFonts w:ascii="Intrum Sans" w:hAnsi="Intrum Sans"/>
          <w:sz w:val="18"/>
          <w:szCs w:val="18"/>
        </w:rPr>
      </w:pPr>
      <w:r w:rsidRPr="005C6FCB">
        <w:rPr>
          <w:rFonts w:ascii="Intrum Sans" w:hAnsi="Intrum Sans"/>
          <w:sz w:val="18"/>
          <w:szCs w:val="18"/>
        </w:rPr>
        <w:lastRenderedPageBreak/>
        <w:t xml:space="preserve">Co ciekawe, Polki i Niemki mają coś wspólnego: obie grupy żyją pod rosnącą presją kosztów. 47 proc. Niemek przyznaje, że wzrost kosztów życia trwale wpłynął na ich </w:t>
      </w:r>
      <w:r w:rsidR="007B113B" w:rsidRPr="005C6FCB">
        <w:rPr>
          <w:rFonts w:ascii="Intrum Sans" w:hAnsi="Intrum Sans"/>
          <w:sz w:val="18"/>
          <w:szCs w:val="18"/>
        </w:rPr>
        <w:t>finanse,</w:t>
      </w:r>
      <w:r w:rsidRPr="005C6FCB">
        <w:rPr>
          <w:rFonts w:ascii="Intrum Sans" w:hAnsi="Intrum Sans"/>
          <w:sz w:val="18"/>
          <w:szCs w:val="18"/>
        </w:rPr>
        <w:t xml:space="preserve"> niemal tyle samo co Polek (51 proc.)</w:t>
      </w:r>
      <w:r w:rsidR="00224CB4">
        <w:rPr>
          <w:rStyle w:val="Odwoanieprzypisudolnego"/>
          <w:rFonts w:ascii="Intrum Sans" w:hAnsi="Intrum Sans"/>
          <w:sz w:val="18"/>
          <w:szCs w:val="18"/>
        </w:rPr>
        <w:footnoteReference w:id="9"/>
      </w:r>
      <w:r w:rsidRPr="005C6FCB">
        <w:rPr>
          <w:rFonts w:ascii="Intrum Sans" w:hAnsi="Intrum Sans"/>
          <w:sz w:val="18"/>
          <w:szCs w:val="18"/>
        </w:rPr>
        <w:t>. Dla porównania, w Norwegii podobne odczucia deklaruje zaledwie 27 proc. kobiet</w:t>
      </w:r>
      <w:r w:rsidR="00224CB4">
        <w:rPr>
          <w:rStyle w:val="Odwoanieprzypisudolnego"/>
          <w:rFonts w:ascii="Intrum Sans" w:hAnsi="Intrum Sans"/>
          <w:sz w:val="18"/>
          <w:szCs w:val="18"/>
        </w:rPr>
        <w:footnoteReference w:id="10"/>
      </w:r>
      <w:r w:rsidRPr="005C6FCB">
        <w:rPr>
          <w:rFonts w:ascii="Intrum Sans" w:hAnsi="Intrum Sans"/>
          <w:sz w:val="18"/>
          <w:szCs w:val="18"/>
        </w:rPr>
        <w:t>. Spokój norweskich pań to w dużej mierze efekt dziesięcioleci konsekwentnej polityki wysokich płac i szerokich świadczeń socjalnych, nie tylko indywidualnych decyzji finansowych.</w:t>
      </w:r>
    </w:p>
    <w:p w14:paraId="0FCB5743" w14:textId="77777777" w:rsidR="005C6FCB" w:rsidRDefault="005C6FCB" w:rsidP="005C6FCB">
      <w:pPr>
        <w:spacing w:before="0" w:after="0"/>
        <w:jc w:val="left"/>
        <w:rPr>
          <w:rFonts w:ascii="Intrum Sans" w:hAnsi="Intrum Sans"/>
          <w:sz w:val="18"/>
          <w:szCs w:val="18"/>
        </w:rPr>
      </w:pPr>
    </w:p>
    <w:p w14:paraId="66271572" w14:textId="77777777" w:rsidR="00F92DB5" w:rsidRDefault="00F92DB5" w:rsidP="00B43596">
      <w:pPr>
        <w:spacing w:before="0" w:after="0"/>
        <w:jc w:val="left"/>
        <w:rPr>
          <w:rFonts w:ascii="Intrum Sans" w:hAnsi="Intrum Sans"/>
          <w:b/>
          <w:bCs/>
          <w:sz w:val="18"/>
          <w:szCs w:val="18"/>
        </w:rPr>
      </w:pPr>
      <w:r w:rsidRPr="00F92DB5">
        <w:rPr>
          <w:rFonts w:ascii="Intrum Sans" w:hAnsi="Intrum Sans"/>
          <w:b/>
          <w:bCs/>
          <w:sz w:val="18"/>
          <w:szCs w:val="18"/>
        </w:rPr>
        <w:t>Zadłużenie niezabezpieczone - polska specyfika</w:t>
      </w:r>
    </w:p>
    <w:p w14:paraId="536E817B" w14:textId="1C1A2BC6" w:rsidR="007C702B" w:rsidRPr="007C702B" w:rsidRDefault="007C702B" w:rsidP="007C702B">
      <w:pPr>
        <w:spacing w:before="0"/>
        <w:jc w:val="left"/>
        <w:rPr>
          <w:rFonts w:ascii="Intrum Sans" w:hAnsi="Intrum Sans"/>
          <w:sz w:val="18"/>
          <w:szCs w:val="18"/>
        </w:rPr>
      </w:pPr>
      <w:r w:rsidRPr="007C702B">
        <w:rPr>
          <w:rFonts w:ascii="Intrum Sans" w:hAnsi="Intrum Sans"/>
          <w:sz w:val="18"/>
          <w:szCs w:val="18"/>
        </w:rPr>
        <w:t xml:space="preserve">Na tle Europejek Polki wypadają średnio pod względem zadłużenia niezabezpieczonego: 33 proc. posiada jakieś zobowiązania tego rodzaju (karty kredytowe, debety, pożyczki osobiste lub BNPL). To wynik lepszy niż w Szwecji, gdzie aż 49 proc. kobiet ma tego rodzaju </w:t>
      </w:r>
      <w:r w:rsidR="007B113B" w:rsidRPr="007C702B">
        <w:rPr>
          <w:rFonts w:ascii="Intrum Sans" w:hAnsi="Intrum Sans"/>
          <w:sz w:val="18"/>
          <w:szCs w:val="18"/>
        </w:rPr>
        <w:t>długi</w:t>
      </w:r>
      <w:r w:rsidRPr="007C702B">
        <w:rPr>
          <w:rFonts w:ascii="Intrum Sans" w:hAnsi="Intrum Sans"/>
          <w:sz w:val="18"/>
          <w:szCs w:val="18"/>
        </w:rPr>
        <w:t xml:space="preserve"> czy </w:t>
      </w:r>
      <w:r w:rsidR="00CB4B07">
        <w:rPr>
          <w:rFonts w:ascii="Intrum Sans" w:hAnsi="Intrum Sans"/>
          <w:sz w:val="18"/>
          <w:szCs w:val="18"/>
        </w:rPr>
        <w:t xml:space="preserve">w </w:t>
      </w:r>
      <w:r w:rsidRPr="007C702B">
        <w:rPr>
          <w:rFonts w:ascii="Intrum Sans" w:hAnsi="Intrum Sans"/>
          <w:sz w:val="18"/>
          <w:szCs w:val="18"/>
        </w:rPr>
        <w:t>Wielkiej Brytanii (45 proc.), ale gorszy niż w Norwegii (26 proc.) lub Holandii (31 proc.).</w:t>
      </w:r>
    </w:p>
    <w:p w14:paraId="298A6795" w14:textId="00D7C022" w:rsidR="004A2248" w:rsidRDefault="005A11D9" w:rsidP="005A11D9">
      <w:pPr>
        <w:spacing w:before="0" w:after="0"/>
        <w:jc w:val="left"/>
        <w:rPr>
          <w:rFonts w:ascii="Intrum Sans" w:hAnsi="Intrum Sans"/>
          <w:b/>
          <w:bCs/>
          <w:sz w:val="18"/>
          <w:szCs w:val="18"/>
        </w:rPr>
      </w:pPr>
      <w:r>
        <w:rPr>
          <w:rFonts w:ascii="Intrum Sans" w:hAnsi="Intrum Sans"/>
          <w:sz w:val="18"/>
          <w:szCs w:val="18"/>
        </w:rPr>
        <w:t xml:space="preserve">- </w:t>
      </w:r>
      <w:r w:rsidR="007C702B" w:rsidRPr="005A11D9">
        <w:rPr>
          <w:rFonts w:ascii="Intrum Sans" w:hAnsi="Intrum Sans"/>
          <w:i/>
          <w:iCs/>
          <w:sz w:val="18"/>
          <w:szCs w:val="18"/>
        </w:rPr>
        <w:t>Co piąta Polka korzysta z opcji BNPL, czyli "kup teraz, zapłać później", a 12 proc. przyznaje, że w ciągu ostatniego roku zdarzało jej się zapożyczyć, by pokryć podstawowe potrzeby takie jak zakupy spożywcze, czynsz lub rachunki. To wynik porównywalny z Wielką Brytanią, ale gorszy niż w Skandynawii, gdzie 11 proc. Norweżek sięga po tego typu rozwiązania.</w:t>
      </w:r>
      <w:r w:rsidRPr="005A11D9">
        <w:rPr>
          <w:rFonts w:ascii="Intrum Sans" w:hAnsi="Intrum Sans"/>
          <w:i/>
          <w:iCs/>
          <w:sz w:val="18"/>
          <w:szCs w:val="18"/>
        </w:rPr>
        <w:t xml:space="preserve"> </w:t>
      </w:r>
      <w:r w:rsidR="007C702B" w:rsidRPr="005A11D9">
        <w:rPr>
          <w:rFonts w:ascii="Intrum Sans" w:hAnsi="Intrum Sans"/>
          <w:i/>
          <w:iCs/>
          <w:sz w:val="18"/>
          <w:szCs w:val="18"/>
        </w:rPr>
        <w:t>Z kolei Włoszki mają stosunkowo niski poziom zadłużenia niezabezpieczonego, ale za to blisko jedna trzecia nie byłaby w stanie samodzielnie pokryć niespodziewanego wydatku powyżej 500 euro. Dla porównania, nie sprawia to żadnego problemu kobietom w Niemczech czy Szwecji</w:t>
      </w:r>
      <w:r>
        <w:rPr>
          <w:rFonts w:ascii="Intrum Sans" w:hAnsi="Intrum Sans"/>
          <w:sz w:val="18"/>
          <w:szCs w:val="18"/>
        </w:rPr>
        <w:t xml:space="preserve"> - komentuje</w:t>
      </w:r>
      <w:r w:rsidRPr="009F4703">
        <w:rPr>
          <w:rFonts w:ascii="Intrum Sans" w:hAnsi="Intrum Sans"/>
          <w:b/>
          <w:bCs/>
          <w:sz w:val="18"/>
          <w:szCs w:val="18"/>
        </w:rPr>
        <w:t xml:space="preserve"> </w:t>
      </w:r>
      <w:r w:rsidR="007B113B" w:rsidRPr="009F4703">
        <w:rPr>
          <w:rFonts w:ascii="Intrum Sans" w:hAnsi="Intrum Sans"/>
          <w:b/>
          <w:bCs/>
          <w:sz w:val="18"/>
          <w:szCs w:val="18"/>
        </w:rPr>
        <w:t>Szostkowska</w:t>
      </w:r>
      <w:r w:rsidR="007B113B">
        <w:rPr>
          <w:rFonts w:ascii="Intrum Sans" w:hAnsi="Intrum Sans"/>
          <w:b/>
          <w:bCs/>
          <w:sz w:val="18"/>
          <w:szCs w:val="18"/>
        </w:rPr>
        <w:t xml:space="preserve">, </w:t>
      </w:r>
      <w:r w:rsidR="007B113B" w:rsidRPr="009F4703">
        <w:rPr>
          <w:rFonts w:ascii="Intrum Sans" w:hAnsi="Intrum Sans"/>
          <w:b/>
          <w:bCs/>
          <w:sz w:val="18"/>
          <w:szCs w:val="18"/>
        </w:rPr>
        <w:t>Intrum</w:t>
      </w:r>
      <w:r w:rsidRPr="009F4703">
        <w:rPr>
          <w:rFonts w:ascii="Intrum Sans" w:hAnsi="Intrum Sans"/>
          <w:b/>
          <w:bCs/>
          <w:sz w:val="18"/>
          <w:szCs w:val="18"/>
        </w:rPr>
        <w:t>.</w:t>
      </w:r>
    </w:p>
    <w:p w14:paraId="54533449" w14:textId="77777777" w:rsidR="005A11D9" w:rsidRPr="005A11D9" w:rsidRDefault="005A11D9" w:rsidP="005A11D9">
      <w:pPr>
        <w:spacing w:before="0" w:after="0"/>
        <w:jc w:val="left"/>
        <w:rPr>
          <w:rFonts w:ascii="Intrum Sans" w:hAnsi="Intrum Sans"/>
          <w:b/>
          <w:bCs/>
          <w:sz w:val="18"/>
          <w:szCs w:val="18"/>
        </w:rPr>
      </w:pPr>
    </w:p>
    <w:p w14:paraId="53887D56" w14:textId="0FF20D7D" w:rsidR="004A2248" w:rsidRDefault="00D72C2D" w:rsidP="00CD51C8">
      <w:pPr>
        <w:spacing w:before="0" w:after="0"/>
        <w:jc w:val="left"/>
        <w:rPr>
          <w:rFonts w:ascii="Intrum Sans" w:hAnsi="Intrum Sans"/>
          <w:b/>
          <w:bCs/>
          <w:sz w:val="18"/>
          <w:szCs w:val="18"/>
        </w:rPr>
      </w:pPr>
      <w:r w:rsidRPr="00D72C2D">
        <w:rPr>
          <w:rFonts w:ascii="Intrum Sans" w:hAnsi="Intrum Sans"/>
          <w:b/>
          <w:bCs/>
          <w:sz w:val="18"/>
          <w:szCs w:val="18"/>
        </w:rPr>
        <w:t>Spokojny sen Hiszpanek i „koszmary” Holenderek</w:t>
      </w:r>
    </w:p>
    <w:p w14:paraId="0C5AC827" w14:textId="77777777" w:rsidR="00CD51C8" w:rsidRPr="00CD51C8" w:rsidRDefault="00CD51C8" w:rsidP="00CD51C8">
      <w:pPr>
        <w:spacing w:before="0" w:after="0"/>
        <w:jc w:val="left"/>
        <w:rPr>
          <w:rFonts w:ascii="Intrum Sans" w:hAnsi="Intrum Sans"/>
          <w:b/>
          <w:bCs/>
          <w:sz w:val="18"/>
          <w:szCs w:val="18"/>
        </w:rPr>
      </w:pPr>
    </w:p>
    <w:p w14:paraId="60DA8D1C" w14:textId="2CF8CE0F" w:rsidR="00CD51C8" w:rsidRPr="00CD51C8" w:rsidRDefault="00CD51C8" w:rsidP="00CD51C8">
      <w:pPr>
        <w:spacing w:before="0"/>
        <w:jc w:val="left"/>
        <w:rPr>
          <w:rFonts w:ascii="Intrum Sans" w:hAnsi="Intrum Sans"/>
          <w:sz w:val="18"/>
          <w:szCs w:val="18"/>
        </w:rPr>
      </w:pPr>
      <w:r w:rsidRPr="00CD51C8">
        <w:rPr>
          <w:rFonts w:ascii="Intrum Sans" w:hAnsi="Intrum Sans"/>
          <w:sz w:val="18"/>
          <w:szCs w:val="18"/>
        </w:rPr>
        <w:t xml:space="preserve">Dzięki kompleksowej analizie różnych informacji o kondycji finansowej i zachowaniach </w:t>
      </w:r>
      <w:r w:rsidR="00940DB7" w:rsidRPr="00CD51C8">
        <w:rPr>
          <w:rFonts w:ascii="Intrum Sans" w:hAnsi="Intrum Sans"/>
          <w:sz w:val="18"/>
          <w:szCs w:val="18"/>
        </w:rPr>
        <w:t>płatniczych</w:t>
      </w:r>
      <w:r w:rsidRPr="00CD51C8">
        <w:rPr>
          <w:rFonts w:ascii="Intrum Sans" w:hAnsi="Intrum Sans"/>
          <w:sz w:val="18"/>
          <w:szCs w:val="18"/>
        </w:rPr>
        <w:t xml:space="preserve"> Europejek, raport Intrum pozwala uniknąć pułapki stawiania zbyt pochopnych i stereotypowych wniosków. </w:t>
      </w:r>
    </w:p>
    <w:p w14:paraId="3B64635C" w14:textId="7D4DB7AF" w:rsidR="00CD51C8" w:rsidRPr="00CD51C8" w:rsidRDefault="00CD51C8" w:rsidP="00CD51C8">
      <w:pPr>
        <w:spacing w:before="0"/>
        <w:jc w:val="left"/>
        <w:rPr>
          <w:rFonts w:ascii="Intrum Sans" w:hAnsi="Intrum Sans"/>
          <w:sz w:val="18"/>
          <w:szCs w:val="18"/>
        </w:rPr>
      </w:pPr>
      <w:r w:rsidRPr="00CD51C8">
        <w:rPr>
          <w:rFonts w:ascii="Intrum Sans" w:hAnsi="Intrum Sans"/>
          <w:sz w:val="18"/>
          <w:szCs w:val="18"/>
        </w:rPr>
        <w:t>Przykładowo, Holandia ma jeden z najwyższych wskaźników zatrudnienia kobiet w Europie.  Można by więc przypuszczać, że pracowite Holenderki ze spokojem patrzą w przyszłość. Tymczasem okazuje się, że chociaż</w:t>
      </w:r>
      <w:r w:rsidR="00721004">
        <w:rPr>
          <w:rFonts w:ascii="Intrum Sans" w:hAnsi="Intrum Sans"/>
          <w:sz w:val="18"/>
          <w:szCs w:val="18"/>
        </w:rPr>
        <w:t xml:space="preserve"> </w:t>
      </w:r>
      <w:r w:rsidRPr="00CD51C8">
        <w:rPr>
          <w:rFonts w:ascii="Intrum Sans" w:hAnsi="Intrum Sans"/>
          <w:sz w:val="18"/>
          <w:szCs w:val="18"/>
        </w:rPr>
        <w:t xml:space="preserve">wykazują się wysoką bieżącą zdolnością płatniczą – 76 proc. </w:t>
      </w:r>
      <w:r w:rsidR="00721004">
        <w:rPr>
          <w:rFonts w:ascii="Intrum Sans" w:hAnsi="Intrum Sans"/>
          <w:sz w:val="18"/>
          <w:szCs w:val="18"/>
        </w:rPr>
        <w:t xml:space="preserve">z nich </w:t>
      </w:r>
      <w:r w:rsidRPr="00CD51C8">
        <w:rPr>
          <w:rFonts w:ascii="Intrum Sans" w:hAnsi="Intrum Sans"/>
          <w:sz w:val="18"/>
          <w:szCs w:val="18"/>
        </w:rPr>
        <w:t>reguluje rachunki w terminie</w:t>
      </w:r>
      <w:r w:rsidR="0029340C">
        <w:rPr>
          <w:rStyle w:val="Odwoanieprzypisudolnego"/>
          <w:rFonts w:ascii="Intrum Sans" w:hAnsi="Intrum Sans"/>
          <w:sz w:val="18"/>
          <w:szCs w:val="18"/>
        </w:rPr>
        <w:footnoteReference w:id="11"/>
      </w:r>
      <w:r w:rsidRPr="00CD51C8">
        <w:rPr>
          <w:rFonts w:ascii="Intrum Sans" w:hAnsi="Intrum Sans"/>
          <w:sz w:val="18"/>
          <w:szCs w:val="18"/>
        </w:rPr>
        <w:t>, należą one do grupy najbardziej zaniepokojonych perspektywą starości. Skąd te obawy? Okazuje się, że aż 60% pracujących Holenderek zatrudnionych jest w niepełnym wymiarze godzin</w:t>
      </w:r>
      <w:r w:rsidR="00060452">
        <w:rPr>
          <w:rStyle w:val="Odwoanieprzypisudolnego"/>
          <w:rFonts w:ascii="Intrum Sans" w:hAnsi="Intrum Sans"/>
          <w:sz w:val="18"/>
          <w:szCs w:val="18"/>
        </w:rPr>
        <w:footnoteReference w:id="12"/>
      </w:r>
      <w:r w:rsidRPr="00CD51C8">
        <w:rPr>
          <w:rFonts w:ascii="Intrum Sans" w:hAnsi="Intrum Sans"/>
          <w:sz w:val="18"/>
          <w:szCs w:val="18"/>
        </w:rPr>
        <w:t xml:space="preserve">. To wybór świadomy, lecz – jak pokazują wyniki badań - mający poważne konsekwencje dla wysokości przyszłej emerytury. </w:t>
      </w:r>
    </w:p>
    <w:p w14:paraId="15448163" w14:textId="1ED81179" w:rsidR="00CD51C8" w:rsidRPr="00CD51C8" w:rsidRDefault="00CD51C8" w:rsidP="00CD51C8">
      <w:pPr>
        <w:spacing w:before="0"/>
        <w:jc w:val="left"/>
        <w:rPr>
          <w:rFonts w:ascii="Intrum Sans" w:hAnsi="Intrum Sans"/>
          <w:sz w:val="18"/>
          <w:szCs w:val="18"/>
        </w:rPr>
      </w:pPr>
      <w:r w:rsidRPr="00CD51C8">
        <w:rPr>
          <w:rFonts w:ascii="Intrum Sans" w:hAnsi="Intrum Sans"/>
          <w:sz w:val="18"/>
          <w:szCs w:val="18"/>
        </w:rPr>
        <w:t>Z kolei mimo poważniejszych trudności niemal 9 na 10 Hiszpanek jest przekonanych, że w nadchodzących miesiącach poradzą sobie z regulowaniem wszystkich bieżących zobowiąza</w:t>
      </w:r>
      <w:r w:rsidR="0029340C">
        <w:rPr>
          <w:rFonts w:ascii="Intrum Sans" w:hAnsi="Intrum Sans"/>
          <w:sz w:val="18"/>
          <w:szCs w:val="18"/>
        </w:rPr>
        <w:t>ń</w:t>
      </w:r>
      <w:r w:rsidR="00224CB4">
        <w:rPr>
          <w:rStyle w:val="Odwoanieprzypisudolnego"/>
          <w:rFonts w:ascii="Intrum Sans" w:hAnsi="Intrum Sans"/>
          <w:sz w:val="18"/>
          <w:szCs w:val="18"/>
        </w:rPr>
        <w:footnoteReference w:id="13"/>
      </w:r>
      <w:r w:rsidRPr="00CD51C8">
        <w:rPr>
          <w:rFonts w:ascii="Intrum Sans" w:hAnsi="Intrum Sans"/>
          <w:sz w:val="18"/>
          <w:szCs w:val="18"/>
        </w:rPr>
        <w:t>. To imponujące, biorąc pod uwagę wyższą stopę bezrobocia w porównaniu z Polską. Za tą odpornością stoi w dużej mierze silna sieć wsparcia rodzinnego.</w:t>
      </w:r>
    </w:p>
    <w:p w14:paraId="7E537B4D" w14:textId="002478F4" w:rsidR="00CD51C8" w:rsidRPr="00CD51C8" w:rsidRDefault="00CD51C8" w:rsidP="00CD51C8">
      <w:pPr>
        <w:spacing w:before="0"/>
        <w:jc w:val="left"/>
        <w:rPr>
          <w:rFonts w:ascii="Intrum Sans" w:hAnsi="Intrum Sans"/>
          <w:sz w:val="18"/>
          <w:szCs w:val="18"/>
        </w:rPr>
      </w:pPr>
      <w:r w:rsidRPr="00CD51C8">
        <w:rPr>
          <w:rFonts w:ascii="Intrum Sans" w:hAnsi="Intrum Sans"/>
          <w:sz w:val="18"/>
          <w:szCs w:val="18"/>
        </w:rPr>
        <w:t>Brytyjki natomiast, mimo największej presji kosztowej, wykazują wysoką aktywność w poszukiwaniu rozwiązań. Częściej niż kobiety z innych krajów korzystają z aplikacji do zarządzania budżetem domowym, chętniej negocjują warunki umów i deklarują gotowość do skorzystania z narzędzi AI przy rozwiązywaniu problemów płatniczych.</w:t>
      </w:r>
    </w:p>
    <w:p w14:paraId="53C6E2FA" w14:textId="3EE8FA05" w:rsidR="00E85730" w:rsidRDefault="00B13C8A" w:rsidP="00E85730">
      <w:pPr>
        <w:spacing w:before="0" w:after="0"/>
        <w:jc w:val="left"/>
        <w:rPr>
          <w:rFonts w:ascii="Intrum Sans" w:hAnsi="Intrum Sans"/>
          <w:b/>
          <w:bCs/>
          <w:sz w:val="18"/>
          <w:szCs w:val="18"/>
        </w:rPr>
      </w:pPr>
      <w:r w:rsidRPr="00B13C8A">
        <w:rPr>
          <w:rFonts w:ascii="Intrum Sans" w:hAnsi="Intrum Sans"/>
          <w:b/>
          <w:bCs/>
          <w:sz w:val="18"/>
          <w:szCs w:val="18"/>
        </w:rPr>
        <w:t xml:space="preserve">Co łączy </w:t>
      </w:r>
      <w:r w:rsidR="00E85730">
        <w:rPr>
          <w:rFonts w:ascii="Intrum Sans" w:hAnsi="Intrum Sans"/>
          <w:b/>
          <w:bCs/>
          <w:sz w:val="18"/>
          <w:szCs w:val="18"/>
        </w:rPr>
        <w:t>Europejki</w:t>
      </w:r>
      <w:r w:rsidRPr="00B13C8A">
        <w:rPr>
          <w:rFonts w:ascii="Intrum Sans" w:hAnsi="Intrum Sans"/>
          <w:b/>
          <w:bCs/>
          <w:sz w:val="18"/>
          <w:szCs w:val="18"/>
        </w:rPr>
        <w:t>?</w:t>
      </w:r>
      <w:r w:rsidR="00E85730">
        <w:rPr>
          <w:rFonts w:ascii="Intrum Sans" w:hAnsi="Intrum Sans"/>
          <w:b/>
          <w:bCs/>
          <w:sz w:val="18"/>
          <w:szCs w:val="18"/>
        </w:rPr>
        <w:br/>
      </w:r>
      <w:r w:rsidR="00E85730">
        <w:rPr>
          <w:rFonts w:ascii="Intrum Sans" w:hAnsi="Intrum Sans"/>
          <w:b/>
          <w:bCs/>
          <w:sz w:val="18"/>
          <w:szCs w:val="18"/>
        </w:rPr>
        <w:br/>
      </w:r>
      <w:r w:rsidR="00FA5873" w:rsidRPr="00FA5873">
        <w:rPr>
          <w:rFonts w:ascii="Intrum Sans" w:hAnsi="Intrum Sans"/>
          <w:sz w:val="18"/>
          <w:szCs w:val="18"/>
        </w:rPr>
        <w:t xml:space="preserve">Ostatecznie, </w:t>
      </w:r>
      <w:r w:rsidR="00FA5873">
        <w:rPr>
          <w:rFonts w:ascii="Intrum Sans" w:hAnsi="Intrum Sans"/>
          <w:sz w:val="18"/>
          <w:szCs w:val="18"/>
        </w:rPr>
        <w:t>mieszkanki Starego Kontynentu</w:t>
      </w:r>
      <w:r w:rsidR="00FA5873" w:rsidRPr="00FA5873">
        <w:rPr>
          <w:rFonts w:ascii="Intrum Sans" w:hAnsi="Intrum Sans"/>
          <w:sz w:val="18"/>
          <w:szCs w:val="18"/>
        </w:rPr>
        <w:t xml:space="preserve"> łączy jednak więcej niż dzieli.</w:t>
      </w:r>
    </w:p>
    <w:p w14:paraId="32483949" w14:textId="77777777" w:rsidR="00E85730" w:rsidRDefault="00E85730" w:rsidP="00E85730">
      <w:pPr>
        <w:spacing w:before="0" w:after="0"/>
        <w:jc w:val="left"/>
        <w:rPr>
          <w:rFonts w:ascii="Intrum Sans" w:hAnsi="Intrum Sans"/>
          <w:b/>
          <w:bCs/>
          <w:sz w:val="18"/>
          <w:szCs w:val="18"/>
        </w:rPr>
      </w:pPr>
    </w:p>
    <w:p w14:paraId="78D2926B" w14:textId="1B01683E" w:rsidR="00FA5873" w:rsidRPr="009F4703" w:rsidRDefault="00E85730" w:rsidP="00E85730">
      <w:pPr>
        <w:spacing w:before="0" w:after="0"/>
        <w:jc w:val="left"/>
        <w:rPr>
          <w:rFonts w:ascii="Intrum Sans" w:hAnsi="Intrum Sans"/>
          <w:b/>
          <w:bCs/>
          <w:sz w:val="18"/>
          <w:szCs w:val="18"/>
        </w:rPr>
      </w:pPr>
      <w:r>
        <w:rPr>
          <w:rFonts w:ascii="Intrum Sans" w:hAnsi="Intrum Sans"/>
          <w:sz w:val="18"/>
          <w:szCs w:val="18"/>
        </w:rPr>
        <w:t>-</w:t>
      </w:r>
      <w:r w:rsidR="00FA5873" w:rsidRPr="00FA5873">
        <w:rPr>
          <w:rFonts w:ascii="Intrum Sans" w:hAnsi="Intrum Sans"/>
          <w:sz w:val="18"/>
          <w:szCs w:val="18"/>
        </w:rPr>
        <w:t xml:space="preserve"> </w:t>
      </w:r>
      <w:r w:rsidR="00FA5873" w:rsidRPr="009F4703">
        <w:rPr>
          <w:rFonts w:ascii="Intrum Sans" w:hAnsi="Intrum Sans"/>
          <w:i/>
          <w:iCs/>
          <w:sz w:val="18"/>
          <w:szCs w:val="18"/>
        </w:rPr>
        <w:t>Raport Intrum ujawnia kilka ważnych, wspólnych mianowników. Po pierwsze, są</w:t>
      </w:r>
      <w:r w:rsidR="003A19B0">
        <w:rPr>
          <w:rFonts w:ascii="Intrum Sans" w:hAnsi="Intrum Sans"/>
          <w:i/>
          <w:iCs/>
          <w:sz w:val="18"/>
          <w:szCs w:val="18"/>
        </w:rPr>
        <w:t xml:space="preserve"> one</w:t>
      </w:r>
      <w:r w:rsidR="00FA5873" w:rsidRPr="009F4703">
        <w:rPr>
          <w:rFonts w:ascii="Intrum Sans" w:hAnsi="Intrum Sans"/>
          <w:i/>
          <w:iCs/>
          <w:sz w:val="18"/>
          <w:szCs w:val="18"/>
        </w:rPr>
        <w:t xml:space="preserve"> bardziej narażone na skutki kryzysu kosztów życia niż mężczyźni. Dotyczy to zarówno Europy Środkowej, jak i Zachodniej. Po drugie, luka w dostępie do oszczędności pozostaje realna niezależnie od zamożności kraju. I wreszcie, po trzecie, mimo wyzwań kobiety wykazują wyższą dyscyplinę płatniczą niż mężczyźni, rzadziej wpadają w spiralę zadłużenia i częściej traktują rachunki jako priorytet</w:t>
      </w:r>
      <w:r w:rsidR="00FA5873" w:rsidRPr="00FA5873">
        <w:rPr>
          <w:rFonts w:ascii="Intrum Sans" w:hAnsi="Intrum Sans"/>
          <w:sz w:val="18"/>
          <w:szCs w:val="18"/>
        </w:rPr>
        <w:t xml:space="preserve"> – podsumowuje </w:t>
      </w:r>
      <w:r w:rsidR="009F4703" w:rsidRPr="009F4703">
        <w:rPr>
          <w:rFonts w:ascii="Intrum Sans" w:hAnsi="Intrum Sans"/>
          <w:b/>
          <w:bCs/>
          <w:sz w:val="18"/>
          <w:szCs w:val="18"/>
        </w:rPr>
        <w:t xml:space="preserve">Ula Szostkowska </w:t>
      </w:r>
      <w:r w:rsidR="00FA5873" w:rsidRPr="009F4703">
        <w:rPr>
          <w:rFonts w:ascii="Intrum Sans" w:hAnsi="Intrum Sans"/>
          <w:b/>
          <w:bCs/>
          <w:sz w:val="18"/>
          <w:szCs w:val="18"/>
        </w:rPr>
        <w:t>z Intrum.</w:t>
      </w:r>
    </w:p>
    <w:p w14:paraId="077F5458" w14:textId="77777777" w:rsidR="00E85730" w:rsidRPr="00FA5873" w:rsidRDefault="00E85730" w:rsidP="00E85730">
      <w:pPr>
        <w:spacing w:before="0" w:after="0"/>
        <w:jc w:val="left"/>
        <w:rPr>
          <w:rFonts w:ascii="Intrum Sans" w:hAnsi="Intrum Sans"/>
          <w:sz w:val="18"/>
          <w:szCs w:val="18"/>
        </w:rPr>
      </w:pPr>
    </w:p>
    <w:p w14:paraId="41480895" w14:textId="77777777" w:rsidR="00FA5873" w:rsidRPr="00FA5873" w:rsidRDefault="00FA5873" w:rsidP="00FA5873">
      <w:pPr>
        <w:spacing w:before="0"/>
        <w:jc w:val="left"/>
        <w:rPr>
          <w:rFonts w:ascii="Intrum Sans" w:hAnsi="Intrum Sans"/>
          <w:sz w:val="18"/>
          <w:szCs w:val="18"/>
        </w:rPr>
      </w:pPr>
      <w:r w:rsidRPr="00FA5873">
        <w:rPr>
          <w:rFonts w:ascii="Intrum Sans" w:hAnsi="Intrum Sans"/>
          <w:sz w:val="18"/>
          <w:szCs w:val="18"/>
        </w:rPr>
        <w:lastRenderedPageBreak/>
        <w:t xml:space="preserve">Dane z ECPR25 pokazują, że Europejki – w tym Polki - to odpowiedzialne i świadome konsumentki, działające często w warunkach strukturalnie trudniejszych niż te, z którymi mierzą się mężczyźni.  </w:t>
      </w:r>
    </w:p>
    <w:p w14:paraId="54676766" w14:textId="6D2C66FD" w:rsidR="004D23DD" w:rsidRDefault="004D23DD" w:rsidP="004D23DD">
      <w:pPr>
        <w:spacing w:before="0"/>
        <w:jc w:val="left"/>
        <w:rPr>
          <w:rFonts w:ascii="Intrum Sans" w:eastAsia="Calibri" w:hAnsi="Intrum Sans" w:cs="Times New Roman"/>
          <w:b/>
          <w:bCs/>
          <w:sz w:val="18"/>
          <w:szCs w:val="18"/>
          <w:lang w:val="pl-PL" w:eastAsia="en-US"/>
        </w:rPr>
      </w:pPr>
      <w:r w:rsidRPr="009F4703">
        <w:rPr>
          <w:rFonts w:ascii="Intrum Sans" w:eastAsia="Calibri" w:hAnsi="Intrum Sans" w:cs="Times New Roman"/>
          <w:b/>
          <w:bCs/>
          <w:sz w:val="18"/>
          <w:szCs w:val="18"/>
          <w:lang w:val="pl-PL" w:eastAsia="en-US"/>
        </w:rPr>
        <w:t xml:space="preserve">Więcej informacji: </w:t>
      </w:r>
    </w:p>
    <w:p w14:paraId="3115F411" w14:textId="160982FC" w:rsidR="005A11D9" w:rsidRPr="005A11D9" w:rsidRDefault="005A11D9" w:rsidP="005A11D9">
      <w:pPr>
        <w:spacing w:after="160" w:line="278" w:lineRule="auto"/>
        <w:jc w:val="left"/>
        <w:rPr>
          <w:rFonts w:ascii="Intrum Sans" w:hAnsi="Intrum Sans"/>
          <w:sz w:val="18"/>
          <w:szCs w:val="18"/>
          <w:lang w:val="fr-FR"/>
        </w:rPr>
      </w:pPr>
      <w:r w:rsidRPr="005A11D9">
        <w:rPr>
          <w:rFonts w:ascii="Intrum Sans" w:hAnsi="Intrum Sans"/>
          <w:b/>
          <w:bCs/>
          <w:sz w:val="18"/>
          <w:szCs w:val="18"/>
          <w:lang w:val="fr-FR"/>
        </w:rPr>
        <w:t>Aleksandra Morka </w:t>
      </w:r>
      <w:r w:rsidRPr="005A11D9">
        <w:rPr>
          <w:rFonts w:ascii="Intrum Sans" w:hAnsi="Intrum Sans"/>
          <w:sz w:val="18"/>
          <w:szCs w:val="18"/>
          <w:lang w:val="fr-FR"/>
        </w:rPr>
        <w:br/>
        <w:t>a.morka@lightscape.pl </w:t>
      </w:r>
      <w:r w:rsidRPr="005A11D9">
        <w:rPr>
          <w:rFonts w:ascii="Intrum Sans" w:hAnsi="Intrum Sans"/>
          <w:sz w:val="18"/>
          <w:szCs w:val="18"/>
          <w:lang w:val="fr-FR"/>
        </w:rPr>
        <w:br/>
        <w:t>tel. 531 444 469</w:t>
      </w:r>
    </w:p>
    <w:p w14:paraId="188006EA" w14:textId="77777777" w:rsidR="004D23DD" w:rsidRPr="009F4703" w:rsidRDefault="004D23DD" w:rsidP="004D23DD">
      <w:pPr>
        <w:spacing w:before="0"/>
        <w:jc w:val="left"/>
        <w:rPr>
          <w:rFonts w:ascii="Intrum Sans" w:eastAsia="Calibri" w:hAnsi="Intrum Sans" w:cs="Times New Roman"/>
          <w:sz w:val="18"/>
          <w:szCs w:val="18"/>
          <w:lang w:val="pl-PL" w:eastAsia="en-US"/>
        </w:rPr>
      </w:pPr>
      <w:r w:rsidRPr="009F4703">
        <w:rPr>
          <w:rFonts w:ascii="Intrum Sans" w:eastAsia="Calibri" w:hAnsi="Intrum Sans" w:cs="Times New Roman"/>
          <w:b/>
          <w:bCs/>
          <w:sz w:val="18"/>
          <w:szCs w:val="18"/>
          <w:lang w:val="pl-PL" w:eastAsia="en-US"/>
        </w:rPr>
        <w:t>Katarzyna Bil </w:t>
      </w:r>
      <w:r w:rsidRPr="009F4703">
        <w:rPr>
          <w:rFonts w:ascii="Intrum Sans" w:eastAsia="Calibri" w:hAnsi="Intrum Sans" w:cs="Times New Roman"/>
          <w:b/>
          <w:bCs/>
          <w:sz w:val="18"/>
          <w:szCs w:val="18"/>
          <w:lang w:val="pl-PL" w:eastAsia="en-US"/>
        </w:rPr>
        <w:br/>
      </w:r>
      <w:r w:rsidRPr="009F4703">
        <w:rPr>
          <w:rFonts w:ascii="Intrum Sans" w:eastAsia="Calibri" w:hAnsi="Intrum Sans" w:cs="Times New Roman"/>
          <w:sz w:val="18"/>
          <w:szCs w:val="18"/>
          <w:lang w:val="pl-PL" w:eastAsia="en-US"/>
        </w:rPr>
        <w:t>k.bil@lightscape.pl</w:t>
      </w:r>
      <w:r w:rsidRPr="009F4703">
        <w:rPr>
          <w:rFonts w:ascii="Intrum Sans" w:eastAsia="Calibri" w:hAnsi="Intrum Sans" w:cs="Times New Roman"/>
          <w:b/>
          <w:bCs/>
          <w:sz w:val="18"/>
          <w:szCs w:val="18"/>
          <w:lang w:val="pl-PL" w:eastAsia="en-US"/>
        </w:rPr>
        <w:br/>
      </w:r>
      <w:r w:rsidRPr="009F4703">
        <w:rPr>
          <w:rFonts w:ascii="Intrum Sans" w:eastAsia="Calibri" w:hAnsi="Intrum Sans" w:cs="Times New Roman"/>
          <w:sz w:val="18"/>
          <w:szCs w:val="18"/>
          <w:lang w:val="pl-PL" w:eastAsia="en-US"/>
        </w:rPr>
        <w:t>tel. 731 439</w:t>
      </w:r>
      <w:r w:rsidRPr="009F4703">
        <w:rPr>
          <w:rFonts w:ascii="Cambria Math" w:eastAsia="Calibri" w:hAnsi="Cambria Math" w:cs="Cambria Math"/>
          <w:sz w:val="18"/>
          <w:szCs w:val="18"/>
          <w:lang w:val="pl-PL" w:eastAsia="en-US"/>
        </w:rPr>
        <w:t> </w:t>
      </w:r>
      <w:r w:rsidRPr="009F4703">
        <w:rPr>
          <w:rFonts w:ascii="Intrum Sans" w:eastAsia="Calibri" w:hAnsi="Intrum Sans" w:cs="Times New Roman"/>
          <w:sz w:val="18"/>
          <w:szCs w:val="18"/>
          <w:lang w:val="pl-PL" w:eastAsia="en-US"/>
        </w:rPr>
        <w:t>999 </w:t>
      </w:r>
    </w:p>
    <w:p w14:paraId="462C7B07" w14:textId="77777777" w:rsidR="004D23DD" w:rsidRDefault="004D23DD" w:rsidP="004D23DD">
      <w:pPr>
        <w:jc w:val="left"/>
      </w:pPr>
    </w:p>
    <w:p w14:paraId="7DAE6890" w14:textId="77777777" w:rsidR="004D23DD" w:rsidRDefault="004D23DD" w:rsidP="004D23DD">
      <w:pPr>
        <w:jc w:val="left"/>
      </w:pPr>
    </w:p>
    <w:p w14:paraId="21C1C14E" w14:textId="77777777" w:rsidR="004D23DD" w:rsidRDefault="004D23DD" w:rsidP="004D23DD">
      <w:pPr>
        <w:jc w:val="left"/>
      </w:pPr>
    </w:p>
    <w:sectPr w:rsidR="004D23DD">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0A880" w14:textId="77777777" w:rsidR="00AA4B4D" w:rsidRDefault="00AA4B4D">
      <w:pPr>
        <w:spacing w:before="0" w:after="0" w:line="240" w:lineRule="auto"/>
      </w:pPr>
      <w:r>
        <w:separator/>
      </w:r>
    </w:p>
  </w:endnote>
  <w:endnote w:type="continuationSeparator" w:id="0">
    <w:p w14:paraId="56A828BF" w14:textId="77777777" w:rsidR="00AA4B4D" w:rsidRDefault="00AA4B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rum Sans">
    <w:panose1 w:val="00000500000000000000"/>
    <w:charset w:val="00"/>
    <w:family w:val="modern"/>
    <w:notTrueType/>
    <w:pitch w:val="variable"/>
    <w:sig w:usb0="00000087" w:usb1="00000000"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 w:fontKey="{708AC024-2AB5-42A4-9943-CD6781519922}"/>
    <w:embedBold r:id="rId2" w:fontKey="{6DB6FDFF-72E8-4C1D-94C1-37A1186D7B60}"/>
  </w:font>
  <w:font w:name="Cambria Math">
    <w:panose1 w:val="02040503050406030204"/>
    <w:charset w:val="EE"/>
    <w:family w:val="roman"/>
    <w:pitch w:val="variable"/>
    <w:sig w:usb0="E00006FF" w:usb1="420024FF" w:usb2="02000000" w:usb3="00000000" w:csb0="0000019F" w:csb1="00000000"/>
    <w:embedRegular r:id="rId3" w:fontKey="{45BADC61-B69D-4379-AEC1-A8403BD8B184}"/>
  </w:font>
  <w:font w:name="Cambria">
    <w:panose1 w:val="02040503050406030204"/>
    <w:charset w:val="EE"/>
    <w:family w:val="roman"/>
    <w:pitch w:val="variable"/>
    <w:sig w:usb0="E00006FF" w:usb1="420024FF" w:usb2="02000000" w:usb3="00000000" w:csb0="0000019F" w:csb1="00000000"/>
    <w:embedRegular r:id="rId4" w:fontKey="{6C3CCCD1-C0F9-43CE-88C2-3B9B46861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D2AC" w14:textId="77777777" w:rsidR="0067189D" w:rsidRDefault="006718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BC10" w14:textId="77777777" w:rsidR="0067189D" w:rsidRDefault="0067189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864F" w14:textId="77777777" w:rsidR="0067189D" w:rsidRDefault="006718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2FAEB" w14:textId="77777777" w:rsidR="00AA4B4D" w:rsidRDefault="00AA4B4D">
      <w:pPr>
        <w:spacing w:before="0" w:after="0" w:line="240" w:lineRule="auto"/>
      </w:pPr>
      <w:r>
        <w:separator/>
      </w:r>
    </w:p>
  </w:footnote>
  <w:footnote w:type="continuationSeparator" w:id="0">
    <w:p w14:paraId="7BDBBF87" w14:textId="77777777" w:rsidR="00AA4B4D" w:rsidRDefault="00AA4B4D">
      <w:pPr>
        <w:spacing w:before="0" w:after="0" w:line="240" w:lineRule="auto"/>
      </w:pPr>
      <w:r>
        <w:continuationSeparator/>
      </w:r>
    </w:p>
  </w:footnote>
  <w:footnote w:id="1">
    <w:p w14:paraId="4F164DAD" w14:textId="6CCE29D1" w:rsidR="00420B1B" w:rsidRPr="00060452" w:rsidRDefault="00420B1B" w:rsidP="00060452">
      <w:pPr>
        <w:pStyle w:val="Tekstprzypisudolnego"/>
        <w:jc w:val="left"/>
        <w:rPr>
          <w:rFonts w:ascii="Intrum Sans" w:hAnsi="Intrum Sans"/>
          <w:sz w:val="16"/>
          <w:szCs w:val="16"/>
        </w:rPr>
      </w:pPr>
      <w:r w:rsidRPr="00060452">
        <w:rPr>
          <w:rStyle w:val="Odwoanieprzypisudolnego"/>
          <w:rFonts w:ascii="Intrum Sans" w:hAnsi="Intrum Sans"/>
          <w:sz w:val="16"/>
          <w:szCs w:val="16"/>
        </w:rPr>
        <w:footnoteRef/>
      </w:r>
      <w:r w:rsidR="00060452">
        <w:rPr>
          <w:rFonts w:ascii="Intrum Sans" w:hAnsi="Intrum Sans"/>
          <w:sz w:val="16"/>
          <w:szCs w:val="16"/>
        </w:rPr>
        <w:t xml:space="preserve"> </w:t>
      </w:r>
      <w:r w:rsidR="00B96650" w:rsidRPr="00060452">
        <w:rPr>
          <w:rFonts w:ascii="Intrum Sans" w:hAnsi="Intrum Sans"/>
          <w:sz w:val="16"/>
          <w:szCs w:val="16"/>
        </w:rPr>
        <w:t xml:space="preserve">Globalne prognozy gospodarcze </w:t>
      </w:r>
      <w:r w:rsidR="007B113B" w:rsidRPr="00060452">
        <w:rPr>
          <w:rFonts w:ascii="Intrum Sans" w:hAnsi="Intrum Sans"/>
          <w:sz w:val="16"/>
          <w:szCs w:val="16"/>
        </w:rPr>
        <w:t>Międzynarodowego</w:t>
      </w:r>
      <w:r w:rsidR="00B96650" w:rsidRPr="00060452">
        <w:rPr>
          <w:rFonts w:ascii="Intrum Sans" w:hAnsi="Intrum Sans"/>
          <w:sz w:val="16"/>
          <w:szCs w:val="16"/>
        </w:rPr>
        <w:t xml:space="preserve"> Funduszu Walutowego, październik 2025 (https://www.imf.org/en/publications/weo/issues/2025/10/14/world-economic-outlook-october-2025)</w:t>
      </w:r>
      <w:r w:rsidR="00224CB4" w:rsidRPr="00060452">
        <w:rPr>
          <w:rFonts w:ascii="Intrum Sans" w:hAnsi="Intrum Sans"/>
          <w:sz w:val="16"/>
          <w:szCs w:val="16"/>
        </w:rPr>
        <w:t>.</w:t>
      </w:r>
    </w:p>
  </w:footnote>
  <w:footnote w:id="2">
    <w:p w14:paraId="1C9B414E" w14:textId="0283058C" w:rsidR="00C454A4" w:rsidRPr="00060452" w:rsidRDefault="00C454A4">
      <w:pPr>
        <w:pStyle w:val="Tekstprzypisudolnego"/>
        <w:rPr>
          <w:rFonts w:ascii="Intrum Sans" w:hAnsi="Intrum Sans"/>
          <w:sz w:val="16"/>
          <w:szCs w:val="16"/>
          <w:lang w:val="en-US"/>
        </w:rPr>
      </w:pPr>
      <w:r w:rsidRPr="00060452">
        <w:rPr>
          <w:rStyle w:val="Odwoanieprzypisudolnego"/>
          <w:rFonts w:ascii="Intrum Sans" w:hAnsi="Intrum Sans"/>
          <w:sz w:val="16"/>
          <w:szCs w:val="16"/>
        </w:rPr>
        <w:footnoteRef/>
      </w:r>
      <w:r w:rsidRPr="00060452">
        <w:rPr>
          <w:rFonts w:ascii="Intrum Sans" w:hAnsi="Intrum Sans"/>
          <w:sz w:val="16"/>
          <w:szCs w:val="16"/>
          <w:lang w:val="en-US"/>
        </w:rPr>
        <w:t xml:space="preserve"> </w:t>
      </w:r>
      <w:r w:rsidR="00224CB4" w:rsidRPr="00060452">
        <w:rPr>
          <w:rFonts w:ascii="Intrum Sans" w:hAnsi="Intrum Sans"/>
          <w:sz w:val="16"/>
          <w:szCs w:val="16"/>
          <w:lang w:val="en-US"/>
        </w:rPr>
        <w:t>Intrum, European Consumer Payment Report 2025.</w:t>
      </w:r>
    </w:p>
  </w:footnote>
  <w:footnote w:id="3">
    <w:p w14:paraId="6C1F2BB6" w14:textId="0C190A2E" w:rsidR="00224CB4" w:rsidRPr="00060452" w:rsidRDefault="00224CB4">
      <w:pPr>
        <w:pStyle w:val="Tekstprzypisudolnego"/>
        <w:rPr>
          <w:rFonts w:ascii="Intrum Sans" w:hAnsi="Intrum Sans"/>
          <w:sz w:val="16"/>
          <w:szCs w:val="16"/>
          <w:lang w:val="pl-PL"/>
        </w:rPr>
      </w:pPr>
      <w:r w:rsidRPr="00060452">
        <w:rPr>
          <w:rStyle w:val="Odwoanieprzypisudolnego"/>
          <w:rFonts w:ascii="Intrum Sans" w:hAnsi="Intrum Sans"/>
          <w:sz w:val="16"/>
          <w:szCs w:val="16"/>
        </w:rPr>
        <w:footnoteRef/>
      </w:r>
      <w:r w:rsidRPr="00060452">
        <w:rPr>
          <w:rFonts w:ascii="Intrum Sans" w:hAnsi="Intrum Sans"/>
          <w:sz w:val="16"/>
          <w:szCs w:val="16"/>
        </w:rPr>
        <w:t xml:space="preserve"> Tamże. </w:t>
      </w:r>
    </w:p>
  </w:footnote>
  <w:footnote w:id="4">
    <w:p w14:paraId="5B3FA4D7" w14:textId="7D26F168" w:rsidR="00224CB4" w:rsidRPr="00060452" w:rsidRDefault="00224CB4">
      <w:pPr>
        <w:pStyle w:val="Tekstprzypisudolnego"/>
        <w:rPr>
          <w:rFonts w:ascii="Intrum Sans" w:hAnsi="Intrum Sans"/>
          <w:sz w:val="16"/>
          <w:szCs w:val="16"/>
          <w:lang w:val="pl-PL"/>
        </w:rPr>
      </w:pPr>
      <w:r w:rsidRPr="00060452">
        <w:rPr>
          <w:rStyle w:val="Odwoanieprzypisudolnego"/>
          <w:rFonts w:ascii="Intrum Sans" w:hAnsi="Intrum Sans"/>
          <w:sz w:val="16"/>
          <w:szCs w:val="16"/>
        </w:rPr>
        <w:footnoteRef/>
      </w:r>
      <w:r w:rsidRPr="00060452">
        <w:rPr>
          <w:rFonts w:ascii="Intrum Sans" w:hAnsi="Intrum Sans"/>
          <w:sz w:val="16"/>
          <w:szCs w:val="16"/>
        </w:rPr>
        <w:t xml:space="preserve"> Tamże.</w:t>
      </w:r>
    </w:p>
  </w:footnote>
  <w:footnote w:id="5">
    <w:p w14:paraId="699C9B21" w14:textId="01D525B7" w:rsidR="00224CB4" w:rsidRPr="00060452" w:rsidRDefault="00224CB4">
      <w:pPr>
        <w:pStyle w:val="Tekstprzypisudolnego"/>
        <w:rPr>
          <w:rFonts w:ascii="Intrum Sans" w:hAnsi="Intrum Sans"/>
          <w:sz w:val="16"/>
          <w:szCs w:val="16"/>
          <w:lang w:val="pl-PL"/>
        </w:rPr>
      </w:pPr>
      <w:r w:rsidRPr="00060452">
        <w:rPr>
          <w:rStyle w:val="Odwoanieprzypisudolnego"/>
          <w:rFonts w:ascii="Intrum Sans" w:hAnsi="Intrum Sans"/>
          <w:sz w:val="16"/>
          <w:szCs w:val="16"/>
        </w:rPr>
        <w:footnoteRef/>
      </w:r>
      <w:r w:rsidRPr="00060452">
        <w:rPr>
          <w:rFonts w:ascii="Intrum Sans" w:hAnsi="Intrum Sans"/>
          <w:sz w:val="16"/>
          <w:szCs w:val="16"/>
        </w:rPr>
        <w:t xml:space="preserve"> Tamże.</w:t>
      </w:r>
    </w:p>
  </w:footnote>
  <w:footnote w:id="6">
    <w:p w14:paraId="4540C069" w14:textId="1298FC68" w:rsidR="00224CB4" w:rsidRPr="00060452" w:rsidRDefault="00224CB4">
      <w:pPr>
        <w:pStyle w:val="Tekstprzypisudolnego"/>
        <w:rPr>
          <w:rFonts w:ascii="Intrum Sans" w:hAnsi="Intrum Sans"/>
          <w:sz w:val="16"/>
          <w:szCs w:val="16"/>
          <w:lang w:val="pl-PL"/>
        </w:rPr>
      </w:pPr>
      <w:r w:rsidRPr="00060452">
        <w:rPr>
          <w:rStyle w:val="Odwoanieprzypisudolnego"/>
          <w:rFonts w:ascii="Intrum Sans" w:hAnsi="Intrum Sans"/>
          <w:sz w:val="16"/>
          <w:szCs w:val="16"/>
        </w:rPr>
        <w:footnoteRef/>
      </w:r>
      <w:r w:rsidRPr="00060452">
        <w:rPr>
          <w:rFonts w:ascii="Intrum Sans" w:hAnsi="Intrum Sans"/>
          <w:sz w:val="16"/>
          <w:szCs w:val="16"/>
        </w:rPr>
        <w:t xml:space="preserve"> Tamże.</w:t>
      </w:r>
    </w:p>
  </w:footnote>
  <w:footnote w:id="7">
    <w:p w14:paraId="0E79EECC" w14:textId="73C6F397" w:rsidR="00224CB4" w:rsidRPr="00060452" w:rsidRDefault="00224CB4">
      <w:pPr>
        <w:pStyle w:val="Tekstprzypisudolnego"/>
        <w:rPr>
          <w:rFonts w:ascii="Intrum Sans" w:hAnsi="Intrum Sans"/>
          <w:sz w:val="16"/>
          <w:szCs w:val="16"/>
          <w:lang w:val="pl-PL"/>
        </w:rPr>
      </w:pPr>
      <w:r w:rsidRPr="00060452">
        <w:rPr>
          <w:rStyle w:val="Odwoanieprzypisudolnego"/>
          <w:rFonts w:ascii="Intrum Sans" w:hAnsi="Intrum Sans"/>
          <w:sz w:val="16"/>
          <w:szCs w:val="16"/>
        </w:rPr>
        <w:footnoteRef/>
      </w:r>
      <w:r w:rsidRPr="00060452">
        <w:rPr>
          <w:rFonts w:ascii="Intrum Sans" w:hAnsi="Intrum Sans"/>
          <w:sz w:val="16"/>
          <w:szCs w:val="16"/>
        </w:rPr>
        <w:t xml:space="preserve"> Tamże.</w:t>
      </w:r>
    </w:p>
  </w:footnote>
  <w:footnote w:id="8">
    <w:p w14:paraId="557FEF39" w14:textId="3194D1E1" w:rsidR="00224CB4" w:rsidRPr="0067189D" w:rsidRDefault="00224CB4">
      <w:pPr>
        <w:pStyle w:val="Tekstprzypisudolnego"/>
        <w:rPr>
          <w:lang w:val="en-US"/>
        </w:rPr>
      </w:pPr>
      <w:r w:rsidRPr="00060452">
        <w:rPr>
          <w:rStyle w:val="Odwoanieprzypisudolnego"/>
          <w:rFonts w:ascii="Intrum Sans" w:hAnsi="Intrum Sans"/>
          <w:sz w:val="16"/>
          <w:szCs w:val="16"/>
        </w:rPr>
        <w:footnoteRef/>
      </w:r>
      <w:r w:rsidRPr="0067189D">
        <w:rPr>
          <w:rFonts w:ascii="Intrum Sans" w:hAnsi="Intrum Sans"/>
          <w:sz w:val="16"/>
          <w:szCs w:val="16"/>
          <w:lang w:val="en-US"/>
        </w:rPr>
        <w:t xml:space="preserve"> Tamże.</w:t>
      </w:r>
    </w:p>
  </w:footnote>
  <w:footnote w:id="9">
    <w:p w14:paraId="3ABB60B2" w14:textId="76A09D95" w:rsidR="00224CB4" w:rsidRPr="00060452" w:rsidRDefault="00224CB4">
      <w:pPr>
        <w:pStyle w:val="Tekstprzypisudolnego"/>
        <w:rPr>
          <w:rFonts w:ascii="Intrum Sans" w:hAnsi="Intrum Sans"/>
          <w:sz w:val="16"/>
          <w:szCs w:val="16"/>
          <w:lang w:val="en-US"/>
        </w:rPr>
      </w:pPr>
      <w:r w:rsidRPr="00060452">
        <w:rPr>
          <w:rStyle w:val="Odwoanieprzypisudolnego"/>
          <w:rFonts w:ascii="Intrum Sans" w:hAnsi="Intrum Sans"/>
          <w:sz w:val="16"/>
          <w:szCs w:val="16"/>
        </w:rPr>
        <w:footnoteRef/>
      </w:r>
      <w:r w:rsidRPr="00060452">
        <w:rPr>
          <w:rFonts w:ascii="Intrum Sans" w:hAnsi="Intrum Sans"/>
          <w:sz w:val="16"/>
          <w:szCs w:val="16"/>
          <w:lang w:val="en-US"/>
        </w:rPr>
        <w:t xml:space="preserve"> Tamże.</w:t>
      </w:r>
    </w:p>
  </w:footnote>
  <w:footnote w:id="10">
    <w:p w14:paraId="04F3E505" w14:textId="5D427D0D" w:rsidR="00224CB4" w:rsidRPr="00060452" w:rsidRDefault="00224CB4">
      <w:pPr>
        <w:pStyle w:val="Tekstprzypisudolnego"/>
        <w:rPr>
          <w:rFonts w:ascii="Intrum Sans" w:hAnsi="Intrum Sans"/>
          <w:sz w:val="16"/>
          <w:szCs w:val="16"/>
          <w:lang w:val="en-US"/>
        </w:rPr>
      </w:pPr>
      <w:r w:rsidRPr="00060452">
        <w:rPr>
          <w:rStyle w:val="Odwoanieprzypisudolnego"/>
          <w:rFonts w:ascii="Intrum Sans" w:hAnsi="Intrum Sans"/>
          <w:sz w:val="16"/>
          <w:szCs w:val="16"/>
        </w:rPr>
        <w:footnoteRef/>
      </w:r>
      <w:r w:rsidRPr="00060452">
        <w:rPr>
          <w:rFonts w:ascii="Intrum Sans" w:hAnsi="Intrum Sans"/>
          <w:sz w:val="16"/>
          <w:szCs w:val="16"/>
          <w:lang w:val="en-US"/>
        </w:rPr>
        <w:t xml:space="preserve"> Tamże.</w:t>
      </w:r>
    </w:p>
  </w:footnote>
  <w:footnote w:id="11">
    <w:p w14:paraId="3140D3FB" w14:textId="49EBA472" w:rsidR="0029340C" w:rsidRPr="00060452" w:rsidRDefault="0029340C">
      <w:pPr>
        <w:pStyle w:val="Tekstprzypisudolnego"/>
        <w:rPr>
          <w:rFonts w:ascii="Intrum Sans" w:hAnsi="Intrum Sans"/>
          <w:sz w:val="16"/>
          <w:szCs w:val="16"/>
          <w:lang w:val="en-US"/>
        </w:rPr>
      </w:pPr>
      <w:r w:rsidRPr="00060452">
        <w:rPr>
          <w:rStyle w:val="Odwoanieprzypisudolnego"/>
          <w:rFonts w:ascii="Intrum Sans" w:hAnsi="Intrum Sans"/>
          <w:sz w:val="16"/>
          <w:szCs w:val="16"/>
        </w:rPr>
        <w:footnoteRef/>
      </w:r>
      <w:r w:rsidRPr="00060452">
        <w:rPr>
          <w:rFonts w:ascii="Intrum Sans" w:hAnsi="Intrum Sans"/>
          <w:sz w:val="16"/>
          <w:szCs w:val="16"/>
          <w:lang w:val="en-US"/>
        </w:rPr>
        <w:t xml:space="preserve"> </w:t>
      </w:r>
      <w:r w:rsidR="00060452" w:rsidRPr="00060452">
        <w:rPr>
          <w:rFonts w:ascii="Intrum Sans" w:hAnsi="Intrum Sans"/>
          <w:sz w:val="16"/>
          <w:szCs w:val="16"/>
          <w:lang w:val="en-US"/>
        </w:rPr>
        <w:t>Tamże.</w:t>
      </w:r>
    </w:p>
  </w:footnote>
  <w:footnote w:id="12">
    <w:p w14:paraId="298C9D40" w14:textId="49D945B5" w:rsidR="00060452" w:rsidRPr="00060452" w:rsidRDefault="00060452">
      <w:pPr>
        <w:pStyle w:val="Tekstprzypisudolnego"/>
        <w:rPr>
          <w:rFonts w:ascii="Intrum Sans" w:hAnsi="Intrum Sans"/>
          <w:sz w:val="16"/>
          <w:szCs w:val="16"/>
          <w:lang w:val="en-US"/>
        </w:rPr>
      </w:pPr>
      <w:r w:rsidRPr="00060452">
        <w:rPr>
          <w:rStyle w:val="Odwoanieprzypisudolnego"/>
          <w:rFonts w:ascii="Intrum Sans" w:hAnsi="Intrum Sans"/>
          <w:sz w:val="16"/>
          <w:szCs w:val="16"/>
        </w:rPr>
        <w:footnoteRef/>
      </w:r>
      <w:r w:rsidRPr="00060452">
        <w:rPr>
          <w:rFonts w:ascii="Intrum Sans" w:hAnsi="Intrum Sans"/>
          <w:sz w:val="16"/>
          <w:szCs w:val="16"/>
          <w:lang w:val="en-US"/>
        </w:rPr>
        <w:t xml:space="preserve"> Eurostat, Labour Force Survey 2024</w:t>
      </w:r>
    </w:p>
  </w:footnote>
  <w:footnote w:id="13">
    <w:p w14:paraId="2642B0B7" w14:textId="0EC8E03F" w:rsidR="00224CB4" w:rsidRPr="00060452" w:rsidRDefault="00224CB4">
      <w:pPr>
        <w:pStyle w:val="Tekstprzypisudolnego"/>
        <w:rPr>
          <w:lang w:val="en-US"/>
        </w:rPr>
      </w:pPr>
      <w:r w:rsidRPr="00060452">
        <w:rPr>
          <w:rStyle w:val="Odwoanieprzypisudolnego"/>
          <w:rFonts w:ascii="Intrum Sans" w:hAnsi="Intrum Sans"/>
          <w:sz w:val="16"/>
          <w:szCs w:val="16"/>
        </w:rPr>
        <w:footnoteRef/>
      </w:r>
      <w:r w:rsidRPr="00060452">
        <w:rPr>
          <w:rFonts w:ascii="Intrum Sans" w:hAnsi="Intrum Sans"/>
          <w:sz w:val="16"/>
          <w:szCs w:val="16"/>
          <w:lang w:val="en-US"/>
        </w:rPr>
        <w:t xml:space="preserve"> </w:t>
      </w:r>
      <w:r w:rsidR="00060452" w:rsidRPr="00060452">
        <w:rPr>
          <w:rFonts w:ascii="Intrum Sans" w:hAnsi="Intrum Sans"/>
          <w:sz w:val="16"/>
          <w:szCs w:val="16"/>
          <w:lang w:val="en-US"/>
        </w:rPr>
        <w:t>Intrum, European Consumer Payment Report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DBB9" w14:textId="77777777" w:rsidR="0067189D" w:rsidRDefault="0067189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CF7C6" w14:textId="1D4ADBB8" w:rsidR="004D23DD" w:rsidRDefault="004D23DD">
    <w:pPr>
      <w:pStyle w:val="Nagwek"/>
    </w:pPr>
    <w:r>
      <w:rPr>
        <w:noProof/>
      </w:rPr>
      <w:drawing>
        <wp:inline distT="0" distB="0" distL="0" distR="0" wp14:anchorId="106CE077" wp14:editId="0929A27A">
          <wp:extent cx="804545" cy="182880"/>
          <wp:effectExtent l="0" t="0" r="0" b="7620"/>
          <wp:docPr id="1330523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18288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77362" w14:textId="77777777" w:rsidR="0067189D" w:rsidRDefault="0067189D">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FEA"/>
    <w:rsid w:val="00013B8D"/>
    <w:rsid w:val="00060452"/>
    <w:rsid w:val="00063B5E"/>
    <w:rsid w:val="00067D49"/>
    <w:rsid w:val="000A42F4"/>
    <w:rsid w:val="000A6397"/>
    <w:rsid w:val="00114CEC"/>
    <w:rsid w:val="001207B0"/>
    <w:rsid w:val="00162555"/>
    <w:rsid w:val="00170133"/>
    <w:rsid w:val="00200419"/>
    <w:rsid w:val="00224CB4"/>
    <w:rsid w:val="00263DC6"/>
    <w:rsid w:val="002776C6"/>
    <w:rsid w:val="002924D0"/>
    <w:rsid w:val="0029340C"/>
    <w:rsid w:val="002C0763"/>
    <w:rsid w:val="002C0B98"/>
    <w:rsid w:val="003606E3"/>
    <w:rsid w:val="003A19B0"/>
    <w:rsid w:val="003A5FA9"/>
    <w:rsid w:val="003C354B"/>
    <w:rsid w:val="003C5368"/>
    <w:rsid w:val="003D028C"/>
    <w:rsid w:val="003F44EB"/>
    <w:rsid w:val="003F6568"/>
    <w:rsid w:val="00420B1B"/>
    <w:rsid w:val="00477C08"/>
    <w:rsid w:val="004A2248"/>
    <w:rsid w:val="004A47F4"/>
    <w:rsid w:val="004D23DD"/>
    <w:rsid w:val="00511213"/>
    <w:rsid w:val="0056511E"/>
    <w:rsid w:val="005706CC"/>
    <w:rsid w:val="005A11D9"/>
    <w:rsid w:val="005A46DE"/>
    <w:rsid w:val="005C3CD8"/>
    <w:rsid w:val="005C6FCB"/>
    <w:rsid w:val="005D117C"/>
    <w:rsid w:val="006515FC"/>
    <w:rsid w:val="0067189D"/>
    <w:rsid w:val="006916E2"/>
    <w:rsid w:val="006B5BD5"/>
    <w:rsid w:val="006E3AE4"/>
    <w:rsid w:val="006F626A"/>
    <w:rsid w:val="007003F8"/>
    <w:rsid w:val="00721004"/>
    <w:rsid w:val="007B113B"/>
    <w:rsid w:val="007C1927"/>
    <w:rsid w:val="007C702B"/>
    <w:rsid w:val="007F7E6F"/>
    <w:rsid w:val="0082516F"/>
    <w:rsid w:val="008559AD"/>
    <w:rsid w:val="0087074B"/>
    <w:rsid w:val="008B059F"/>
    <w:rsid w:val="008C642B"/>
    <w:rsid w:val="008F46CD"/>
    <w:rsid w:val="009315A1"/>
    <w:rsid w:val="00940DB7"/>
    <w:rsid w:val="0094116F"/>
    <w:rsid w:val="00944719"/>
    <w:rsid w:val="00957FEA"/>
    <w:rsid w:val="009626BE"/>
    <w:rsid w:val="0097252D"/>
    <w:rsid w:val="00973F7E"/>
    <w:rsid w:val="009A439A"/>
    <w:rsid w:val="009F4703"/>
    <w:rsid w:val="00A00C07"/>
    <w:rsid w:val="00A25430"/>
    <w:rsid w:val="00A9229A"/>
    <w:rsid w:val="00AA4B4D"/>
    <w:rsid w:val="00AF398D"/>
    <w:rsid w:val="00AF78C9"/>
    <w:rsid w:val="00B13C8A"/>
    <w:rsid w:val="00B43596"/>
    <w:rsid w:val="00B96650"/>
    <w:rsid w:val="00BF15FA"/>
    <w:rsid w:val="00C454A4"/>
    <w:rsid w:val="00CB4B07"/>
    <w:rsid w:val="00CD51B2"/>
    <w:rsid w:val="00CD51C8"/>
    <w:rsid w:val="00D0529C"/>
    <w:rsid w:val="00D633D0"/>
    <w:rsid w:val="00D72C2D"/>
    <w:rsid w:val="00DA55B9"/>
    <w:rsid w:val="00E20786"/>
    <w:rsid w:val="00E33316"/>
    <w:rsid w:val="00E83838"/>
    <w:rsid w:val="00E85730"/>
    <w:rsid w:val="00F40946"/>
    <w:rsid w:val="00F92DB5"/>
    <w:rsid w:val="00FA58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AB549"/>
  <w15:docId w15:val="{BA4E01ED-B6D3-4F10-9CB4-2AAC1E2F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11D9"/>
  </w:style>
  <w:style w:type="paragraph" w:styleId="Nagwek1">
    <w:name w:val="heading 1"/>
    <w:basedOn w:val="Normalny"/>
    <w:next w:val="Normalny"/>
    <w:uiPriority w:val="9"/>
    <w:qFormat/>
    <w:pPr>
      <w:keepNext/>
      <w:keepLines/>
      <w:spacing w:line="360" w:lineRule="auto"/>
      <w:outlineLvl w:val="0"/>
    </w:pPr>
    <w:rPr>
      <w:b/>
      <w:bCs/>
      <w:sz w:val="40"/>
      <w:szCs w:val="40"/>
    </w:rPr>
  </w:style>
  <w:style w:type="paragraph" w:styleId="Nagwek2">
    <w:name w:val="heading 2"/>
    <w:basedOn w:val="Normalny"/>
    <w:next w:val="Normalny"/>
    <w:uiPriority w:val="9"/>
    <w:unhideWhenUsed/>
    <w:qFormat/>
    <w:pPr>
      <w:keepNext/>
      <w:keepLines/>
      <w:outlineLvl w:val="1"/>
    </w:pPr>
    <w:rPr>
      <w:b/>
      <w:bCs/>
      <w:sz w:val="26"/>
      <w:szCs w:val="26"/>
    </w:rPr>
  </w:style>
  <w:style w:type="paragraph" w:styleId="Nagwek3">
    <w:name w:val="heading 3"/>
    <w:basedOn w:val="Normalny"/>
    <w:next w:val="Normalny"/>
    <w:uiPriority w:val="9"/>
    <w:semiHidden/>
    <w:unhideWhenUsed/>
    <w:qFormat/>
    <w:pPr>
      <w:keepNext/>
      <w:keepLines/>
      <w:outlineLvl w:val="2"/>
    </w:pPr>
    <w:rPr>
      <w:b/>
      <w:bCs/>
      <w:sz w:val="26"/>
      <w:szCs w:val="26"/>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0" w:after="60"/>
    </w:pPr>
    <w:rPr>
      <w:sz w:val="52"/>
      <w:szCs w:val="52"/>
    </w:rPr>
  </w:style>
  <w:style w:type="paragraph" w:styleId="Podtytu">
    <w:name w:val="Subtitle"/>
    <w:basedOn w:val="Normalny"/>
    <w:next w:val="Normalny"/>
    <w:uiPriority w:val="11"/>
    <w:qFormat/>
    <w:pPr>
      <w:keepNext/>
      <w:keepLines/>
      <w:spacing w:before="0" w:after="320"/>
    </w:pPr>
    <w:rPr>
      <w:color w:val="666666"/>
      <w:sz w:val="30"/>
      <w:szCs w:val="30"/>
    </w:rPr>
  </w:style>
  <w:style w:type="paragraph" w:styleId="Poprawka">
    <w:name w:val="Revision"/>
    <w:hidden/>
    <w:uiPriority w:val="99"/>
    <w:semiHidden/>
    <w:rsid w:val="00200419"/>
    <w:pPr>
      <w:spacing w:before="0" w:after="0" w:line="240" w:lineRule="auto"/>
      <w:jc w:val="left"/>
    </w:pPr>
  </w:style>
  <w:style w:type="character" w:styleId="Odwoaniedokomentarza">
    <w:name w:val="annotation reference"/>
    <w:basedOn w:val="Domylnaczcionkaakapitu"/>
    <w:uiPriority w:val="99"/>
    <w:semiHidden/>
    <w:unhideWhenUsed/>
    <w:rsid w:val="00200419"/>
    <w:rPr>
      <w:sz w:val="16"/>
      <w:szCs w:val="16"/>
    </w:rPr>
  </w:style>
  <w:style w:type="paragraph" w:styleId="Tekstkomentarza">
    <w:name w:val="annotation text"/>
    <w:basedOn w:val="Normalny"/>
    <w:link w:val="TekstkomentarzaZnak"/>
    <w:uiPriority w:val="99"/>
    <w:semiHidden/>
    <w:unhideWhenUsed/>
    <w:rsid w:val="0020041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00419"/>
    <w:rPr>
      <w:sz w:val="20"/>
      <w:szCs w:val="20"/>
    </w:rPr>
  </w:style>
  <w:style w:type="paragraph" w:styleId="Tematkomentarza">
    <w:name w:val="annotation subject"/>
    <w:basedOn w:val="Tekstkomentarza"/>
    <w:next w:val="Tekstkomentarza"/>
    <w:link w:val="TematkomentarzaZnak"/>
    <w:uiPriority w:val="99"/>
    <w:semiHidden/>
    <w:unhideWhenUsed/>
    <w:rsid w:val="00200419"/>
    <w:rPr>
      <w:b/>
      <w:bCs/>
    </w:rPr>
  </w:style>
  <w:style w:type="character" w:customStyle="1" w:styleId="TematkomentarzaZnak">
    <w:name w:val="Temat komentarza Znak"/>
    <w:basedOn w:val="TekstkomentarzaZnak"/>
    <w:link w:val="Tematkomentarza"/>
    <w:uiPriority w:val="99"/>
    <w:semiHidden/>
    <w:rsid w:val="00200419"/>
    <w:rPr>
      <w:b/>
      <w:bCs/>
      <w:sz w:val="20"/>
      <w:szCs w:val="20"/>
    </w:rPr>
  </w:style>
  <w:style w:type="paragraph" w:styleId="Tekstprzypisudolnego">
    <w:name w:val="footnote text"/>
    <w:basedOn w:val="Normalny"/>
    <w:link w:val="TekstprzypisudolnegoZnak"/>
    <w:uiPriority w:val="99"/>
    <w:semiHidden/>
    <w:unhideWhenUsed/>
    <w:rsid w:val="008B059F"/>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B059F"/>
    <w:rPr>
      <w:sz w:val="20"/>
      <w:szCs w:val="20"/>
    </w:rPr>
  </w:style>
  <w:style w:type="character" w:styleId="Odwoanieprzypisudolnego">
    <w:name w:val="footnote reference"/>
    <w:basedOn w:val="Domylnaczcionkaakapitu"/>
    <w:uiPriority w:val="99"/>
    <w:semiHidden/>
    <w:unhideWhenUsed/>
    <w:rsid w:val="008B059F"/>
    <w:rPr>
      <w:vertAlign w:val="superscript"/>
    </w:rPr>
  </w:style>
  <w:style w:type="paragraph" w:styleId="NormalnyWeb">
    <w:name w:val="Normal (Web)"/>
    <w:basedOn w:val="Normalny"/>
    <w:uiPriority w:val="99"/>
    <w:semiHidden/>
    <w:unhideWhenUsed/>
    <w:rsid w:val="008B059F"/>
    <w:rPr>
      <w:rFonts w:ascii="Times New Roman" w:hAnsi="Times New Roman" w:cs="Times New Roman"/>
      <w:sz w:val="24"/>
      <w:szCs w:val="24"/>
    </w:rPr>
  </w:style>
  <w:style w:type="paragraph" w:styleId="Nagwek">
    <w:name w:val="header"/>
    <w:basedOn w:val="Normalny"/>
    <w:link w:val="NagwekZnak"/>
    <w:uiPriority w:val="99"/>
    <w:unhideWhenUsed/>
    <w:rsid w:val="004D23D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4D23DD"/>
  </w:style>
  <w:style w:type="paragraph" w:styleId="Stopka">
    <w:name w:val="footer"/>
    <w:basedOn w:val="Normalny"/>
    <w:link w:val="StopkaZnak"/>
    <w:uiPriority w:val="99"/>
    <w:unhideWhenUsed/>
    <w:rsid w:val="004D23DD"/>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4D23DD"/>
  </w:style>
  <w:style w:type="paragraph" w:styleId="Akapitzlist">
    <w:name w:val="List Paragraph"/>
    <w:basedOn w:val="Normalny"/>
    <w:uiPriority w:val="34"/>
    <w:qFormat/>
    <w:rsid w:val="005A11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DAF7-8BD1-45E0-9814-E042131F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986</Words>
  <Characters>6370</Characters>
  <Application>Microsoft Office Word</Application>
  <DocSecurity>0</DocSecurity>
  <Lines>109</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dc:creator>
  <cp:lastModifiedBy>Aleksandra Morka</cp:lastModifiedBy>
  <cp:revision>2</cp:revision>
  <dcterms:created xsi:type="dcterms:W3CDTF">2026-03-23T11:36:00Z</dcterms:created>
  <dcterms:modified xsi:type="dcterms:W3CDTF">2026-03-31T09:23:00Z</dcterms:modified>
</cp:coreProperties>
</file>