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F6684" w14:textId="77777777" w:rsidR="003148D8" w:rsidRDefault="003148D8" w:rsidP="00521ED0">
      <w:pPr>
        <w:rPr>
          <w:rFonts w:ascii="Hero New" w:eastAsia="NSimSun" w:hAnsi="Hero New" w:cs="Lucida Sans"/>
          <w:b/>
          <w:bCs/>
          <w:kern w:val="2"/>
          <w:sz w:val="20"/>
          <w:szCs w:val="20"/>
          <w:lang w:val="pl-PL" w:eastAsia="zh-CN" w:bidi="hi-IN"/>
        </w:rPr>
      </w:pPr>
    </w:p>
    <w:p w14:paraId="323FDD16" w14:textId="14290628" w:rsidR="006F5A32" w:rsidRPr="006F5A32" w:rsidRDefault="006F5A32" w:rsidP="006F5A32">
      <w:pPr>
        <w:spacing w:after="160"/>
        <w:jc w:val="right"/>
        <w:rPr>
          <w:rFonts w:ascii="Hero New" w:eastAsia="Aptos" w:hAnsi="Hero New" w:cs="Times New Roman"/>
          <w:color w:val="000000"/>
          <w:kern w:val="2"/>
          <w:sz w:val="18"/>
          <w:szCs w:val="18"/>
          <w:lang w:val="pl-PL" w:eastAsia="en-US"/>
          <w14:ligatures w14:val="standardContextual"/>
        </w:rPr>
      </w:pPr>
      <w:r w:rsidRPr="006F5A32">
        <w:rPr>
          <w:rFonts w:ascii="Hero New" w:eastAsia="Aptos" w:hAnsi="Hero New" w:cs="Times New Roman"/>
          <w:color w:val="000000"/>
          <w:kern w:val="2"/>
          <w:sz w:val="18"/>
          <w:szCs w:val="18"/>
          <w:lang w:val="pl-PL" w:eastAsia="en-US"/>
          <w14:ligatures w14:val="standardContextual"/>
        </w:rPr>
        <w:t xml:space="preserve">Materiał prasowy, </w:t>
      </w:r>
      <w:r>
        <w:rPr>
          <w:rFonts w:ascii="Hero New" w:eastAsia="Aptos" w:hAnsi="Hero New" w:cs="Times New Roman"/>
          <w:color w:val="000000"/>
          <w:kern w:val="2"/>
          <w:sz w:val="18"/>
          <w:szCs w:val="18"/>
          <w:lang w:val="pl-PL" w:eastAsia="en-US"/>
          <w14:ligatures w14:val="standardContextual"/>
        </w:rPr>
        <w:t>01</w:t>
      </w:r>
      <w:r w:rsidRPr="006F5A32">
        <w:rPr>
          <w:rFonts w:ascii="Hero New" w:eastAsia="Aptos" w:hAnsi="Hero New" w:cs="Times New Roman"/>
          <w:color w:val="000000"/>
          <w:kern w:val="2"/>
          <w:sz w:val="18"/>
          <w:szCs w:val="18"/>
          <w:lang w:val="pl-PL" w:eastAsia="en-US"/>
          <w14:ligatures w14:val="standardContextual"/>
        </w:rPr>
        <w:t>.</w:t>
      </w:r>
      <w:r>
        <w:rPr>
          <w:rFonts w:ascii="Hero New" w:eastAsia="Aptos" w:hAnsi="Hero New" w:cs="Times New Roman"/>
          <w:color w:val="000000"/>
          <w:kern w:val="2"/>
          <w:sz w:val="18"/>
          <w:szCs w:val="18"/>
          <w:lang w:val="pl-PL" w:eastAsia="en-US"/>
          <w14:ligatures w14:val="standardContextual"/>
        </w:rPr>
        <w:t>04.</w:t>
      </w:r>
      <w:r w:rsidRPr="006F5A32">
        <w:rPr>
          <w:rFonts w:ascii="Hero New" w:eastAsia="Aptos" w:hAnsi="Hero New" w:cs="Times New Roman"/>
          <w:color w:val="000000"/>
          <w:kern w:val="2"/>
          <w:sz w:val="18"/>
          <w:szCs w:val="18"/>
          <w:lang w:val="pl-PL" w:eastAsia="en-US"/>
          <w14:ligatures w14:val="standardContextual"/>
        </w:rPr>
        <w:t>202</w:t>
      </w:r>
      <w:r>
        <w:rPr>
          <w:rFonts w:ascii="Hero New" w:eastAsia="Aptos" w:hAnsi="Hero New" w:cs="Times New Roman"/>
          <w:color w:val="000000"/>
          <w:kern w:val="2"/>
          <w:sz w:val="18"/>
          <w:szCs w:val="18"/>
          <w:lang w:val="pl-PL" w:eastAsia="en-US"/>
          <w14:ligatures w14:val="standardContextual"/>
        </w:rPr>
        <w:t>6</w:t>
      </w:r>
      <w:r w:rsidRPr="006F5A32">
        <w:rPr>
          <w:rFonts w:ascii="Hero New" w:eastAsia="Aptos" w:hAnsi="Hero New" w:cs="Times New Roman"/>
          <w:color w:val="000000"/>
          <w:kern w:val="2"/>
          <w:sz w:val="18"/>
          <w:szCs w:val="18"/>
          <w:lang w:val="pl-PL" w:eastAsia="en-US"/>
          <w14:ligatures w14:val="standardContextual"/>
        </w:rPr>
        <w:t xml:space="preserve"> r.</w:t>
      </w:r>
    </w:p>
    <w:p w14:paraId="54F7DBAF" w14:textId="77777777" w:rsidR="003148D8" w:rsidRDefault="003148D8" w:rsidP="00521ED0">
      <w:pPr>
        <w:rPr>
          <w:rFonts w:ascii="Hero New" w:eastAsia="NSimSun" w:hAnsi="Hero New" w:cs="Lucida Sans"/>
          <w:b/>
          <w:bCs/>
          <w:kern w:val="2"/>
          <w:sz w:val="20"/>
          <w:szCs w:val="20"/>
          <w:lang w:val="pl-PL" w:eastAsia="zh-CN" w:bidi="hi-IN"/>
        </w:rPr>
      </w:pPr>
    </w:p>
    <w:p w14:paraId="2CC70853" w14:textId="24CC8430" w:rsidR="00D51B9E" w:rsidRPr="003148D8" w:rsidRDefault="00D51B9E" w:rsidP="00521ED0">
      <w:pPr>
        <w:rPr>
          <w:rFonts w:ascii="Hero New" w:eastAsia="NSimSun" w:hAnsi="Hero New" w:cs="Lucida Sans"/>
          <w:b/>
          <w:bCs/>
          <w:kern w:val="2"/>
          <w:sz w:val="20"/>
          <w:szCs w:val="20"/>
          <w:lang w:val="pl-PL" w:eastAsia="zh-CN" w:bidi="hi-IN"/>
        </w:rPr>
      </w:pPr>
      <w:r w:rsidRPr="003148D8">
        <w:rPr>
          <w:rFonts w:ascii="Hero New" w:eastAsia="NSimSun" w:hAnsi="Hero New" w:cs="Lucida Sans"/>
          <w:b/>
          <w:bCs/>
          <w:kern w:val="2"/>
          <w:sz w:val="20"/>
          <w:szCs w:val="20"/>
          <w:lang w:val="pl-PL" w:eastAsia="zh-CN" w:bidi="hi-IN"/>
        </w:rPr>
        <w:t>Związek bez ślubu to już norma. Problem zaczyna się przy pieniądzach</w:t>
      </w:r>
    </w:p>
    <w:p w14:paraId="45A7CBF9" w14:textId="77777777" w:rsidR="00D51B9E" w:rsidRPr="00D51B9E" w:rsidRDefault="00D51B9E" w:rsidP="00521ED0">
      <w:pPr>
        <w:rPr>
          <w:sz w:val="32"/>
          <w:szCs w:val="32"/>
        </w:rPr>
      </w:pPr>
    </w:p>
    <w:p w14:paraId="531C823E" w14:textId="62729D0B" w:rsidR="00521ED0" w:rsidRPr="003148D8" w:rsidRDefault="00ED7854" w:rsidP="003148D8">
      <w:pPr>
        <w:spacing w:after="160" w:line="278" w:lineRule="auto"/>
        <w:rPr>
          <w:rFonts w:ascii="Hero New" w:eastAsia="NSimSun" w:hAnsi="Hero New" w:cs="Lucida Sans"/>
          <w:b/>
          <w:bCs/>
          <w:kern w:val="2"/>
          <w:sz w:val="18"/>
          <w:szCs w:val="18"/>
          <w:lang w:val="pl-PL" w:eastAsia="zh-CN" w:bidi="hi-IN"/>
        </w:rPr>
      </w:pPr>
      <w:r w:rsidRPr="003148D8">
        <w:rPr>
          <w:rFonts w:ascii="Hero New" w:eastAsia="NSimSun" w:hAnsi="Hero New" w:cs="Lucida Sans"/>
          <w:b/>
          <w:bCs/>
          <w:kern w:val="2"/>
          <w:sz w:val="18"/>
          <w:szCs w:val="18"/>
          <w:lang w:val="pl-PL" w:eastAsia="zh-CN" w:bidi="hi-IN"/>
        </w:rPr>
        <w:t>Dane ze spisu powszechnego pokazują wyraźną zmianę skali – w 2021 r. bez ślubu żyło ponad 550 tys. par, podczas gdy dekadę wcześniej było ich nieco ponad 315 tys. – to wzrost o prawie 75%</w:t>
      </w:r>
      <w:r w:rsidRPr="003148D8">
        <w:rPr>
          <w:rFonts w:ascii="Hero New" w:eastAsia="NSimSun" w:hAnsi="Hero New" w:cs="Lucida Sans"/>
          <w:kern w:val="2"/>
          <w:sz w:val="18"/>
          <w:szCs w:val="18"/>
          <w:lang w:val="pl-PL" w:eastAsia="zh-CN" w:bidi="hi-IN"/>
        </w:rPr>
        <w:footnoteReference w:id="1"/>
      </w:r>
      <w:r w:rsidRPr="003148D8">
        <w:rPr>
          <w:rFonts w:ascii="Hero New" w:eastAsia="NSimSun" w:hAnsi="Hero New" w:cs="Lucida Sans"/>
          <w:b/>
          <w:bCs/>
          <w:kern w:val="2"/>
          <w:sz w:val="18"/>
          <w:szCs w:val="18"/>
          <w:lang w:val="pl-PL" w:eastAsia="zh-CN" w:bidi="hi-IN"/>
        </w:rPr>
        <w:t>.  Związek nieformalny przestaje być etapem przejściowym, a coraz częściej staje się docelowym modelem życia – wybieranym świadomie, m.in. ze względu na większą kontrolę nad własnymi finansami</w:t>
      </w:r>
      <w:r w:rsidRPr="003148D8">
        <w:rPr>
          <w:rFonts w:ascii="Hero New" w:eastAsia="NSimSun" w:hAnsi="Hero New" w:cs="Lucida Sans"/>
          <w:kern w:val="2"/>
          <w:sz w:val="18"/>
          <w:szCs w:val="18"/>
          <w:lang w:val="pl-PL" w:eastAsia="zh-CN" w:bidi="hi-IN"/>
        </w:rPr>
        <w:footnoteReference w:id="2"/>
      </w:r>
      <w:r w:rsidRPr="003148D8">
        <w:rPr>
          <w:rFonts w:ascii="Hero New" w:eastAsia="NSimSun" w:hAnsi="Hero New" w:cs="Lucida Sans"/>
          <w:b/>
          <w:bCs/>
          <w:kern w:val="2"/>
          <w:sz w:val="18"/>
          <w:szCs w:val="18"/>
          <w:lang w:val="pl-PL" w:eastAsia="zh-CN" w:bidi="hi-IN"/>
        </w:rPr>
        <w:t xml:space="preserve">. Trend ten widać także w bieżących danych. </w:t>
      </w:r>
      <w:r w:rsidR="003326F3" w:rsidRPr="003148D8">
        <w:rPr>
          <w:rFonts w:ascii="Hero New" w:eastAsia="NSimSun" w:hAnsi="Hero New" w:cs="Lucida Sans"/>
          <w:b/>
          <w:bCs/>
          <w:kern w:val="2"/>
          <w:sz w:val="18"/>
          <w:szCs w:val="18"/>
          <w:lang w:val="pl-PL" w:eastAsia="zh-CN" w:bidi="hi-IN"/>
        </w:rPr>
        <w:t xml:space="preserve">Według </w:t>
      </w:r>
      <w:r w:rsidR="00E77442" w:rsidRPr="003148D8">
        <w:rPr>
          <w:rFonts w:ascii="Hero New" w:eastAsia="NSimSun" w:hAnsi="Hero New" w:cs="Lucida Sans"/>
          <w:b/>
          <w:bCs/>
          <w:kern w:val="2"/>
          <w:sz w:val="18"/>
          <w:szCs w:val="18"/>
          <w:lang w:val="pl-PL" w:eastAsia="zh-CN" w:bidi="hi-IN"/>
        </w:rPr>
        <w:t xml:space="preserve">Głównego Urzędu </w:t>
      </w:r>
      <w:r w:rsidR="004711FD" w:rsidRPr="003148D8">
        <w:rPr>
          <w:rFonts w:ascii="Hero New" w:eastAsia="NSimSun" w:hAnsi="Hero New" w:cs="Lucida Sans"/>
          <w:b/>
          <w:bCs/>
          <w:kern w:val="2"/>
          <w:sz w:val="18"/>
          <w:szCs w:val="18"/>
          <w:lang w:val="pl-PL" w:eastAsia="zh-CN" w:bidi="hi-IN"/>
        </w:rPr>
        <w:t>Statystycznego</w:t>
      </w:r>
      <w:r w:rsidR="003326F3" w:rsidRPr="003148D8">
        <w:rPr>
          <w:rFonts w:ascii="Hero New" w:eastAsia="NSimSun" w:hAnsi="Hero New" w:cs="Lucida Sans"/>
          <w:b/>
          <w:bCs/>
          <w:kern w:val="2"/>
          <w:sz w:val="18"/>
          <w:szCs w:val="18"/>
          <w:lang w:val="pl-PL" w:eastAsia="zh-CN" w:bidi="hi-IN"/>
        </w:rPr>
        <w:t xml:space="preserve"> w 2025 roku zawarto 109 tys. związków</w:t>
      </w:r>
      <w:r w:rsidR="00626FA1" w:rsidRPr="003148D8">
        <w:rPr>
          <w:rFonts w:ascii="Hero New" w:eastAsia="NSimSun" w:hAnsi="Hero New" w:cs="Lucida Sans"/>
          <w:b/>
          <w:bCs/>
          <w:kern w:val="2"/>
          <w:sz w:val="18"/>
          <w:szCs w:val="18"/>
          <w:lang w:val="pl-PL" w:eastAsia="zh-CN" w:bidi="hi-IN"/>
        </w:rPr>
        <w:t xml:space="preserve"> małżeńskich</w:t>
      </w:r>
      <w:r w:rsidR="003326F3" w:rsidRPr="003148D8">
        <w:rPr>
          <w:rFonts w:ascii="Hero New" w:eastAsia="NSimSun" w:hAnsi="Hero New" w:cs="Lucida Sans"/>
          <w:b/>
          <w:bCs/>
          <w:kern w:val="2"/>
          <w:sz w:val="18"/>
          <w:szCs w:val="18"/>
          <w:lang w:val="pl-PL" w:eastAsia="zh-CN" w:bidi="hi-IN"/>
        </w:rPr>
        <w:t>, czyli o 2000 mniej niż rok wcześniej</w:t>
      </w:r>
      <w:r w:rsidRPr="003148D8">
        <w:rPr>
          <w:rFonts w:ascii="Hero New" w:eastAsia="NSimSun" w:hAnsi="Hero New" w:cs="Lucida Sans"/>
          <w:b/>
          <w:bCs/>
          <w:kern w:val="2"/>
          <w:sz w:val="18"/>
          <w:szCs w:val="18"/>
          <w:lang w:val="pl-PL" w:eastAsia="zh-CN" w:bidi="hi-IN"/>
        </w:rPr>
        <w:t>.</w:t>
      </w:r>
      <w:r w:rsidR="003326F3" w:rsidRPr="003148D8">
        <w:rPr>
          <w:rFonts w:ascii="Hero New" w:eastAsia="NSimSun" w:hAnsi="Hero New" w:cs="Lucida Sans"/>
          <w:kern w:val="2"/>
          <w:sz w:val="18"/>
          <w:szCs w:val="18"/>
          <w:lang w:val="pl-PL" w:eastAsia="zh-CN" w:bidi="hi-IN"/>
        </w:rPr>
        <w:footnoteReference w:id="3"/>
      </w:r>
      <w:r w:rsidR="00FD691A" w:rsidRPr="003148D8">
        <w:rPr>
          <w:rFonts w:ascii="Hero New" w:eastAsia="NSimSun" w:hAnsi="Hero New" w:cs="Lucida Sans"/>
          <w:b/>
          <w:bCs/>
          <w:kern w:val="2"/>
          <w:sz w:val="18"/>
          <w:szCs w:val="18"/>
          <w:lang w:val="pl-PL" w:eastAsia="zh-CN" w:bidi="hi-IN"/>
        </w:rPr>
        <w:t xml:space="preserve"> </w:t>
      </w:r>
      <w:r w:rsidR="00825655" w:rsidRPr="003148D8">
        <w:rPr>
          <w:rFonts w:ascii="Hero New" w:eastAsia="NSimSun" w:hAnsi="Hero New" w:cs="Lucida Sans"/>
          <w:b/>
          <w:bCs/>
          <w:kern w:val="2"/>
          <w:sz w:val="18"/>
          <w:szCs w:val="18"/>
          <w:lang w:val="pl-PL" w:eastAsia="zh-CN" w:bidi="hi-IN"/>
        </w:rPr>
        <w:t>Taka elastyczność ma jednak swoją cenę. W przeciwieństwie do małżeństwa partnerzy nie mają automatycznej ochrony prawnej ani jasno określonych zasad podziału majątku. Oznacza to, że sposób zarządzania pieniędzmi trzeba ustalić samodzielni</w:t>
      </w:r>
      <w:r w:rsidR="00233BC0" w:rsidRPr="003148D8">
        <w:rPr>
          <w:rFonts w:ascii="Hero New" w:eastAsia="NSimSun" w:hAnsi="Hero New" w:cs="Lucida Sans"/>
          <w:b/>
          <w:bCs/>
          <w:kern w:val="2"/>
          <w:sz w:val="18"/>
          <w:szCs w:val="18"/>
          <w:lang w:val="pl-PL" w:eastAsia="zh-CN" w:bidi="hi-IN"/>
        </w:rPr>
        <w:t>e. J</w:t>
      </w:r>
      <w:r w:rsidR="00825655" w:rsidRPr="003148D8">
        <w:rPr>
          <w:rFonts w:ascii="Hero New" w:eastAsia="NSimSun" w:hAnsi="Hero New" w:cs="Lucida Sans"/>
          <w:b/>
          <w:bCs/>
          <w:kern w:val="2"/>
          <w:sz w:val="18"/>
          <w:szCs w:val="18"/>
          <w:lang w:val="pl-PL" w:eastAsia="zh-CN" w:bidi="hi-IN"/>
        </w:rPr>
        <w:t>ak to zrobić</w:t>
      </w:r>
      <w:r w:rsidR="00233BC0" w:rsidRPr="003148D8">
        <w:rPr>
          <w:rFonts w:ascii="Hero New" w:eastAsia="NSimSun" w:hAnsi="Hero New" w:cs="Lucida Sans"/>
          <w:b/>
          <w:bCs/>
          <w:kern w:val="2"/>
          <w:sz w:val="18"/>
          <w:szCs w:val="18"/>
          <w:lang w:val="pl-PL" w:eastAsia="zh-CN" w:bidi="hi-IN"/>
        </w:rPr>
        <w:t xml:space="preserve"> opowiada fundatorka fundacji finmarie, wspierającej kobiety w budowaniu niezależności finansowej.</w:t>
      </w:r>
      <w:r w:rsidR="00825655" w:rsidRPr="003148D8">
        <w:rPr>
          <w:rFonts w:ascii="Hero New" w:eastAsia="NSimSun" w:hAnsi="Hero New" w:cs="Lucida Sans"/>
          <w:b/>
          <w:bCs/>
          <w:kern w:val="2"/>
          <w:sz w:val="18"/>
          <w:szCs w:val="18"/>
          <w:lang w:val="pl-PL" w:eastAsia="zh-CN" w:bidi="hi-IN"/>
        </w:rPr>
        <w:t xml:space="preserve"> </w:t>
      </w:r>
    </w:p>
    <w:p w14:paraId="0AD8CC16" w14:textId="77777777" w:rsidR="007967B7" w:rsidRPr="003148D8" w:rsidRDefault="007967B7" w:rsidP="004033D7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  <w:bookmarkStart w:id="0" w:name="_54i445qwzydd" w:colFirst="0" w:colLast="0"/>
      <w:bookmarkEnd w:id="0"/>
    </w:p>
    <w:p w14:paraId="02730E3A" w14:textId="25F388EE" w:rsidR="004033D7" w:rsidRPr="003148D8" w:rsidRDefault="00317987" w:rsidP="004033D7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Dziś </w:t>
      </w:r>
      <w:r w:rsidR="0068531C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związki nieformalne 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to już ponad </w:t>
      </w:r>
      <w:r w:rsidR="0068531C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5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proc.</w:t>
      </w:r>
      <w:r w:rsidR="005D5DDD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wszystkich rodzin</w:t>
      </w:r>
      <w:r w:rsidR="005D5DDD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footnoteReference w:id="4"/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, a w grupie 18–44 lata niemal co trzeci Polak żyje bez formalizacji relacji</w:t>
      </w:r>
      <w:r w:rsidR="0096441B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footnoteReference w:id="5"/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. </w:t>
      </w:r>
      <w:r w:rsidR="004033D7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Zmiana ta ma charakter strukturalny, a nie tylko obyczajowy. Przez lata małżeństwo było w Polsce domyślną ścieżką. W okresie PRL wzmacniały je zarówno normy społeczne, jak i system instytucjonalny – ślub ułatwiał dostęp do mieszkań czy świadczeń, a model rodziny promowano jako podstawową komórkę społeczną. Dziś jego znaczenie wyraźnie spada. Coraz więcej osób traktuje ślub jako jedną z możliwych decyzji życiowych, a nie </w:t>
      </w:r>
      <w:r w:rsidR="00EE0D65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obowiązkowy punkt w życiu. </w:t>
      </w:r>
    </w:p>
    <w:p w14:paraId="6ABA127B" w14:textId="77777777" w:rsidR="004033D7" w:rsidRPr="003148D8" w:rsidRDefault="004033D7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</w:p>
    <w:p w14:paraId="2D9B36EE" w14:textId="062808D1" w:rsidR="00B20390" w:rsidRPr="003148D8" w:rsidRDefault="00A553A7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Wynika to z wpływów czynników ekonomiczn</w:t>
      </w:r>
      <w:r w:rsidR="45807399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ych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. Młodzi dłużej się edukują i później wchodzą na rynek prac</w:t>
      </w:r>
      <w:r w:rsidR="005D2D02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y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, a dodatkowo ich średnia stopa bezrobocia </w:t>
      </w:r>
      <w:r w:rsidR="00526824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jest wyższa niż ogólnopolska (</w:t>
      </w:r>
      <w:r w:rsidR="00413AD3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11</w:t>
      </w:r>
      <w:r w:rsidR="00526824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proc. a 3,1 proc. w</w:t>
      </w:r>
      <w:r w:rsidR="003E751A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styczniu</w:t>
      </w:r>
      <w:r w:rsidR="00526824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202</w:t>
      </w:r>
      <w:r w:rsidR="003E751A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6</w:t>
      </w:r>
      <w:r w:rsidR="00526824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roku)</w:t>
      </w:r>
      <w:r w:rsidR="00526824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footnoteReference w:id="6"/>
      </w:r>
      <w:r w:rsidR="00526824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.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Częstsze są też </w:t>
      </w:r>
      <w:r w:rsidR="00526824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niestabilne f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ormy zatrudnienia, jak umowy zlecenia, co obniża przewidywalność dochodów</w:t>
      </w:r>
      <w:r w:rsidR="00526824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footnoteReference w:id="7"/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. Jednocześnie </w:t>
      </w:r>
      <w:r w:rsidR="008A4C3A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Polacy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</w:t>
      </w:r>
      <w:r w:rsidR="008A4C3A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wyprowadzają się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z domu rodzinnego</w:t>
      </w:r>
      <w:r w:rsidR="008A4C3A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</w:t>
      </w:r>
      <w:r w:rsidR="000B269E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średnio</w:t>
      </w:r>
      <w:r w:rsidR="008A4C3A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w wieku prawie 27</w:t>
      </w:r>
      <w:r w:rsidR="000B269E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lat, co znaczy, że opóźnia się 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moment zakładania własnego gospodarstwa</w:t>
      </w:r>
      <w:r w:rsidR="00526824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footnoteReference w:id="8"/>
      </w:r>
      <w:r w:rsidR="007459FA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, </w:t>
      </w:r>
      <w:r w:rsidR="000D5F5C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a to </w:t>
      </w:r>
      <w:r w:rsidR="00FD756E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dodatkowo</w:t>
      </w:r>
      <w:r w:rsidR="007459FA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utrudnia jeszcze sytuacja na rynku mieszkaniowym. </w:t>
      </w:r>
      <w:r w:rsidR="00294E3E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Wysokie ceny i ograniczona dostępność kredytów skłaniają do ostrożności w podejmowaniu długoterminowych zobowiązań. W praktyce oznacza to odsuwanie decyzji o stabilizacji – w tym ślubu – o kilka lat. </w:t>
      </w:r>
      <w:r w:rsidR="00C04ADF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Młodzi stawiają na niezależność i kontrolę nad własnymi wydatkami, szczególnie na początku kariery, gdy dochody są niestabilne, a potrzeby partnerów wyraźnie się różnią</w:t>
      </w:r>
      <w:r w:rsidR="00B9100E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i </w:t>
      </w:r>
      <w:r w:rsidR="001A34DD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ograniczają oni planowanie długoterminowe</w:t>
      </w:r>
      <w:r w:rsidR="005C0A26" w:rsidRPr="003148D8">
        <w:rPr>
          <w:rFonts w:ascii="Hero New" w:eastAsia="Times New Roman" w:hAnsi="Hero New" w:cs="Times New Roman"/>
          <w:kern w:val="2"/>
          <w:sz w:val="18"/>
          <w:szCs w:val="18"/>
          <w:lang w:eastAsia="zh-CN" w:bidi="hi-IN"/>
        </w:rPr>
        <w:footnoteReference w:id="9"/>
      </w:r>
      <w:r w:rsidR="00C04ADF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. </w:t>
      </w:r>
      <w:r w:rsidR="00294E3E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Związek nieformalny lepiej wpisuje się w ten etap życia</w:t>
      </w:r>
      <w:r w:rsidR="00C04ADF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.</w:t>
      </w:r>
      <w:r w:rsidR="005C42D2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</w:t>
      </w:r>
    </w:p>
    <w:p w14:paraId="5BFDD8D2" w14:textId="77777777" w:rsidR="00B20390" w:rsidRPr="003148D8" w:rsidRDefault="00B20390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</w:p>
    <w:p w14:paraId="6B504D20" w14:textId="66888CCA" w:rsidR="00D51B9E" w:rsidRPr="003148D8" w:rsidRDefault="00F85017" w:rsidP="00D51B9E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lastRenderedPageBreak/>
        <w:t xml:space="preserve">- </w:t>
      </w:r>
      <w:r w:rsidR="00C04ADF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Co ważne, </w:t>
      </w:r>
      <w:r w:rsidR="005C42D2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>zmieni</w:t>
      </w:r>
      <w:r w:rsidR="00C04ADF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>ła</w:t>
      </w:r>
      <w:r w:rsidR="005C42D2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 się</w:t>
      </w:r>
      <w:r w:rsidR="00C04ADF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 też</w:t>
      </w:r>
      <w:r w:rsidR="005C42D2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 pozycja kobiet. </w:t>
      </w:r>
      <w:r w:rsidR="00691103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Wśród młodych dorosłych to </w:t>
      </w:r>
      <w:r w:rsidR="00FB4B2B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>panie</w:t>
      </w:r>
      <w:r w:rsidR="00691103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 częściej mają wyższe wykształcenie – </w:t>
      </w:r>
      <w:r w:rsidR="002F21FE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>co druga Polka</w:t>
      </w:r>
      <w:r w:rsidR="00691103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 w wieku 25–34 lata posiada dyplom uczelni wyższe</w:t>
      </w:r>
      <w:r w:rsidR="00124546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>j</w:t>
      </w:r>
      <w:r w:rsidR="00FB4B2B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footnoteReference w:id="10"/>
      </w:r>
      <w:r w:rsidR="00691103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>.</w:t>
      </w:r>
      <w:r w:rsidR="00FB4B2B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 </w:t>
      </w:r>
      <w:r w:rsidR="005C42D2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Jednocześnie luka płacowa spadła do ok. 8 proc., </w:t>
      </w:r>
      <w:r w:rsidR="008634F4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>a to wartość niższa niż średnia europejska</w:t>
      </w:r>
      <w:r w:rsidR="008634F4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footnoteReference w:id="11"/>
      </w:r>
      <w:r w:rsidR="005C42D2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. </w:t>
      </w:r>
      <w:r w:rsidR="002F21FE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>Udział kobiet w ogólnej liczbie zatrudnionych wyraźnie wzrósł na przestrzeni lat – z ok. 31 proc. w 1950 roku</w:t>
      </w:r>
      <w:r w:rsidR="002F21FE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footnoteReference w:id="12"/>
      </w:r>
      <w:r w:rsidR="002F21FE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 do prawie 52 proc. w 2025 </w:t>
      </w:r>
      <w:r w:rsidR="00053085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footnoteReference w:id="13"/>
      </w:r>
      <w:r w:rsidR="005C42D2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>. Większa niezależność finansowa i wyższe wykształcenie przekładają się na większą autonomię w decyzjach życiowych. Małżeństwo nie jest już więc koniecznością ekonomiczną</w:t>
      </w:r>
      <w:r w:rsidR="005C42D2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– komentuje </w:t>
      </w:r>
      <w:r w:rsidR="0096441B" w:rsidRPr="003148D8">
        <w:rPr>
          <w:rFonts w:ascii="Hero New" w:eastAsia="Times New Roman" w:hAnsi="Hero New" w:cs="Times New Roman"/>
          <w:b/>
          <w:bCs/>
          <w:kern w:val="2"/>
          <w:sz w:val="18"/>
          <w:szCs w:val="18"/>
          <w:lang w:val="pl-PL" w:eastAsia="zh-CN" w:bidi="hi-IN"/>
        </w:rPr>
        <w:t>Małgorzata Gliwińska</w:t>
      </w:r>
      <w:r w:rsidR="0096441B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, </w:t>
      </w:r>
      <w:r w:rsidR="0064051F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finmarie.</w:t>
      </w:r>
    </w:p>
    <w:p w14:paraId="47A4A6C3" w14:textId="77777777" w:rsidR="00811E5A" w:rsidRPr="003148D8" w:rsidRDefault="00811E5A" w:rsidP="00D51B9E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</w:p>
    <w:p w14:paraId="2EFBBFA5" w14:textId="4854766F" w:rsidR="00C548F6" w:rsidRPr="003148D8" w:rsidRDefault="00000000" w:rsidP="00D51B9E">
      <w:pPr>
        <w:rPr>
          <w:rFonts w:ascii="Hero New" w:eastAsia="Times New Roman" w:hAnsi="Hero New" w:cs="Times New Roman"/>
          <w:b/>
          <w:bCs/>
          <w:kern w:val="2"/>
          <w:sz w:val="18"/>
          <w:szCs w:val="18"/>
          <w:lang w:val="pl-PL" w:eastAsia="zh-CN" w:bidi="hi-IN"/>
        </w:rPr>
      </w:pPr>
      <w:r w:rsidRPr="003148D8">
        <w:rPr>
          <w:rFonts w:ascii="Hero New" w:eastAsia="Times New Roman" w:hAnsi="Hero New" w:cs="Times New Roman"/>
          <w:b/>
          <w:bCs/>
          <w:kern w:val="2"/>
          <w:sz w:val="18"/>
          <w:szCs w:val="18"/>
          <w:lang w:val="pl-PL" w:eastAsia="zh-CN" w:bidi="hi-IN"/>
        </w:rPr>
        <w:t xml:space="preserve">Finanse to tabu? </w:t>
      </w:r>
    </w:p>
    <w:p w14:paraId="2DAB0BBE" w14:textId="6152CA17" w:rsidR="00046656" w:rsidRPr="003148D8" w:rsidRDefault="00FC29F9" w:rsidP="00046656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Niemniej jednak, p</w:t>
      </w:r>
      <w:r w:rsidR="00C548F6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ieniądze pozostają tematem trudnym w </w:t>
      </w:r>
      <w:r w:rsidR="009065D9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związkach</w:t>
      </w:r>
      <w:r w:rsidR="00C548F6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. 44 proc. </w:t>
      </w:r>
      <w:r w:rsidR="009065D9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Polaków</w:t>
      </w:r>
      <w:r w:rsidR="00C548F6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nie rozmawia regularnie i otwarcie o finansach z partnerem lub partnerką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eastAsia="zh-CN" w:bidi="hi-IN"/>
        </w:rPr>
        <w:footnoteReference w:id="14"/>
      </w:r>
      <w:r w:rsidR="00C548F6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. Powody są powtarzalne: poczucie wstydu i przekonanie, że finanse to sfera prywatna, obawa przed oceną („czy partner uzna mnie za osobę nieodpowiedzialną”), a także różnice w podejściu do wydawania i oszczędzania. </w:t>
      </w:r>
      <w:r w:rsidR="00242E2B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Nie mniej jednak</w:t>
      </w:r>
      <w:r w:rsidR="00EF036F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82 proc. badanych uważa, że szczera rozmowa o pieniądzach to fundament zdrowej relacji, a 77 proc. wskazuje, że jej brak prowadzi do poważnych kryzysów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eastAsia="zh-CN" w:bidi="hi-IN"/>
        </w:rPr>
        <w:footnoteReference w:id="15"/>
      </w:r>
      <w:r w:rsidR="00EF036F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. Z drugiej – temat pozostaje odkładany</w:t>
      </w:r>
      <w:bookmarkStart w:id="1" w:name="_6s5j36rmip23"/>
      <w:bookmarkEnd w:id="1"/>
      <w:r w:rsidR="004A786F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, a w</w:t>
      </w:r>
      <w:r w:rsidR="00520CFD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związkach nieformalnych bywa </w:t>
      </w:r>
      <w:r w:rsidR="004A786F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to </w:t>
      </w:r>
      <w:r w:rsidR="00520CFD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szczególnie ryzykown</w:t>
      </w:r>
      <w:r w:rsidR="004A786F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e</w:t>
      </w:r>
      <w:r w:rsidR="00520CFD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, bo nie chronią przepisy prawa.</w:t>
      </w:r>
      <w:r w:rsidR="00046656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Nie ma więc wspólności majątkowej, automatycznego dziedziczenia ani mechanizmów ochrony w razie rozstania.</w:t>
      </w:r>
    </w:p>
    <w:p w14:paraId="5BDBB630" w14:textId="77777777" w:rsidR="00046656" w:rsidRPr="003148D8" w:rsidRDefault="00046656" w:rsidP="00046656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</w:p>
    <w:p w14:paraId="3F1E1588" w14:textId="15FD8F49" w:rsidR="00046656" w:rsidRPr="003148D8" w:rsidRDefault="00046656" w:rsidP="00046656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- </w:t>
      </w:r>
      <w:r w:rsidR="007967B7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>Każdy posiada więc przypisane do siebie aktywa i zobowiązania. Jeśli jedna osoba finansuje zakup mieszkania, ale nie widnieje w dokumentach jako właściciel, nie ma do niego żadnych praw. Z kolei gdy nieruchomość jest kupowana wspólnie i obie osoby są wpisane do księgi wieczystej, w razie rozstania konieczne jest rozliczenie udziałów – najczęściej poprzez spłatę jednej ze stron lub sprzedaż mieszkania i podział środków. Podobnie przy rozstaniu – nie ma automatycznego podziału całego majątku ani obowiązku wsparcia finansowego. W przypadku śmierci partnera druga strona nie dziedziczy, a majątek może trafić do rodziny zmarłego. Dochodzą też sytuacje kryzysowe – partner nie zawsze ma prawo do informacji medycznej czy podejmowania decyzji</w:t>
      </w:r>
      <w:r w:rsidR="007967B7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– mówi </w:t>
      </w:r>
      <w:r w:rsidRPr="003148D8">
        <w:rPr>
          <w:rFonts w:ascii="Hero New" w:eastAsia="Times New Roman" w:hAnsi="Hero New" w:cs="Times New Roman"/>
          <w:b/>
          <w:bCs/>
          <w:kern w:val="2"/>
          <w:sz w:val="18"/>
          <w:szCs w:val="18"/>
          <w:lang w:val="pl-PL" w:eastAsia="zh-CN" w:bidi="hi-IN"/>
        </w:rPr>
        <w:t>ekspertka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.</w:t>
      </w:r>
    </w:p>
    <w:p w14:paraId="2EC56A2D" w14:textId="77777777" w:rsidR="00925D3B" w:rsidRPr="003148D8" w:rsidRDefault="00925D3B" w:rsidP="00046656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</w:p>
    <w:p w14:paraId="002CE6D0" w14:textId="3DA7655F" w:rsidR="00046656" w:rsidRPr="003148D8" w:rsidRDefault="00046656" w:rsidP="00046656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To oznacza, że partnerzy mogą wspólnie finansować codzienne życie, ale w kluczowych momentach – rozstaniu, chorobie czy śmierci – system traktuje ich jak dwie niezależne osoby</w:t>
      </w:r>
      <w:r w:rsidR="00D42D9F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. W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ybór związku nieformalnego często sprowadza się do kompromisu między większą elastycznością a mniejszym poziomem zabezpieczenia finansowego.</w:t>
      </w:r>
    </w:p>
    <w:p w14:paraId="503B71E6" w14:textId="77777777" w:rsidR="00530075" w:rsidRPr="003148D8" w:rsidRDefault="00530075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</w:p>
    <w:p w14:paraId="5DA95E8F" w14:textId="18DEA9F6" w:rsidR="00D23CDC" w:rsidRPr="003148D8" w:rsidRDefault="00793BA6">
      <w:pPr>
        <w:rPr>
          <w:rFonts w:ascii="Hero New" w:eastAsia="Times New Roman" w:hAnsi="Hero New" w:cs="Times New Roman"/>
          <w:b/>
          <w:bCs/>
          <w:kern w:val="2"/>
          <w:sz w:val="18"/>
          <w:szCs w:val="18"/>
          <w:lang w:val="pl-PL" w:eastAsia="zh-CN" w:bidi="hi-IN"/>
        </w:rPr>
      </w:pPr>
      <w:r w:rsidRPr="003148D8">
        <w:rPr>
          <w:rFonts w:ascii="Hero New" w:eastAsia="Times New Roman" w:hAnsi="Hero New" w:cs="Times New Roman"/>
          <w:b/>
          <w:bCs/>
          <w:kern w:val="2"/>
          <w:sz w:val="18"/>
          <w:szCs w:val="18"/>
          <w:lang w:val="pl-PL" w:eastAsia="zh-CN" w:bidi="hi-IN"/>
        </w:rPr>
        <w:t>Jak zabezpieczyć się w związku nieformalnym?</w:t>
      </w:r>
    </w:p>
    <w:p w14:paraId="58684E2A" w14:textId="77777777" w:rsidR="00793BA6" w:rsidRPr="003148D8" w:rsidRDefault="00793BA6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</w:p>
    <w:p w14:paraId="55D460DC" w14:textId="44ABA8A1" w:rsidR="00A962B0" w:rsidRPr="003148D8" w:rsidRDefault="008350B1" w:rsidP="00A962B0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Brak formalnych ram nie oznacza, że partnerzy są bezradni, bo</w:t>
      </w:r>
      <w:r w:rsidR="00A3765F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ryzyk</w:t>
      </w:r>
      <w:r w:rsidR="00A3765F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o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można ograniczyć prostymi narzędziami prawnymi i jasnymi zasadami finansowymi. </w:t>
      </w:r>
      <w:r w:rsidR="00A962B0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Punktem wyjścia powinna być umowa między partnerami – nawet prosta, </w:t>
      </w:r>
      <w:r w:rsidR="00A3765F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najlepiej </w:t>
      </w:r>
      <w:r w:rsidR="00A962B0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spisana w formie dokument</w:t>
      </w:r>
      <w:r w:rsidR="00A3765F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u</w:t>
      </w:r>
      <w:r w:rsidR="00A962B0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. Może określać, kto i w jakim stopniu </w:t>
      </w:r>
      <w:r w:rsidR="00A962B0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lastRenderedPageBreak/>
        <w:t xml:space="preserve">dokłada się do </w:t>
      </w:r>
      <w:r w:rsidR="0078069C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wspólnych </w:t>
      </w:r>
      <w:r w:rsidR="00A962B0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kosztów</w:t>
      </w:r>
      <w:r w:rsidR="0078069C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życia</w:t>
      </w:r>
      <w:r w:rsidR="00A962B0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, jak finansowane są większe zakupy oraz co dzieje się w razie rozstania. Przy wyższych kwotach warto rozważyć formę notarialną. </w:t>
      </w:r>
    </w:p>
    <w:p w14:paraId="4F94AAB8" w14:textId="2F9E1FFA" w:rsidR="00A962B0" w:rsidRPr="003148D8" w:rsidRDefault="00A962B0" w:rsidP="00A962B0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</w:p>
    <w:p w14:paraId="156623AC" w14:textId="3D892D53" w:rsidR="00A962B0" w:rsidRPr="003148D8" w:rsidRDefault="00A962B0" w:rsidP="00A962B0">
      <w:pPr>
        <w:rPr>
          <w:rFonts w:ascii="Hero New" w:eastAsia="Times New Roman" w:hAnsi="Hero New" w:cs="Times New Roman"/>
          <w:b/>
          <w:bCs/>
          <w:kern w:val="2"/>
          <w:sz w:val="18"/>
          <w:szCs w:val="18"/>
          <w:lang w:val="pl-PL" w:eastAsia="zh-CN" w:bidi="hi-IN"/>
        </w:rPr>
      </w:pPr>
      <w:r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– </w:t>
      </w:r>
      <w:r w:rsidR="0078069C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>Jeśli chodzi o codzienne wydatki, n</w:t>
      </w:r>
      <w:r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ajczęściej spotykamy </w:t>
      </w:r>
      <w:r w:rsidR="007D325C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>dwa</w:t>
      </w:r>
      <w:r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 podejścia: podział „po połowie”</w:t>
      </w:r>
      <w:r w:rsidR="007D325C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 lub</w:t>
      </w:r>
      <w:r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 proporcjonalnie do dochodów</w:t>
      </w:r>
      <w:r w:rsidR="007D325C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. Oczywiście, może to </w:t>
      </w:r>
      <w:r w:rsidR="49DF6C51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>też</w:t>
      </w:r>
      <w:r w:rsidR="007D325C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 być </w:t>
      </w:r>
      <w:r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inny, indywidualnie ustalony system. Każdy z nich może działać, pod </w:t>
      </w:r>
      <w:r w:rsidR="1D3809BB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>warunkiem,</w:t>
      </w:r>
      <w:r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 że jest akceptowany przez obie strony.</w:t>
      </w:r>
      <w:r w:rsidR="004757C2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 Para powinna jasno określić zasady</w:t>
      </w:r>
      <w:r w:rsidR="00204B43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 finansowe związku. Z naszego doświadczenia b</w:t>
      </w:r>
      <w:r w:rsidR="004757C2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rak takich ustaleń to </w:t>
      </w:r>
      <w:r w:rsidR="00204B43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właśnie </w:t>
      </w:r>
      <w:r w:rsidR="004757C2" w:rsidRPr="003148D8">
        <w:rPr>
          <w:rFonts w:ascii="Hero New" w:eastAsia="Times New Roman" w:hAnsi="Hero New" w:cs="Times New Roman"/>
          <w:i/>
          <w:iCs/>
          <w:kern w:val="2"/>
          <w:sz w:val="18"/>
          <w:szCs w:val="18"/>
          <w:lang w:val="pl-PL" w:eastAsia="zh-CN" w:bidi="hi-IN"/>
        </w:rPr>
        <w:t xml:space="preserve">najczęstsze źródło napięć, nie sam poziom zarobków 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– mówi ekspertka</w:t>
      </w:r>
      <w:r w:rsidR="008F6674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finmarie</w:t>
      </w:r>
      <w:r w:rsidR="00EB3B3F" w:rsidRPr="003148D8">
        <w:rPr>
          <w:rFonts w:ascii="Hero New" w:eastAsia="Times New Roman" w:hAnsi="Hero New" w:cs="Times New Roman"/>
          <w:b/>
          <w:bCs/>
          <w:kern w:val="2"/>
          <w:sz w:val="18"/>
          <w:szCs w:val="18"/>
          <w:lang w:val="pl-PL" w:eastAsia="zh-CN" w:bidi="hi-IN"/>
        </w:rPr>
        <w:t>, Małgorzata Gliwińska</w:t>
      </w:r>
      <w:r w:rsidR="00D42D9F" w:rsidRPr="003148D8">
        <w:rPr>
          <w:rFonts w:ascii="Hero New" w:eastAsia="Times New Roman" w:hAnsi="Hero New" w:cs="Times New Roman"/>
          <w:b/>
          <w:bCs/>
          <w:kern w:val="2"/>
          <w:sz w:val="18"/>
          <w:szCs w:val="18"/>
          <w:lang w:val="pl-PL" w:eastAsia="zh-CN" w:bidi="hi-IN"/>
        </w:rPr>
        <w:t>.</w:t>
      </w:r>
    </w:p>
    <w:p w14:paraId="6519169B" w14:textId="77777777" w:rsidR="00C752C1" w:rsidRPr="003148D8" w:rsidRDefault="00C752C1" w:rsidP="008350B1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</w:p>
    <w:p w14:paraId="0B948A2D" w14:textId="77777777" w:rsidR="00FA219A" w:rsidRPr="003148D8" w:rsidRDefault="00FA219A" w:rsidP="00FA219A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Kluczowe znaczenie ma też sposób uregulowania własności. Jeśli partnerzy kupują nieruchomość, obie osoby powinny zostać wpisane do księgi wieczystej z określeniem udziałów. W przeciwnym razie jedna ze stron może finansować zakup bez formalnych praw do majątku. Gdy właścicielem jest tylko jeden partner, warto zabezpieczyć wkład drugiej strony odpowiednią umową lub dokumentacją.</w:t>
      </w:r>
    </w:p>
    <w:p w14:paraId="19439017" w14:textId="77777777" w:rsidR="00FA219A" w:rsidRPr="003148D8" w:rsidRDefault="00FA219A" w:rsidP="00FA219A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</w:p>
    <w:p w14:paraId="5C8594A5" w14:textId="77777777" w:rsidR="00FA219A" w:rsidRPr="003148D8" w:rsidRDefault="00FA219A" w:rsidP="00FA219A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Osobnym obszarem jest dziedziczenie. Partnerzy nieformalni nie dziedziczą po sobie automatycznie, dlatego podstawą jest testament. Bez niego majątek – w tym mieszkanie – trafia do rodziny zmarłego. Uzupełnieniem może być polisa na życie z partnerem jako uposażonym.</w:t>
      </w:r>
    </w:p>
    <w:p w14:paraId="2E6C4B98" w14:textId="4B88301C" w:rsidR="00944BC6" w:rsidRPr="003148D8" w:rsidRDefault="00944BC6" w:rsidP="00944BC6">
      <w:pPr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</w:pPr>
    </w:p>
    <w:p w14:paraId="5DA95E90" w14:textId="71851DE8" w:rsidR="00D23CDC" w:rsidRPr="003148D8" w:rsidRDefault="007967B7">
      <w:pPr>
        <w:rPr>
          <w:b/>
          <w:bCs/>
          <w:i/>
          <w:iCs/>
          <w:sz w:val="20"/>
          <w:szCs w:val="20"/>
          <w:lang w:val="pl-PL"/>
        </w:rPr>
      </w:pP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- </w:t>
      </w:r>
      <w:r w:rsidR="00944BC6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Życie na tzw. kocią łapę to dla wielu Polaków sposób na budowanie relacji bez formalnych zobowiązań. Co ciekawe, samo powiedzenie „kocia łapa” dawno straciło swoją aktualność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, bo</w:t>
      </w:r>
      <w:r w:rsidR="00944BC6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dzisiejsze pary w nieformalnych związkach potrafią trwać razem całe życie. Brak jasno określonych zasad dotyczących podziału wydatków może jednak prowadzić do konfliktów, dlatego warto szczerze rozmawiać o pieniądzach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</w:t>
      </w:r>
      <w:r w:rsidR="00944BC6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>i zawierać umowy dla bezpieczeństwa obu stron. Choć rozmowy o finansach mogą wydawać się mało romantyczne, w rzeczywistości potrafią solidnie wzmocnić związek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i</w:t>
      </w:r>
      <w:r w:rsidR="00944BC6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niezależnie od tego, czy z metryką ślubną, czy bez</w:t>
      </w:r>
      <w:r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 </w:t>
      </w:r>
      <w:r w:rsidR="003F4930" w:rsidRPr="003148D8">
        <w:rPr>
          <w:rFonts w:ascii="Hero New" w:eastAsia="Times New Roman" w:hAnsi="Hero New" w:cs="Times New Roman"/>
          <w:kern w:val="2"/>
          <w:sz w:val="18"/>
          <w:szCs w:val="18"/>
          <w:lang w:val="pl-PL" w:eastAsia="zh-CN" w:bidi="hi-IN"/>
        </w:rPr>
        <w:t xml:space="preserve">– podsumowuje </w:t>
      </w:r>
      <w:r w:rsidR="003F4930" w:rsidRPr="003148D8">
        <w:rPr>
          <w:rFonts w:ascii="Hero New" w:eastAsia="Times New Roman" w:hAnsi="Hero New" w:cs="Times New Roman"/>
          <w:b/>
          <w:bCs/>
          <w:kern w:val="2"/>
          <w:sz w:val="18"/>
          <w:szCs w:val="18"/>
          <w:lang w:val="pl-PL" w:eastAsia="zh-CN" w:bidi="hi-IN"/>
        </w:rPr>
        <w:t>Małgorzata Gliwińska</w:t>
      </w:r>
      <w:r w:rsidR="003F4930" w:rsidRPr="003148D8">
        <w:rPr>
          <w:b/>
          <w:bCs/>
          <w:sz w:val="20"/>
          <w:szCs w:val="20"/>
        </w:rPr>
        <w:t xml:space="preserve">. </w:t>
      </w:r>
    </w:p>
    <w:p w14:paraId="5DA95E91" w14:textId="77777777" w:rsidR="00D23CDC" w:rsidRDefault="00D23CDC" w:rsidP="003148D8">
      <w:pPr>
        <w:suppressAutoHyphens/>
        <w:spacing w:line="240" w:lineRule="auto"/>
      </w:pPr>
    </w:p>
    <w:p w14:paraId="4D13D2B1" w14:textId="77777777" w:rsidR="006F5A32" w:rsidRDefault="006F5A32" w:rsidP="003148D8">
      <w:pPr>
        <w:suppressAutoHyphens/>
        <w:spacing w:line="240" w:lineRule="auto"/>
      </w:pPr>
    </w:p>
    <w:p w14:paraId="5DA95E92" w14:textId="77777777" w:rsidR="00D23CDC" w:rsidRDefault="00D23CDC">
      <w:pPr>
        <w:rPr>
          <w:b/>
          <w:bCs/>
          <w:color w:val="980000"/>
        </w:rPr>
      </w:pPr>
    </w:p>
    <w:p w14:paraId="07AF6077" w14:textId="77777777" w:rsidR="006F5A32" w:rsidRPr="006F5A32" w:rsidRDefault="006F5A32" w:rsidP="006F5A32">
      <w:pPr>
        <w:spacing w:after="160" w:line="278" w:lineRule="auto"/>
        <w:rPr>
          <w:rFonts w:ascii="Hero New" w:eastAsia="Aptos" w:hAnsi="Hero New" w:cs="Times New Roman"/>
          <w:b/>
          <w:bCs/>
          <w:kern w:val="2"/>
          <w:sz w:val="18"/>
          <w:szCs w:val="18"/>
          <w:lang w:val="pl-PL" w:eastAsia="en-US"/>
          <w14:ligatures w14:val="standardContextual"/>
        </w:rPr>
      </w:pPr>
      <w:r w:rsidRPr="006F5A32">
        <w:rPr>
          <w:rFonts w:ascii="Hero New" w:eastAsia="Aptos" w:hAnsi="Hero New" w:cs="Times New Roman"/>
          <w:b/>
          <w:bCs/>
          <w:kern w:val="2"/>
          <w:sz w:val="18"/>
          <w:szCs w:val="18"/>
          <w:lang w:val="pl-PL" w:eastAsia="en-US"/>
          <w14:ligatures w14:val="standardContextual"/>
        </w:rPr>
        <w:t xml:space="preserve">Więcej informacji: </w:t>
      </w:r>
      <w:r w:rsidRPr="006F5A32">
        <w:rPr>
          <w:rFonts w:ascii="Hero New" w:eastAsia="Aptos" w:hAnsi="Hero New" w:cs="Times New Roman"/>
          <w:kern w:val="2"/>
          <w:sz w:val="18"/>
          <w:szCs w:val="18"/>
          <w:lang w:val="pl-PL" w:eastAsia="en-US"/>
          <w14:ligatures w14:val="standardContextual"/>
        </w:rPr>
        <w:br/>
      </w:r>
      <w:r w:rsidRPr="006F5A32">
        <w:rPr>
          <w:rFonts w:ascii="Hero New" w:eastAsia="Aptos" w:hAnsi="Hero New" w:cs="Times New Roman"/>
          <w:b/>
          <w:bCs/>
          <w:kern w:val="2"/>
          <w:sz w:val="18"/>
          <w:szCs w:val="18"/>
          <w:lang w:val="pl-PL" w:eastAsia="en-US"/>
          <w14:ligatures w14:val="standardContextual"/>
        </w:rPr>
        <w:t>Katarzyna Bil </w:t>
      </w:r>
      <w:r w:rsidRPr="006F5A32">
        <w:rPr>
          <w:rFonts w:ascii="Hero New" w:eastAsia="Aptos" w:hAnsi="Hero New" w:cs="Times New Roman"/>
          <w:b/>
          <w:bCs/>
          <w:kern w:val="2"/>
          <w:sz w:val="18"/>
          <w:szCs w:val="18"/>
          <w:lang w:val="pl-PL" w:eastAsia="en-US"/>
          <w14:ligatures w14:val="standardContextual"/>
        </w:rPr>
        <w:br/>
      </w:r>
      <w:r w:rsidRPr="006F5A32">
        <w:rPr>
          <w:rFonts w:ascii="Hero New" w:eastAsia="Aptos" w:hAnsi="Hero New" w:cs="Times New Roman"/>
          <w:kern w:val="2"/>
          <w:sz w:val="18"/>
          <w:szCs w:val="18"/>
          <w:lang w:val="pl-PL" w:eastAsia="en-US"/>
          <w14:ligatures w14:val="standardContextual"/>
        </w:rPr>
        <w:t>k.bil@lightscape.pl</w:t>
      </w:r>
      <w:r w:rsidRPr="006F5A32">
        <w:rPr>
          <w:rFonts w:ascii="Hero New" w:eastAsia="Aptos" w:hAnsi="Hero New" w:cs="Times New Roman"/>
          <w:b/>
          <w:bCs/>
          <w:kern w:val="2"/>
          <w:sz w:val="18"/>
          <w:szCs w:val="18"/>
          <w:lang w:val="pl-PL" w:eastAsia="en-US"/>
          <w14:ligatures w14:val="standardContextual"/>
        </w:rPr>
        <w:br/>
      </w:r>
      <w:r w:rsidRPr="006F5A32">
        <w:rPr>
          <w:rFonts w:ascii="Hero New" w:eastAsia="Aptos" w:hAnsi="Hero New" w:cs="Times New Roman"/>
          <w:kern w:val="2"/>
          <w:sz w:val="18"/>
          <w:szCs w:val="18"/>
          <w:lang w:val="pl-PL" w:eastAsia="en-US"/>
          <w14:ligatures w14:val="standardContextual"/>
        </w:rPr>
        <w:t>tel. 731 439</w:t>
      </w:r>
      <w:r w:rsidRPr="006F5A32">
        <w:rPr>
          <w:rFonts w:ascii="Cambria Math" w:eastAsia="Aptos" w:hAnsi="Cambria Math" w:cs="Cambria Math"/>
          <w:kern w:val="2"/>
          <w:sz w:val="18"/>
          <w:szCs w:val="18"/>
          <w:lang w:val="pl-PL" w:eastAsia="en-US"/>
          <w14:ligatures w14:val="standardContextual"/>
        </w:rPr>
        <w:t> </w:t>
      </w:r>
      <w:r w:rsidRPr="006F5A32">
        <w:rPr>
          <w:rFonts w:ascii="Hero New" w:eastAsia="Aptos" w:hAnsi="Hero New" w:cs="Times New Roman"/>
          <w:kern w:val="2"/>
          <w:sz w:val="18"/>
          <w:szCs w:val="18"/>
          <w:lang w:val="pl-PL" w:eastAsia="en-US"/>
          <w14:ligatures w14:val="standardContextual"/>
        </w:rPr>
        <w:t>999 </w:t>
      </w:r>
    </w:p>
    <w:p w14:paraId="6E1472E5" w14:textId="77777777" w:rsidR="006F5A32" w:rsidRPr="006F5A32" w:rsidRDefault="006F5A32" w:rsidP="006F5A32">
      <w:pPr>
        <w:spacing w:after="160" w:line="278" w:lineRule="auto"/>
        <w:rPr>
          <w:rFonts w:ascii="Hero New" w:eastAsia="Aptos" w:hAnsi="Hero New" w:cs="Times New Roman"/>
          <w:kern w:val="2"/>
          <w:sz w:val="18"/>
          <w:szCs w:val="18"/>
          <w:lang w:val="fr-FR" w:eastAsia="en-US"/>
          <w14:ligatures w14:val="standardContextual"/>
        </w:rPr>
      </w:pPr>
      <w:r w:rsidRPr="006F5A32">
        <w:rPr>
          <w:rFonts w:ascii="Hero New" w:eastAsia="Aptos" w:hAnsi="Hero New" w:cs="Times New Roman"/>
          <w:b/>
          <w:bCs/>
          <w:kern w:val="2"/>
          <w:sz w:val="18"/>
          <w:szCs w:val="18"/>
          <w:lang w:val="fr-FR" w:eastAsia="en-US"/>
          <w14:ligatures w14:val="standardContextual"/>
        </w:rPr>
        <w:t>Aleksandra Morka </w:t>
      </w:r>
      <w:r w:rsidRPr="006F5A32">
        <w:rPr>
          <w:rFonts w:ascii="Hero New" w:eastAsia="Aptos" w:hAnsi="Hero New" w:cs="Times New Roman"/>
          <w:kern w:val="2"/>
          <w:sz w:val="18"/>
          <w:szCs w:val="18"/>
          <w:lang w:val="fr-FR" w:eastAsia="en-US"/>
          <w14:ligatures w14:val="standardContextual"/>
        </w:rPr>
        <w:br/>
        <w:t>a.morka@lightscape.pl </w:t>
      </w:r>
      <w:r w:rsidRPr="006F5A32">
        <w:rPr>
          <w:rFonts w:ascii="Hero New" w:eastAsia="Aptos" w:hAnsi="Hero New" w:cs="Times New Roman"/>
          <w:kern w:val="2"/>
          <w:sz w:val="18"/>
          <w:szCs w:val="18"/>
          <w:lang w:val="fr-FR" w:eastAsia="en-US"/>
          <w14:ligatures w14:val="standardContextual"/>
        </w:rPr>
        <w:br/>
        <w:t>tel. 531 444 469</w:t>
      </w:r>
    </w:p>
    <w:p w14:paraId="5DA95E95" w14:textId="77777777" w:rsidR="00D23CDC" w:rsidRDefault="00D23CDC"/>
    <w:sectPr w:rsidR="00D23CDC">
      <w:head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BF91C" w14:textId="77777777" w:rsidR="00E543AC" w:rsidRDefault="00E543AC">
      <w:pPr>
        <w:spacing w:line="240" w:lineRule="auto"/>
      </w:pPr>
      <w:r>
        <w:separator/>
      </w:r>
    </w:p>
  </w:endnote>
  <w:endnote w:type="continuationSeparator" w:id="0">
    <w:p w14:paraId="75FCFDC1" w14:textId="77777777" w:rsidR="00E543AC" w:rsidRDefault="00E543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ro New">
    <w:altName w:val="Calibri"/>
    <w:panose1 w:val="020005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238E84C5-AC3C-413F-BC87-730BB4C5F99C}"/>
    <w:embedBold r:id="rId2" w:fontKey="{787CAA70-2241-4795-9C52-8EC5D622395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CF0DBA36-0F8B-46D0-BAAE-6B7B82C9D8C6}"/>
    <w:embedBold r:id="rId4" w:fontKey="{8F68A417-9B18-420E-9FA8-7FF895A6F4BB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1A0B828-96C8-4326-89CA-5BE1FEDCE7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C2925E3-D4AD-4972-843A-D2B91F86F9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AE9D4AB-EE13-4C5F-80EF-23856393EE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67401" w14:textId="77777777" w:rsidR="00E543AC" w:rsidRDefault="00E543AC">
      <w:pPr>
        <w:spacing w:line="240" w:lineRule="auto"/>
      </w:pPr>
      <w:r>
        <w:separator/>
      </w:r>
    </w:p>
  </w:footnote>
  <w:footnote w:type="continuationSeparator" w:id="0">
    <w:p w14:paraId="6F185558" w14:textId="77777777" w:rsidR="00E543AC" w:rsidRDefault="00E543AC">
      <w:pPr>
        <w:spacing w:line="240" w:lineRule="auto"/>
      </w:pPr>
      <w:r>
        <w:continuationSeparator/>
      </w:r>
    </w:p>
  </w:footnote>
  <w:footnote w:id="1">
    <w:p w14:paraId="098AF27B" w14:textId="77777777" w:rsidR="00ED7854" w:rsidRPr="003148D8" w:rsidRDefault="00ED7854" w:rsidP="003148D8">
      <w:pPr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footnoteRef/>
      </w: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 xml:space="preserve"> GUS, https://stat.gov.pl/files/gfx/portalinformacyjny/pl/defaultaktualnosci/6494/9/1/1/rodziny_-_wyniki_wstepne_nsp_2021.pdf </w:t>
      </w:r>
      <w:hyperlink r:id="rId1" w:history="1"/>
    </w:p>
  </w:footnote>
  <w:footnote w:id="2">
    <w:p w14:paraId="26A40835" w14:textId="77777777" w:rsidR="00ED7854" w:rsidRPr="003148D8" w:rsidRDefault="00ED7854" w:rsidP="003148D8">
      <w:pPr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footnoteRef/>
      </w: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 xml:space="preserve"> Psychology Today, https://www.psychologytoday.com/us/blog/contemplating-divorce/202503/marriage-is-evolving-are-you-keeping-up</w:t>
      </w:r>
    </w:p>
  </w:footnote>
  <w:footnote w:id="3">
    <w:p w14:paraId="0873C3B9" w14:textId="2F665230" w:rsidR="003326F3" w:rsidRPr="003148D8" w:rsidRDefault="003326F3" w:rsidP="003148D8">
      <w:pPr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footnoteRef/>
      </w: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 xml:space="preserve"> </w:t>
      </w:r>
      <w:r w:rsidR="007003A8"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 xml:space="preserve">GUS, </w:t>
      </w: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>https://ssgk.stat.gov.pl/Ludnosc.html</w:t>
      </w:r>
    </w:p>
  </w:footnote>
  <w:footnote w:id="4">
    <w:p w14:paraId="1EC16FEC" w14:textId="64F8DB6A" w:rsidR="005D5DDD" w:rsidRPr="003148D8" w:rsidRDefault="005D5DDD" w:rsidP="003148D8">
      <w:pPr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footnoteRef/>
      </w:r>
      <w:r w:rsidR="00017FEB"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>GUS, https://stat.gov.pl/files/gfx/portalinformacyjny/pl/defaultaktualnosci/6494/9/1/1/rodziny_-_wyniki_wstepne_nsp_2021.pdf</w:t>
      </w:r>
    </w:p>
  </w:footnote>
  <w:footnote w:id="5">
    <w:p w14:paraId="2B7EBA59" w14:textId="28B14338" w:rsidR="0096441B" w:rsidRPr="003148D8" w:rsidRDefault="0096441B" w:rsidP="003148D8">
      <w:pPr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footnoteRef/>
      </w: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 xml:space="preserve">Jonathan </w:t>
      </w:r>
      <w:proofErr w:type="spellStart"/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>Scovil</w:t>
      </w:r>
      <w:proofErr w:type="spellEnd"/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>, Życie towarzyskie i uczuciowe młodych Polaków, CBOS, Komunikat z badań nr 57/2025, czerwiec 2025,</w:t>
      </w:r>
    </w:p>
  </w:footnote>
  <w:footnote w:id="6">
    <w:p w14:paraId="5A43FB75" w14:textId="753FD7C0" w:rsidR="00526824" w:rsidRPr="003148D8" w:rsidRDefault="00526824" w:rsidP="003148D8">
      <w:pPr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footnoteRef/>
      </w: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 xml:space="preserve"> </w:t>
      </w:r>
      <w:r w:rsidR="003E751A"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 xml:space="preserve">Eurostat, </w:t>
      </w:r>
      <w:hyperlink r:id="rId2" w:history="1">
        <w:r w:rsidR="003E751A" w:rsidRPr="003148D8">
          <w:rPr>
            <w:rFonts w:ascii="Hero New" w:eastAsia="Times New Roman" w:hAnsi="Hero New" w:cs="Times New Roman"/>
            <w:kern w:val="2"/>
            <w:sz w:val="14"/>
            <w:szCs w:val="14"/>
            <w:lang w:val="pl-PL" w:eastAsia="zh-CN" w:bidi="hi-IN"/>
          </w:rPr>
          <w:t>https://ec.europa.eu/eurostat/statistics-explained/index.php?title=Unemployment_statistics</w:t>
        </w:r>
      </w:hyperlink>
    </w:p>
  </w:footnote>
  <w:footnote w:id="7">
    <w:p w14:paraId="672B28ED" w14:textId="29B82D8D" w:rsidR="00526824" w:rsidRPr="003148D8" w:rsidRDefault="00526824" w:rsidP="003148D8">
      <w:pPr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footnoteRef/>
      </w: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 xml:space="preserve"> </w:t>
      </w:r>
      <w:r w:rsidR="00FE7C1A"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>https://instytutsprawobywatelskich.pl/stabilna-praca-w-polsce-kpo-i-przyszlosc-umow-cywilnoprawnych</w:t>
      </w:r>
    </w:p>
  </w:footnote>
  <w:footnote w:id="8">
    <w:p w14:paraId="25233361" w14:textId="1A7DA840" w:rsidR="00526824" w:rsidRPr="003148D8" w:rsidRDefault="00526824" w:rsidP="003148D8">
      <w:pPr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footnoteRef/>
      </w: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 xml:space="preserve"> </w:t>
      </w:r>
      <w:r w:rsidR="000D5F5C"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>Eurostat, https://ec.europa.eu/eurostat/web/products-eurostat-news/w/ddn-20250923-1?utm_source=chatgpt.com</w:t>
      </w:r>
    </w:p>
  </w:footnote>
  <w:footnote w:id="9">
    <w:p w14:paraId="48E6FDD0" w14:textId="758E8D51" w:rsidR="005C0A26" w:rsidRPr="003148D8" w:rsidRDefault="005C0A26" w:rsidP="003148D8">
      <w:pPr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footnoteRef/>
      </w: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 xml:space="preserve"> Santander, https://www.santanderconsumer.pl/gfx/santander/userfiles/_public/scb_zwiazek_a_finanse.pdf</w:t>
      </w:r>
    </w:p>
  </w:footnote>
  <w:footnote w:id="10">
    <w:p w14:paraId="06E0DD07" w14:textId="1145D77D" w:rsidR="00FB4B2B" w:rsidRPr="003148D8" w:rsidRDefault="00FB4B2B" w:rsidP="003148D8">
      <w:pPr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footnoteRef/>
      </w: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 xml:space="preserve"> </w:t>
      </w:r>
      <w:r w:rsidR="00124546"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>Komisja Europejska, https://op.europa.eu/webpub/eac/education-and-training-monitor/en/country-reports/poland.html</w:t>
      </w:r>
    </w:p>
  </w:footnote>
  <w:footnote w:id="11">
    <w:p w14:paraId="16AA6C5A" w14:textId="5601258F" w:rsidR="008634F4" w:rsidRPr="003148D8" w:rsidRDefault="008634F4" w:rsidP="003148D8">
      <w:pPr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footnoteRef/>
      </w: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 xml:space="preserve"> </w:t>
      </w:r>
      <w:r w:rsidR="00564126"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>Instytut Badań Strukturalnych, https://ibs.org.pl/wp-content/uploads/2025/05/Magda_Rozszczypala_Luka-placowa_PP_01_2025.pdf</w:t>
      </w:r>
    </w:p>
  </w:footnote>
  <w:footnote w:id="12">
    <w:p w14:paraId="1F8E18F8" w14:textId="15E934B4" w:rsidR="002F21FE" w:rsidRPr="003148D8" w:rsidRDefault="002F21FE" w:rsidP="003148D8">
      <w:pPr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footnoteRef/>
      </w: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 xml:space="preserve"> </w:t>
      </w:r>
      <w:r w:rsidR="00B809E3"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>GUS, https://stat.gov.pl/files/gfx/portalinformacyjny/pl/defaultaktualnosci/5821/1/7/1/kobiety_i_mezczyzni_na_rynku_pracy_2018.pdf</w:t>
      </w:r>
    </w:p>
  </w:footnote>
  <w:footnote w:id="13">
    <w:p w14:paraId="14B5CFF0" w14:textId="77777777" w:rsidR="00B809E3" w:rsidRPr="003148D8" w:rsidRDefault="00053085" w:rsidP="003148D8">
      <w:pPr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footnoteRef/>
      </w: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 xml:space="preserve"> </w:t>
      </w:r>
      <w:r w:rsidR="00B809E3"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>GUS, Pracujący, bezrobotni i bierni zawodowo 26.08.2025 r.</w:t>
      </w:r>
    </w:p>
    <w:p w14:paraId="1DF6D580" w14:textId="77777777" w:rsidR="00B809E3" w:rsidRPr="003148D8" w:rsidRDefault="00B809E3" w:rsidP="003148D8">
      <w:pPr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>(wyniki wstępne Badania Aktywności Ekonomicznej</w:t>
      </w:r>
    </w:p>
    <w:p w14:paraId="6DA75D98" w14:textId="101D07A8" w:rsidR="00053085" w:rsidRPr="003148D8" w:rsidRDefault="00B809E3" w:rsidP="003148D8">
      <w:pPr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>Ludności w 2 kwartale 2025 r.)</w:t>
      </w:r>
    </w:p>
  </w:footnote>
  <w:footnote w:id="14">
    <w:p w14:paraId="78F2DE14" w14:textId="4FFDDBA3" w:rsidR="00FC29F9" w:rsidRPr="003148D8" w:rsidRDefault="00FC29F9" w:rsidP="003148D8">
      <w:pPr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</w:pP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footnoteRef/>
      </w: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 xml:space="preserve"> Santander, https://www.santanderconsumer.pl/gfx/santander/userfiles/_public/scb_zwiazek_a_finanse.pdf</w:t>
      </w:r>
    </w:p>
  </w:footnote>
  <w:footnote w:id="15">
    <w:p w14:paraId="069AC61C" w14:textId="73BD2898" w:rsidR="00FC29F9" w:rsidRPr="00FC29F9" w:rsidRDefault="00FC29F9" w:rsidP="003148D8">
      <w:pPr>
        <w:rPr>
          <w:lang w:val="pl-PL"/>
        </w:rPr>
      </w:pP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footnoteRef/>
      </w:r>
      <w:r w:rsidRPr="003148D8">
        <w:rPr>
          <w:rFonts w:ascii="Hero New" w:eastAsia="Times New Roman" w:hAnsi="Hero New" w:cs="Times New Roman"/>
          <w:kern w:val="2"/>
          <w:sz w:val="14"/>
          <w:szCs w:val="14"/>
          <w:lang w:val="pl-PL" w:eastAsia="zh-CN" w:bidi="hi-IN"/>
        </w:rPr>
        <w:t xml:space="preserve"> Tamże.</w:t>
      </w:r>
      <w:r>
        <w:rPr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3C146" w14:textId="0D85F406" w:rsidR="003148D8" w:rsidRPr="003148D8" w:rsidRDefault="003148D8" w:rsidP="003148D8">
    <w:pPr>
      <w:pStyle w:val="Nagwek"/>
    </w:pPr>
    <w:r>
      <w:rPr>
        <w:noProof/>
      </w:rPr>
      <w:drawing>
        <wp:inline distT="0" distB="0" distL="0" distR="0" wp14:anchorId="66EF3ACE" wp14:editId="02AFEC9F">
          <wp:extent cx="1207135" cy="250190"/>
          <wp:effectExtent l="0" t="0" r="0" b="0"/>
          <wp:docPr id="214354712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C32518"/>
    <w:multiLevelType w:val="hybridMultilevel"/>
    <w:tmpl w:val="B75E0182"/>
    <w:lvl w:ilvl="0" w:tplc="288A9A02">
      <w:start w:val="202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981989"/>
    <w:multiLevelType w:val="multilevel"/>
    <w:tmpl w:val="AFC830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77442220">
    <w:abstractNumId w:val="1"/>
  </w:num>
  <w:num w:numId="2" w16cid:durableId="81338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CDC"/>
    <w:rsid w:val="00017FEB"/>
    <w:rsid w:val="00042D50"/>
    <w:rsid w:val="00046656"/>
    <w:rsid w:val="00053085"/>
    <w:rsid w:val="000936E2"/>
    <w:rsid w:val="000B269E"/>
    <w:rsid w:val="000C0EF1"/>
    <w:rsid w:val="000C693E"/>
    <w:rsid w:val="000D4D85"/>
    <w:rsid w:val="000D5F5C"/>
    <w:rsid w:val="000F69EB"/>
    <w:rsid w:val="00124546"/>
    <w:rsid w:val="00145D20"/>
    <w:rsid w:val="001633ED"/>
    <w:rsid w:val="00177689"/>
    <w:rsid w:val="001A34DD"/>
    <w:rsid w:val="001B49B9"/>
    <w:rsid w:val="001F1AE5"/>
    <w:rsid w:val="00204B43"/>
    <w:rsid w:val="00231E33"/>
    <w:rsid w:val="00233BC0"/>
    <w:rsid w:val="00242E2B"/>
    <w:rsid w:val="00272236"/>
    <w:rsid w:val="002924D0"/>
    <w:rsid w:val="00294E3E"/>
    <w:rsid w:val="002F21FE"/>
    <w:rsid w:val="003148D8"/>
    <w:rsid w:val="00317987"/>
    <w:rsid w:val="003326F3"/>
    <w:rsid w:val="00347380"/>
    <w:rsid w:val="003668D5"/>
    <w:rsid w:val="00377BC3"/>
    <w:rsid w:val="0038071B"/>
    <w:rsid w:val="003B2E36"/>
    <w:rsid w:val="003B5C96"/>
    <w:rsid w:val="003E751A"/>
    <w:rsid w:val="003F30DF"/>
    <w:rsid w:val="003F4930"/>
    <w:rsid w:val="004033D7"/>
    <w:rsid w:val="00413AD3"/>
    <w:rsid w:val="004711FD"/>
    <w:rsid w:val="004738E9"/>
    <w:rsid w:val="004757C2"/>
    <w:rsid w:val="00484D6A"/>
    <w:rsid w:val="00485EA8"/>
    <w:rsid w:val="004A0D11"/>
    <w:rsid w:val="004A712D"/>
    <w:rsid w:val="004A786F"/>
    <w:rsid w:val="004C7E9E"/>
    <w:rsid w:val="005154B5"/>
    <w:rsid w:val="00520CFD"/>
    <w:rsid w:val="00521ED0"/>
    <w:rsid w:val="0052559D"/>
    <w:rsid w:val="00526824"/>
    <w:rsid w:val="00530075"/>
    <w:rsid w:val="00532B71"/>
    <w:rsid w:val="005424E8"/>
    <w:rsid w:val="00564126"/>
    <w:rsid w:val="005C0A26"/>
    <w:rsid w:val="005C42D2"/>
    <w:rsid w:val="005C5A0D"/>
    <w:rsid w:val="005D2D02"/>
    <w:rsid w:val="005D5CD1"/>
    <w:rsid w:val="005D5DDD"/>
    <w:rsid w:val="00626FA1"/>
    <w:rsid w:val="006403F6"/>
    <w:rsid w:val="0064051F"/>
    <w:rsid w:val="006465E6"/>
    <w:rsid w:val="00674743"/>
    <w:rsid w:val="0068531C"/>
    <w:rsid w:val="00685AC9"/>
    <w:rsid w:val="0068742B"/>
    <w:rsid w:val="00691103"/>
    <w:rsid w:val="006B729E"/>
    <w:rsid w:val="006C0157"/>
    <w:rsid w:val="006D2F91"/>
    <w:rsid w:val="006F5A32"/>
    <w:rsid w:val="007003A8"/>
    <w:rsid w:val="007100A2"/>
    <w:rsid w:val="00731C6F"/>
    <w:rsid w:val="00744F90"/>
    <w:rsid w:val="007459FA"/>
    <w:rsid w:val="00777E61"/>
    <w:rsid w:val="0078069C"/>
    <w:rsid w:val="00793BA6"/>
    <w:rsid w:val="007967B7"/>
    <w:rsid w:val="007D325C"/>
    <w:rsid w:val="008041F2"/>
    <w:rsid w:val="00811E5A"/>
    <w:rsid w:val="00820BCB"/>
    <w:rsid w:val="00825655"/>
    <w:rsid w:val="008350B1"/>
    <w:rsid w:val="008634F4"/>
    <w:rsid w:val="008704E7"/>
    <w:rsid w:val="008824AC"/>
    <w:rsid w:val="008A4C3A"/>
    <w:rsid w:val="008C7C2C"/>
    <w:rsid w:val="008D0E93"/>
    <w:rsid w:val="008F6674"/>
    <w:rsid w:val="009065D9"/>
    <w:rsid w:val="00924446"/>
    <w:rsid w:val="00925D3B"/>
    <w:rsid w:val="00927D29"/>
    <w:rsid w:val="00941A94"/>
    <w:rsid w:val="00944BC6"/>
    <w:rsid w:val="00946344"/>
    <w:rsid w:val="009473BE"/>
    <w:rsid w:val="0096441B"/>
    <w:rsid w:val="00966795"/>
    <w:rsid w:val="009922F6"/>
    <w:rsid w:val="009A439A"/>
    <w:rsid w:val="00A102F5"/>
    <w:rsid w:val="00A3765F"/>
    <w:rsid w:val="00A553A7"/>
    <w:rsid w:val="00A62828"/>
    <w:rsid w:val="00A962B0"/>
    <w:rsid w:val="00AA64A7"/>
    <w:rsid w:val="00AC1EF9"/>
    <w:rsid w:val="00AD1C54"/>
    <w:rsid w:val="00B20390"/>
    <w:rsid w:val="00B43B27"/>
    <w:rsid w:val="00B809E3"/>
    <w:rsid w:val="00B9100E"/>
    <w:rsid w:val="00BC3DF6"/>
    <w:rsid w:val="00BD1F1E"/>
    <w:rsid w:val="00C04ADF"/>
    <w:rsid w:val="00C4006D"/>
    <w:rsid w:val="00C4774E"/>
    <w:rsid w:val="00C548F6"/>
    <w:rsid w:val="00C752C1"/>
    <w:rsid w:val="00D23CDC"/>
    <w:rsid w:val="00D3319A"/>
    <w:rsid w:val="00D410DB"/>
    <w:rsid w:val="00D42D9F"/>
    <w:rsid w:val="00D51B9E"/>
    <w:rsid w:val="00D73E06"/>
    <w:rsid w:val="00D913E3"/>
    <w:rsid w:val="00DA199C"/>
    <w:rsid w:val="00DB3168"/>
    <w:rsid w:val="00DE19D3"/>
    <w:rsid w:val="00DF42EB"/>
    <w:rsid w:val="00E01C4F"/>
    <w:rsid w:val="00E3582D"/>
    <w:rsid w:val="00E543AC"/>
    <w:rsid w:val="00E654DA"/>
    <w:rsid w:val="00E77442"/>
    <w:rsid w:val="00EB1970"/>
    <w:rsid w:val="00EB3B3F"/>
    <w:rsid w:val="00ED7854"/>
    <w:rsid w:val="00EE0D65"/>
    <w:rsid w:val="00EE141C"/>
    <w:rsid w:val="00EF036F"/>
    <w:rsid w:val="00F1643D"/>
    <w:rsid w:val="00F502C0"/>
    <w:rsid w:val="00F72EE4"/>
    <w:rsid w:val="00F85017"/>
    <w:rsid w:val="00FA219A"/>
    <w:rsid w:val="00FB4B2B"/>
    <w:rsid w:val="00FC13FA"/>
    <w:rsid w:val="00FC2235"/>
    <w:rsid w:val="00FC29F9"/>
    <w:rsid w:val="00FC5FFC"/>
    <w:rsid w:val="00FD691A"/>
    <w:rsid w:val="00FD756E"/>
    <w:rsid w:val="00FE1863"/>
    <w:rsid w:val="00FE7C1A"/>
    <w:rsid w:val="00FF11C1"/>
    <w:rsid w:val="055DD18E"/>
    <w:rsid w:val="1B7CA68C"/>
    <w:rsid w:val="1D3809BB"/>
    <w:rsid w:val="23FA9327"/>
    <w:rsid w:val="289C8E44"/>
    <w:rsid w:val="35A6E42A"/>
    <w:rsid w:val="45807399"/>
    <w:rsid w:val="49DF6C51"/>
    <w:rsid w:val="5BFCFF51"/>
    <w:rsid w:val="625088CB"/>
    <w:rsid w:val="7365B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A95E71"/>
  <w15:docId w15:val="{A6C38A5D-1F4D-4877-8B9F-2A3EC7F19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3168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31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3168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26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26F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46344"/>
    <w:pPr>
      <w:spacing w:line="240" w:lineRule="auto"/>
    </w:pPr>
  </w:style>
  <w:style w:type="character" w:styleId="Hipercze">
    <w:name w:val="Hyperlink"/>
    <w:basedOn w:val="Domylnaczcionkaakapitu"/>
    <w:uiPriority w:val="99"/>
    <w:unhideWhenUsed/>
    <w:rsid w:val="008704E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704E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20390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825655"/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34DD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34D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34D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148D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48D8"/>
  </w:style>
  <w:style w:type="paragraph" w:styleId="Stopka">
    <w:name w:val="footer"/>
    <w:basedOn w:val="Normalny"/>
    <w:link w:val="StopkaZnak"/>
    <w:uiPriority w:val="99"/>
    <w:unhideWhenUsed/>
    <w:rsid w:val="003148D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4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c.europa.eu/eurostat/statistics-explained/index.php?title=Unemployment_statistics" TargetMode="External"/><Relationship Id="rId1" Type="http://schemas.openxmlformats.org/officeDocument/2006/relationships/hyperlink" Target="https://stat.gov.pl/files/gfx/portalinformacyjny/pl/defaultaktualnosci/6494/9/1/1/rodziny_-_wyniki_wstepne_nsp_2021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1047C-E40F-49DE-85CB-DD0C2CB99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1082</Words>
  <Characters>6476</Characters>
  <Application>Microsoft Office Word</Application>
  <DocSecurity>0</DocSecurity>
  <Lines>102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Bil</cp:lastModifiedBy>
  <cp:revision>4</cp:revision>
  <cp:lastPrinted>2026-03-19T14:17:00Z</cp:lastPrinted>
  <dcterms:created xsi:type="dcterms:W3CDTF">2026-03-27T11:09:00Z</dcterms:created>
  <dcterms:modified xsi:type="dcterms:W3CDTF">2026-03-31T13:22:00Z</dcterms:modified>
</cp:coreProperties>
</file>