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EA12" w14:textId="77777777" w:rsidR="0017116C" w:rsidRDefault="0017116C">
      <w:pPr>
        <w:spacing w:line="276" w:lineRule="auto"/>
        <w:jc w:val="both"/>
      </w:pPr>
      <w:bookmarkStart w:id="0" w:name="_heading=h.gjdgxs" w:colFirst="0" w:colLast="0"/>
      <w:bookmarkEnd w:id="0"/>
    </w:p>
    <w:p w14:paraId="03C09068" w14:textId="77777777" w:rsidR="0017116C" w:rsidRDefault="00A92E45">
      <w:pPr>
        <w:spacing w:line="276" w:lineRule="auto"/>
        <w:jc w:val="right"/>
        <w:rPr>
          <w:sz w:val="18"/>
          <w:szCs w:val="18"/>
        </w:rPr>
      </w:pPr>
      <w:r>
        <w:rPr>
          <w:sz w:val="18"/>
          <w:szCs w:val="18"/>
        </w:rPr>
        <w:t>Informacja prasowa</w:t>
      </w:r>
    </w:p>
    <w:p w14:paraId="0D708D6C" w14:textId="2A19506D" w:rsidR="0017116C" w:rsidRDefault="00A92E45">
      <w:pPr>
        <w:spacing w:line="276" w:lineRule="auto"/>
        <w:jc w:val="right"/>
        <w:rPr>
          <w:sz w:val="18"/>
          <w:szCs w:val="18"/>
        </w:rPr>
      </w:pPr>
      <w:r>
        <w:rPr>
          <w:sz w:val="18"/>
          <w:szCs w:val="18"/>
        </w:rPr>
        <w:t>Warsz</w:t>
      </w:r>
      <w:r w:rsidRPr="0041693C">
        <w:rPr>
          <w:sz w:val="18"/>
          <w:szCs w:val="18"/>
        </w:rPr>
        <w:t xml:space="preserve">awa, </w:t>
      </w:r>
      <w:r w:rsidR="009A72DB">
        <w:rPr>
          <w:sz w:val="18"/>
          <w:szCs w:val="18"/>
        </w:rPr>
        <w:t>15</w:t>
      </w:r>
      <w:r w:rsidR="0041693C" w:rsidRPr="0041693C">
        <w:rPr>
          <w:sz w:val="18"/>
          <w:szCs w:val="18"/>
        </w:rPr>
        <w:t xml:space="preserve"> </w:t>
      </w:r>
      <w:r w:rsidR="0084556E">
        <w:rPr>
          <w:sz w:val="18"/>
          <w:szCs w:val="18"/>
        </w:rPr>
        <w:t>kwietnia</w:t>
      </w:r>
      <w:r w:rsidR="00F1755B">
        <w:rPr>
          <w:sz w:val="18"/>
          <w:szCs w:val="18"/>
        </w:rPr>
        <w:t xml:space="preserve"> 202</w:t>
      </w:r>
      <w:r w:rsidR="003A5C75">
        <w:rPr>
          <w:sz w:val="18"/>
          <w:szCs w:val="18"/>
        </w:rPr>
        <w:t>6</w:t>
      </w:r>
      <w:r>
        <w:rPr>
          <w:sz w:val="18"/>
          <w:szCs w:val="18"/>
        </w:rPr>
        <w:t xml:space="preserve"> roku</w:t>
      </w:r>
    </w:p>
    <w:p w14:paraId="31EE1F15" w14:textId="77777777" w:rsidR="0017116C" w:rsidRDefault="0017116C">
      <w:pPr>
        <w:spacing w:line="276" w:lineRule="auto"/>
        <w:jc w:val="right"/>
        <w:rPr>
          <w:sz w:val="20"/>
          <w:szCs w:val="20"/>
        </w:rPr>
      </w:pPr>
    </w:p>
    <w:p w14:paraId="172B40F9" w14:textId="77777777" w:rsidR="0017116C" w:rsidRDefault="0017116C">
      <w:pPr>
        <w:spacing w:line="276" w:lineRule="auto"/>
        <w:jc w:val="right"/>
        <w:rPr>
          <w:sz w:val="20"/>
          <w:szCs w:val="20"/>
        </w:rPr>
      </w:pPr>
    </w:p>
    <w:p w14:paraId="7FB19291" w14:textId="591BE714" w:rsidR="00242B24" w:rsidRDefault="00F375C2" w:rsidP="3B425908">
      <w:pPr>
        <w:spacing w:line="276" w:lineRule="auto"/>
        <w:jc w:val="both"/>
        <w:rPr>
          <w:b/>
          <w:bCs/>
          <w:sz w:val="28"/>
          <w:szCs w:val="28"/>
        </w:rPr>
      </w:pPr>
      <w:r>
        <w:rPr>
          <w:b/>
          <w:bCs/>
          <w:sz w:val="28"/>
          <w:szCs w:val="28"/>
        </w:rPr>
        <w:t>Fundusze</w:t>
      </w:r>
      <w:r w:rsidR="0084556E">
        <w:rPr>
          <w:b/>
          <w:bCs/>
          <w:sz w:val="28"/>
          <w:szCs w:val="28"/>
        </w:rPr>
        <w:t xml:space="preserve"> UNIQA TFI </w:t>
      </w:r>
      <w:r>
        <w:rPr>
          <w:b/>
          <w:bCs/>
          <w:sz w:val="28"/>
          <w:szCs w:val="28"/>
        </w:rPr>
        <w:t xml:space="preserve">w Biurze </w:t>
      </w:r>
      <w:r w:rsidR="0084556E">
        <w:rPr>
          <w:b/>
          <w:bCs/>
          <w:sz w:val="28"/>
          <w:szCs w:val="28"/>
        </w:rPr>
        <w:t>Maklerskim P</w:t>
      </w:r>
      <w:r w:rsidR="006C319A">
        <w:rPr>
          <w:b/>
          <w:bCs/>
          <w:sz w:val="28"/>
          <w:szCs w:val="28"/>
        </w:rPr>
        <w:t>ekao</w:t>
      </w:r>
    </w:p>
    <w:p w14:paraId="75DC0263" w14:textId="77777777" w:rsidR="00497E46" w:rsidRDefault="00497E46" w:rsidP="00242B24">
      <w:pPr>
        <w:spacing w:line="276" w:lineRule="auto"/>
        <w:jc w:val="both"/>
        <w:rPr>
          <w:sz w:val="20"/>
          <w:szCs w:val="20"/>
        </w:rPr>
      </w:pPr>
    </w:p>
    <w:p w14:paraId="1C9B451B" w14:textId="1D486CD2" w:rsidR="00856454" w:rsidRDefault="0084556E" w:rsidP="00856454">
      <w:pPr>
        <w:pStyle w:val="Akapitzlist"/>
        <w:numPr>
          <w:ilvl w:val="0"/>
          <w:numId w:val="2"/>
        </w:numPr>
        <w:spacing w:line="276" w:lineRule="auto"/>
        <w:jc w:val="both"/>
        <w:rPr>
          <w:rFonts w:ascii="Arial" w:hAnsi="Arial" w:cs="Arial"/>
          <w:b/>
        </w:rPr>
      </w:pPr>
      <w:r>
        <w:rPr>
          <w:rFonts w:ascii="Arial" w:hAnsi="Arial" w:cs="Arial"/>
          <w:b/>
        </w:rPr>
        <w:t>UNIQA TFI wzmacnia obecność na rynku inwestycyjnym</w:t>
      </w:r>
      <w:r w:rsidR="00856454" w:rsidRPr="00856454">
        <w:rPr>
          <w:rFonts w:ascii="Arial" w:hAnsi="Arial" w:cs="Arial"/>
          <w:b/>
        </w:rPr>
        <w:t>.</w:t>
      </w:r>
    </w:p>
    <w:p w14:paraId="4B24E571" w14:textId="2E6DB6A0" w:rsidR="00F1755B" w:rsidRPr="00856454" w:rsidRDefault="0084556E" w:rsidP="00856454">
      <w:pPr>
        <w:pStyle w:val="Akapitzlist"/>
        <w:numPr>
          <w:ilvl w:val="0"/>
          <w:numId w:val="2"/>
        </w:numPr>
        <w:spacing w:line="276" w:lineRule="auto"/>
        <w:jc w:val="both"/>
        <w:rPr>
          <w:rFonts w:ascii="Arial" w:hAnsi="Arial" w:cs="Arial"/>
          <w:b/>
        </w:rPr>
      </w:pPr>
      <w:r>
        <w:rPr>
          <w:rFonts w:ascii="Arial" w:eastAsia="Times New Roman" w:hAnsi="Arial" w:cs="Arial"/>
          <w:b/>
        </w:rPr>
        <w:t xml:space="preserve">Fundusze </w:t>
      </w:r>
      <w:r w:rsidR="006C319A">
        <w:rPr>
          <w:rFonts w:ascii="Arial" w:eastAsia="Times New Roman" w:hAnsi="Arial" w:cs="Arial"/>
          <w:b/>
        </w:rPr>
        <w:t xml:space="preserve">zarządzane przez ekspertów </w:t>
      </w:r>
      <w:r>
        <w:rPr>
          <w:rFonts w:ascii="Arial" w:eastAsia="Times New Roman" w:hAnsi="Arial" w:cs="Arial"/>
          <w:b/>
        </w:rPr>
        <w:t xml:space="preserve">UNIQA TFI dołączają do oferty </w:t>
      </w:r>
      <w:r w:rsidR="00A00BEF">
        <w:rPr>
          <w:rFonts w:ascii="Arial" w:hAnsi="Arial" w:cs="Arial"/>
          <w:b/>
        </w:rPr>
        <w:t>Biura Maklerskiego</w:t>
      </w:r>
      <w:r w:rsidR="006C319A">
        <w:rPr>
          <w:rFonts w:ascii="Arial" w:hAnsi="Arial" w:cs="Arial"/>
          <w:b/>
        </w:rPr>
        <w:t xml:space="preserve"> Pekao.</w:t>
      </w:r>
    </w:p>
    <w:p w14:paraId="7AE158AB" w14:textId="77777777" w:rsidR="00F1755B" w:rsidRPr="009F3504" w:rsidRDefault="00F1755B" w:rsidP="00F1755B">
      <w:pPr>
        <w:spacing w:line="360" w:lineRule="auto"/>
        <w:jc w:val="both"/>
        <w:rPr>
          <w:color w:val="FF0000"/>
          <w:sz w:val="20"/>
          <w:szCs w:val="20"/>
        </w:rPr>
      </w:pPr>
    </w:p>
    <w:p w14:paraId="05A445A9" w14:textId="30463E3F" w:rsidR="006C319A" w:rsidRDefault="006C319A" w:rsidP="00676139">
      <w:pPr>
        <w:spacing w:line="360" w:lineRule="auto"/>
        <w:jc w:val="both"/>
        <w:rPr>
          <w:sz w:val="20"/>
          <w:szCs w:val="20"/>
        </w:rPr>
      </w:pPr>
      <w:r w:rsidRPr="006C319A">
        <w:rPr>
          <w:sz w:val="20"/>
          <w:szCs w:val="20"/>
        </w:rPr>
        <w:t>UNIQA TFI podpisała umowę dystrybucyjną z Biurem Maklerskim Pekao</w:t>
      </w:r>
      <w:r w:rsidR="00254B0C">
        <w:rPr>
          <w:sz w:val="20"/>
          <w:szCs w:val="20"/>
        </w:rPr>
        <w:t xml:space="preserve"> (BM Pekao)</w:t>
      </w:r>
      <w:r>
        <w:rPr>
          <w:sz w:val="20"/>
          <w:szCs w:val="20"/>
        </w:rPr>
        <w:t xml:space="preserve">. </w:t>
      </w:r>
      <w:r w:rsidR="00457A2B" w:rsidRPr="00457A2B">
        <w:rPr>
          <w:sz w:val="20"/>
          <w:szCs w:val="20"/>
        </w:rPr>
        <w:t xml:space="preserve">W </w:t>
      </w:r>
      <w:r w:rsidR="00F375C2">
        <w:rPr>
          <w:sz w:val="20"/>
          <w:szCs w:val="20"/>
        </w:rPr>
        <w:t>jej ramach</w:t>
      </w:r>
      <w:r w:rsidR="00457A2B" w:rsidRPr="00457A2B">
        <w:rPr>
          <w:sz w:val="20"/>
          <w:szCs w:val="20"/>
        </w:rPr>
        <w:t xml:space="preserve"> oferta funduszy </w:t>
      </w:r>
      <w:r w:rsidR="008D29AC">
        <w:rPr>
          <w:sz w:val="20"/>
          <w:szCs w:val="20"/>
        </w:rPr>
        <w:t xml:space="preserve">pod marką </w:t>
      </w:r>
      <w:r w:rsidR="00457A2B" w:rsidRPr="00457A2B">
        <w:rPr>
          <w:sz w:val="20"/>
          <w:szCs w:val="20"/>
        </w:rPr>
        <w:t xml:space="preserve">UNIQA zostanie udostępniona klientom </w:t>
      </w:r>
      <w:r w:rsidR="00E50AA7">
        <w:rPr>
          <w:sz w:val="20"/>
          <w:szCs w:val="20"/>
        </w:rPr>
        <w:t>BM</w:t>
      </w:r>
      <w:r w:rsidR="00457A2B" w:rsidRPr="00457A2B">
        <w:rPr>
          <w:sz w:val="20"/>
          <w:szCs w:val="20"/>
        </w:rPr>
        <w:t xml:space="preserve"> Pekao, jednego z największych i</w:t>
      </w:r>
      <w:r w:rsidR="00C81274">
        <w:rPr>
          <w:sz w:val="20"/>
          <w:szCs w:val="20"/>
        </w:rPr>
        <w:t> </w:t>
      </w:r>
      <w:r w:rsidR="00457A2B" w:rsidRPr="00457A2B">
        <w:rPr>
          <w:sz w:val="20"/>
          <w:szCs w:val="20"/>
        </w:rPr>
        <w:t xml:space="preserve">najbardziej rozpoznawalnych </w:t>
      </w:r>
      <w:r w:rsidR="00F375C2">
        <w:rPr>
          <w:sz w:val="20"/>
          <w:szCs w:val="20"/>
        </w:rPr>
        <w:t>biur</w:t>
      </w:r>
      <w:r w:rsidR="00457A2B" w:rsidRPr="00457A2B">
        <w:rPr>
          <w:sz w:val="20"/>
          <w:szCs w:val="20"/>
        </w:rPr>
        <w:t xml:space="preserve"> maklerskich w Polsce.</w:t>
      </w:r>
      <w:r w:rsidR="00971080">
        <w:rPr>
          <w:sz w:val="20"/>
          <w:szCs w:val="20"/>
        </w:rPr>
        <w:t xml:space="preserve"> Tym samym klienci biura maklerskiego zyskali dostęp do </w:t>
      </w:r>
      <w:r w:rsidR="008D29AC">
        <w:rPr>
          <w:sz w:val="20"/>
          <w:szCs w:val="20"/>
        </w:rPr>
        <w:t xml:space="preserve">jeszcze </w:t>
      </w:r>
      <w:r w:rsidR="00971080" w:rsidRPr="00971080">
        <w:rPr>
          <w:sz w:val="20"/>
          <w:szCs w:val="20"/>
        </w:rPr>
        <w:t>szer</w:t>
      </w:r>
      <w:r w:rsidR="008D29AC">
        <w:rPr>
          <w:sz w:val="20"/>
          <w:szCs w:val="20"/>
        </w:rPr>
        <w:t>szego</w:t>
      </w:r>
      <w:r w:rsidR="00971080" w:rsidRPr="00971080">
        <w:rPr>
          <w:sz w:val="20"/>
          <w:szCs w:val="20"/>
        </w:rPr>
        <w:t xml:space="preserve"> wachlarza strategii inwestycyjnych – od rozwiązań akcyjnych i obligacyjnych po produkty globalne i tematyczne.</w:t>
      </w:r>
    </w:p>
    <w:p w14:paraId="3040DA86" w14:textId="77777777" w:rsidR="00AE0A53" w:rsidRPr="00AE0A53" w:rsidRDefault="00AE0A53" w:rsidP="00676139">
      <w:pPr>
        <w:spacing w:line="360" w:lineRule="auto"/>
        <w:jc w:val="both"/>
        <w:rPr>
          <w:sz w:val="20"/>
          <w:szCs w:val="20"/>
        </w:rPr>
      </w:pPr>
    </w:p>
    <w:p w14:paraId="14F63A37" w14:textId="7B231887" w:rsidR="00676139" w:rsidRDefault="006C319A" w:rsidP="006C319A">
      <w:pPr>
        <w:spacing w:line="360" w:lineRule="auto"/>
        <w:jc w:val="both"/>
        <w:rPr>
          <w:sz w:val="20"/>
          <w:szCs w:val="20"/>
        </w:rPr>
      </w:pPr>
      <w:r w:rsidRPr="006C319A">
        <w:rPr>
          <w:sz w:val="20"/>
          <w:szCs w:val="20"/>
        </w:rPr>
        <w:t xml:space="preserve">Dystrybucja kanałami biura maklerskiego </w:t>
      </w:r>
      <w:r w:rsidR="008D29AC">
        <w:rPr>
          <w:sz w:val="20"/>
          <w:szCs w:val="20"/>
        </w:rPr>
        <w:t>ruszyła z początkiem kwietnia</w:t>
      </w:r>
      <w:r w:rsidRPr="006C319A">
        <w:rPr>
          <w:sz w:val="20"/>
          <w:szCs w:val="20"/>
        </w:rPr>
        <w:t xml:space="preserve">. </w:t>
      </w:r>
      <w:r>
        <w:rPr>
          <w:sz w:val="20"/>
          <w:szCs w:val="20"/>
        </w:rPr>
        <w:t>Dla klientów biura maklerskiego dostępnych</w:t>
      </w:r>
      <w:r w:rsidR="008D29AC">
        <w:rPr>
          <w:sz w:val="20"/>
          <w:szCs w:val="20"/>
        </w:rPr>
        <w:t xml:space="preserve"> jest</w:t>
      </w:r>
      <w:r>
        <w:rPr>
          <w:sz w:val="20"/>
          <w:szCs w:val="20"/>
        </w:rPr>
        <w:t xml:space="preserve"> 1</w:t>
      </w:r>
      <w:r w:rsidR="00B137E8">
        <w:rPr>
          <w:sz w:val="20"/>
          <w:szCs w:val="20"/>
        </w:rPr>
        <w:t>2</w:t>
      </w:r>
      <w:r>
        <w:rPr>
          <w:sz w:val="20"/>
          <w:szCs w:val="20"/>
        </w:rPr>
        <w:t xml:space="preserve"> zróżnicowanych </w:t>
      </w:r>
      <w:r w:rsidR="00F375C2">
        <w:rPr>
          <w:sz w:val="20"/>
          <w:szCs w:val="20"/>
        </w:rPr>
        <w:t>sub</w:t>
      </w:r>
      <w:r>
        <w:rPr>
          <w:sz w:val="20"/>
          <w:szCs w:val="20"/>
        </w:rPr>
        <w:t>funduszy</w:t>
      </w:r>
      <w:r w:rsidR="00F375C2">
        <w:rPr>
          <w:sz w:val="20"/>
          <w:szCs w:val="20"/>
        </w:rPr>
        <w:t>:</w:t>
      </w:r>
    </w:p>
    <w:p w14:paraId="0D9D8D53" w14:textId="77777777" w:rsidR="00F375C2" w:rsidRPr="00F375C2" w:rsidRDefault="00F375C2" w:rsidP="00F375C2">
      <w:pPr>
        <w:spacing w:line="360" w:lineRule="auto"/>
        <w:jc w:val="both"/>
        <w:rPr>
          <w:sz w:val="20"/>
          <w:szCs w:val="20"/>
        </w:rPr>
      </w:pPr>
      <w:r w:rsidRPr="00F375C2">
        <w:rPr>
          <w:sz w:val="20"/>
          <w:szCs w:val="20"/>
        </w:rPr>
        <w:t>I. wydzielonych w ramach UNIQA Fundusz Inwestycyjny Otwarty:</w:t>
      </w:r>
    </w:p>
    <w:p w14:paraId="70435E93" w14:textId="77777777" w:rsidR="00F375C2" w:rsidRPr="00F375C2" w:rsidRDefault="00F375C2" w:rsidP="00F375C2">
      <w:pPr>
        <w:numPr>
          <w:ilvl w:val="0"/>
          <w:numId w:val="6"/>
        </w:numPr>
        <w:spacing w:line="360" w:lineRule="auto"/>
        <w:jc w:val="both"/>
        <w:rPr>
          <w:sz w:val="20"/>
          <w:szCs w:val="20"/>
        </w:rPr>
      </w:pPr>
      <w:r w:rsidRPr="00F375C2">
        <w:rPr>
          <w:sz w:val="20"/>
          <w:szCs w:val="20"/>
        </w:rPr>
        <w:t>UNIQA Akcji</w:t>
      </w:r>
    </w:p>
    <w:p w14:paraId="63901ACC" w14:textId="77777777" w:rsidR="00F375C2" w:rsidRPr="00F375C2" w:rsidRDefault="00F375C2" w:rsidP="00F375C2">
      <w:pPr>
        <w:numPr>
          <w:ilvl w:val="0"/>
          <w:numId w:val="6"/>
        </w:numPr>
        <w:spacing w:line="360" w:lineRule="auto"/>
        <w:jc w:val="both"/>
        <w:rPr>
          <w:sz w:val="20"/>
          <w:szCs w:val="20"/>
        </w:rPr>
      </w:pPr>
      <w:r w:rsidRPr="00F375C2">
        <w:rPr>
          <w:sz w:val="20"/>
          <w:szCs w:val="20"/>
        </w:rPr>
        <w:t>UNIQA Akcji Małych i Średnich Spółek</w:t>
      </w:r>
    </w:p>
    <w:p w14:paraId="2A60E571" w14:textId="77777777" w:rsidR="00F375C2" w:rsidRPr="00F375C2" w:rsidRDefault="00F375C2" w:rsidP="00F375C2">
      <w:pPr>
        <w:numPr>
          <w:ilvl w:val="0"/>
          <w:numId w:val="6"/>
        </w:numPr>
        <w:spacing w:line="360" w:lineRule="auto"/>
        <w:jc w:val="both"/>
        <w:rPr>
          <w:sz w:val="20"/>
          <w:szCs w:val="20"/>
        </w:rPr>
      </w:pPr>
      <w:r w:rsidRPr="00F375C2">
        <w:rPr>
          <w:sz w:val="20"/>
          <w:szCs w:val="20"/>
        </w:rPr>
        <w:t>UNIQA Akcji Rynków Wschodzących</w:t>
      </w:r>
    </w:p>
    <w:p w14:paraId="624EF804" w14:textId="77777777" w:rsidR="00F375C2" w:rsidRPr="00F375C2" w:rsidRDefault="00F375C2" w:rsidP="00F375C2">
      <w:pPr>
        <w:numPr>
          <w:ilvl w:val="0"/>
          <w:numId w:val="6"/>
        </w:numPr>
        <w:spacing w:line="360" w:lineRule="auto"/>
        <w:jc w:val="both"/>
        <w:rPr>
          <w:sz w:val="20"/>
          <w:szCs w:val="20"/>
        </w:rPr>
      </w:pPr>
      <w:r w:rsidRPr="00F375C2">
        <w:rPr>
          <w:sz w:val="20"/>
          <w:szCs w:val="20"/>
        </w:rPr>
        <w:t>UNIQA Dłużny Uniwersalny Krótkoterminowy</w:t>
      </w:r>
    </w:p>
    <w:p w14:paraId="496A67FC" w14:textId="77777777" w:rsidR="00F375C2" w:rsidRPr="00F375C2" w:rsidRDefault="00F375C2" w:rsidP="00F375C2">
      <w:pPr>
        <w:numPr>
          <w:ilvl w:val="0"/>
          <w:numId w:val="6"/>
        </w:numPr>
        <w:spacing w:line="360" w:lineRule="auto"/>
        <w:jc w:val="both"/>
        <w:rPr>
          <w:sz w:val="20"/>
          <w:szCs w:val="20"/>
        </w:rPr>
      </w:pPr>
      <w:r w:rsidRPr="00F375C2">
        <w:rPr>
          <w:sz w:val="20"/>
          <w:szCs w:val="20"/>
        </w:rPr>
        <w:t xml:space="preserve">UNIQA </w:t>
      </w:r>
      <w:proofErr w:type="spellStart"/>
      <w:r w:rsidRPr="00F375C2">
        <w:rPr>
          <w:sz w:val="20"/>
          <w:szCs w:val="20"/>
        </w:rPr>
        <w:t>Makroalokacji</w:t>
      </w:r>
      <w:proofErr w:type="spellEnd"/>
    </w:p>
    <w:p w14:paraId="122405B1" w14:textId="77777777" w:rsidR="00F375C2" w:rsidRPr="00F375C2" w:rsidRDefault="00F375C2" w:rsidP="00F375C2">
      <w:pPr>
        <w:numPr>
          <w:ilvl w:val="0"/>
          <w:numId w:val="6"/>
        </w:numPr>
        <w:spacing w:line="360" w:lineRule="auto"/>
        <w:jc w:val="both"/>
        <w:rPr>
          <w:sz w:val="20"/>
          <w:szCs w:val="20"/>
        </w:rPr>
      </w:pPr>
      <w:r w:rsidRPr="00F375C2">
        <w:rPr>
          <w:sz w:val="20"/>
          <w:szCs w:val="20"/>
        </w:rPr>
        <w:t>UNIQA Stabilnego Wzrostu</w:t>
      </w:r>
    </w:p>
    <w:p w14:paraId="0AFB144C" w14:textId="77777777" w:rsidR="00F375C2" w:rsidRPr="00F375C2" w:rsidRDefault="00F375C2" w:rsidP="00F375C2">
      <w:pPr>
        <w:numPr>
          <w:ilvl w:val="0"/>
          <w:numId w:val="6"/>
        </w:numPr>
        <w:spacing w:line="360" w:lineRule="auto"/>
        <w:jc w:val="both"/>
        <w:rPr>
          <w:sz w:val="20"/>
          <w:szCs w:val="20"/>
        </w:rPr>
      </w:pPr>
      <w:r w:rsidRPr="00F375C2">
        <w:rPr>
          <w:sz w:val="20"/>
          <w:szCs w:val="20"/>
        </w:rPr>
        <w:t xml:space="preserve">UNIQA </w:t>
      </w:r>
      <w:proofErr w:type="spellStart"/>
      <w:r w:rsidRPr="00F375C2">
        <w:rPr>
          <w:sz w:val="20"/>
          <w:szCs w:val="20"/>
        </w:rPr>
        <w:t>Selective</w:t>
      </w:r>
      <w:proofErr w:type="spellEnd"/>
      <w:r w:rsidRPr="00F375C2">
        <w:rPr>
          <w:sz w:val="20"/>
          <w:szCs w:val="20"/>
        </w:rPr>
        <w:t xml:space="preserve"> Equity</w:t>
      </w:r>
    </w:p>
    <w:p w14:paraId="5D46558A" w14:textId="77777777" w:rsidR="00F375C2" w:rsidRPr="00F375C2" w:rsidRDefault="00F375C2" w:rsidP="00F375C2">
      <w:pPr>
        <w:numPr>
          <w:ilvl w:val="0"/>
          <w:numId w:val="6"/>
        </w:numPr>
        <w:spacing w:line="360" w:lineRule="auto"/>
        <w:jc w:val="both"/>
        <w:rPr>
          <w:sz w:val="20"/>
          <w:szCs w:val="20"/>
        </w:rPr>
      </w:pPr>
      <w:r w:rsidRPr="00F375C2">
        <w:rPr>
          <w:sz w:val="20"/>
          <w:szCs w:val="20"/>
        </w:rPr>
        <w:t>UNIQA Selektywny Akcji Polskich</w:t>
      </w:r>
    </w:p>
    <w:p w14:paraId="6E4C763B" w14:textId="77777777" w:rsidR="00F375C2" w:rsidRPr="00F375C2" w:rsidRDefault="00F375C2" w:rsidP="00F375C2">
      <w:pPr>
        <w:spacing w:line="360" w:lineRule="auto"/>
        <w:jc w:val="both"/>
        <w:rPr>
          <w:sz w:val="20"/>
          <w:szCs w:val="20"/>
        </w:rPr>
      </w:pPr>
      <w:r w:rsidRPr="00F375C2">
        <w:rPr>
          <w:sz w:val="20"/>
          <w:szCs w:val="20"/>
        </w:rPr>
        <w:t>II. wydzielonych w ramach UNIQA Globalny Fundusz Inwestycyjny Otwarty:</w:t>
      </w:r>
    </w:p>
    <w:p w14:paraId="0660B33E" w14:textId="77777777" w:rsidR="00F375C2" w:rsidRPr="00F375C2" w:rsidRDefault="00F375C2" w:rsidP="00F375C2">
      <w:pPr>
        <w:numPr>
          <w:ilvl w:val="0"/>
          <w:numId w:val="7"/>
        </w:numPr>
        <w:spacing w:line="360" w:lineRule="auto"/>
        <w:jc w:val="both"/>
        <w:rPr>
          <w:sz w:val="20"/>
          <w:szCs w:val="20"/>
        </w:rPr>
      </w:pPr>
      <w:r w:rsidRPr="00F375C2">
        <w:rPr>
          <w:sz w:val="20"/>
          <w:szCs w:val="20"/>
        </w:rPr>
        <w:t>UNIQA Globalny Dłużny Uniwersalny</w:t>
      </w:r>
    </w:p>
    <w:p w14:paraId="28AF243A" w14:textId="77777777" w:rsidR="00F375C2" w:rsidRPr="00F375C2" w:rsidRDefault="00F375C2" w:rsidP="00F375C2">
      <w:pPr>
        <w:numPr>
          <w:ilvl w:val="0"/>
          <w:numId w:val="7"/>
        </w:numPr>
        <w:spacing w:line="360" w:lineRule="auto"/>
        <w:jc w:val="both"/>
        <w:rPr>
          <w:sz w:val="20"/>
          <w:szCs w:val="20"/>
        </w:rPr>
      </w:pPr>
      <w:r w:rsidRPr="00F375C2">
        <w:rPr>
          <w:sz w:val="20"/>
          <w:szCs w:val="20"/>
        </w:rPr>
        <w:t>UNIQA Akcji Amerykańskich</w:t>
      </w:r>
    </w:p>
    <w:p w14:paraId="3B6E922B" w14:textId="77777777" w:rsidR="00F375C2" w:rsidRPr="00F375C2" w:rsidRDefault="00F375C2" w:rsidP="00F375C2">
      <w:pPr>
        <w:numPr>
          <w:ilvl w:val="0"/>
          <w:numId w:val="7"/>
        </w:numPr>
        <w:spacing w:line="360" w:lineRule="auto"/>
        <w:jc w:val="both"/>
        <w:rPr>
          <w:sz w:val="20"/>
          <w:szCs w:val="20"/>
        </w:rPr>
      </w:pPr>
      <w:r w:rsidRPr="00F375C2">
        <w:rPr>
          <w:sz w:val="20"/>
          <w:szCs w:val="20"/>
        </w:rPr>
        <w:t>UNIQA Globalny Akcji</w:t>
      </w:r>
    </w:p>
    <w:p w14:paraId="1BEA4B46" w14:textId="77777777" w:rsidR="00F375C2" w:rsidRPr="00F375C2" w:rsidRDefault="00F375C2" w:rsidP="00F375C2">
      <w:pPr>
        <w:numPr>
          <w:ilvl w:val="0"/>
          <w:numId w:val="7"/>
        </w:numPr>
        <w:spacing w:line="360" w:lineRule="auto"/>
        <w:jc w:val="both"/>
        <w:rPr>
          <w:sz w:val="20"/>
          <w:szCs w:val="20"/>
        </w:rPr>
      </w:pPr>
      <w:r w:rsidRPr="00F375C2">
        <w:rPr>
          <w:sz w:val="20"/>
          <w:szCs w:val="20"/>
        </w:rPr>
        <w:t>UNIQA Akcji Rynku Złota</w:t>
      </w:r>
    </w:p>
    <w:p w14:paraId="77AAFF8E" w14:textId="77777777" w:rsidR="006C319A" w:rsidRDefault="006C319A" w:rsidP="006C319A">
      <w:pPr>
        <w:spacing w:line="360" w:lineRule="auto"/>
        <w:jc w:val="both"/>
        <w:rPr>
          <w:sz w:val="20"/>
          <w:szCs w:val="20"/>
        </w:rPr>
      </w:pPr>
    </w:p>
    <w:p w14:paraId="00C543AF" w14:textId="08614EB7" w:rsidR="006C319A" w:rsidRDefault="00F375C2" w:rsidP="008D29AC">
      <w:pPr>
        <w:spacing w:line="360" w:lineRule="auto"/>
        <w:jc w:val="both"/>
        <w:rPr>
          <w:sz w:val="20"/>
          <w:szCs w:val="20"/>
        </w:rPr>
      </w:pPr>
      <w:r>
        <w:rPr>
          <w:sz w:val="20"/>
          <w:szCs w:val="20"/>
        </w:rPr>
        <w:t>Fundusze zarządzane przez ekspertów</w:t>
      </w:r>
      <w:r w:rsidR="006C319A" w:rsidRPr="006C319A">
        <w:rPr>
          <w:sz w:val="20"/>
          <w:szCs w:val="20"/>
        </w:rPr>
        <w:t xml:space="preserve"> UNIQA TFI</w:t>
      </w:r>
      <w:r>
        <w:rPr>
          <w:sz w:val="20"/>
          <w:szCs w:val="20"/>
        </w:rPr>
        <w:t xml:space="preserve"> regularnie zdobywają branżowe nagrody i wyróżnienia.</w:t>
      </w:r>
      <w:r w:rsidR="008D29AC">
        <w:rPr>
          <w:sz w:val="20"/>
          <w:szCs w:val="20"/>
        </w:rPr>
        <w:t xml:space="preserve"> </w:t>
      </w:r>
      <w:r>
        <w:rPr>
          <w:sz w:val="20"/>
          <w:szCs w:val="20"/>
        </w:rPr>
        <w:t>W</w:t>
      </w:r>
      <w:r w:rsidR="00C81274">
        <w:rPr>
          <w:sz w:val="20"/>
          <w:szCs w:val="20"/>
        </w:rPr>
        <w:t> </w:t>
      </w:r>
      <w:r>
        <w:rPr>
          <w:sz w:val="20"/>
          <w:szCs w:val="20"/>
        </w:rPr>
        <w:t xml:space="preserve">2026 roku Towarzystwo otrzymało już nagrodę ALFA za fundusz UNIQA Akcji Małych i Średnich Spółek. </w:t>
      </w:r>
      <w:r w:rsidR="00971080">
        <w:rPr>
          <w:sz w:val="20"/>
          <w:szCs w:val="20"/>
        </w:rPr>
        <w:t>Miniony rok (</w:t>
      </w:r>
      <w:r>
        <w:rPr>
          <w:sz w:val="20"/>
          <w:szCs w:val="20"/>
        </w:rPr>
        <w:t>2025</w:t>
      </w:r>
      <w:r w:rsidR="00971080">
        <w:rPr>
          <w:sz w:val="20"/>
          <w:szCs w:val="20"/>
        </w:rPr>
        <w:t xml:space="preserve"> r.) przyniósł również szereg ważnych wyróżnień. UNIQA TFI</w:t>
      </w:r>
      <w:r>
        <w:rPr>
          <w:sz w:val="20"/>
          <w:szCs w:val="20"/>
        </w:rPr>
        <w:t xml:space="preserve"> zdobyło</w:t>
      </w:r>
      <w:r w:rsidR="006C319A" w:rsidRPr="006C319A">
        <w:rPr>
          <w:sz w:val="20"/>
          <w:szCs w:val="20"/>
        </w:rPr>
        <w:t xml:space="preserve"> „Złoty Portfel” Gazety Giełdy i Inwestorów „Parkiet” oraz </w:t>
      </w:r>
      <w:r>
        <w:rPr>
          <w:sz w:val="20"/>
          <w:szCs w:val="20"/>
        </w:rPr>
        <w:t>ALFA</w:t>
      </w:r>
      <w:r w:rsidR="006C319A" w:rsidRPr="006C319A">
        <w:rPr>
          <w:sz w:val="20"/>
          <w:szCs w:val="20"/>
        </w:rPr>
        <w:t>, przyznawaną przez portal Analizy.pl</w:t>
      </w:r>
      <w:r>
        <w:rPr>
          <w:sz w:val="20"/>
          <w:szCs w:val="20"/>
        </w:rPr>
        <w:t xml:space="preserve"> za Pracownicze Plany Kapitałowe.</w:t>
      </w:r>
      <w:r w:rsidR="006C319A" w:rsidRPr="006C319A">
        <w:rPr>
          <w:sz w:val="20"/>
          <w:szCs w:val="20"/>
        </w:rPr>
        <w:t xml:space="preserve"> Serwis</w:t>
      </w:r>
      <w:r>
        <w:rPr>
          <w:sz w:val="20"/>
          <w:szCs w:val="20"/>
        </w:rPr>
        <w:t xml:space="preserve"> Alalizy.pl</w:t>
      </w:r>
      <w:r w:rsidR="006C319A" w:rsidRPr="006C319A">
        <w:rPr>
          <w:sz w:val="20"/>
          <w:szCs w:val="20"/>
        </w:rPr>
        <w:t xml:space="preserve"> docenił także produkty emerytalne UNIQA TFI, przyznając im wyróżnienia IKE i IKZE na 5.</w:t>
      </w:r>
    </w:p>
    <w:p w14:paraId="3A56A545" w14:textId="77777777" w:rsidR="005C3268" w:rsidRDefault="005C3268" w:rsidP="00676139">
      <w:pPr>
        <w:spacing w:line="360" w:lineRule="auto"/>
        <w:jc w:val="both"/>
        <w:rPr>
          <w:sz w:val="20"/>
          <w:szCs w:val="20"/>
        </w:rPr>
      </w:pPr>
    </w:p>
    <w:p w14:paraId="68341D44" w14:textId="18158325" w:rsidR="00971080" w:rsidRDefault="00971080" w:rsidP="00676139">
      <w:pPr>
        <w:spacing w:line="360" w:lineRule="auto"/>
        <w:jc w:val="both"/>
        <w:rPr>
          <w:sz w:val="20"/>
          <w:szCs w:val="20"/>
        </w:rPr>
      </w:pPr>
      <w:r w:rsidRPr="00971080">
        <w:rPr>
          <w:sz w:val="20"/>
          <w:szCs w:val="20"/>
        </w:rPr>
        <w:t>UNIQA TFI działa na polskim rynku od 2010 roku, a w 2021 roku, w wyniku fuzji, przejęła aktywa AXA TFI. Obecnie oferuje szeroki wachlarz funduszy inwestycyjnych – zarówno krajowych, jak i zagranicznych –</w:t>
      </w:r>
      <w:r w:rsidR="00C81274">
        <w:rPr>
          <w:sz w:val="20"/>
          <w:szCs w:val="20"/>
        </w:rPr>
        <w:t> </w:t>
      </w:r>
      <w:r w:rsidRPr="00971080">
        <w:rPr>
          <w:sz w:val="20"/>
          <w:szCs w:val="20"/>
        </w:rPr>
        <w:t>skierowanych głównie do klientów detalicznych. Spółka należy do międzynarodowej grupy UNIQA, jednego z liderów rynku ubezpieczeniowo-finansowego w Europie Środkowo-Wschodniej.</w:t>
      </w:r>
    </w:p>
    <w:p w14:paraId="25C6C3F6" w14:textId="77777777" w:rsidR="00971080" w:rsidRDefault="00971080" w:rsidP="00676139">
      <w:pPr>
        <w:spacing w:line="360" w:lineRule="auto"/>
        <w:jc w:val="both"/>
        <w:rPr>
          <w:sz w:val="20"/>
          <w:szCs w:val="20"/>
        </w:rPr>
      </w:pPr>
    </w:p>
    <w:p w14:paraId="054A9F24" w14:textId="351264B4" w:rsidR="00C77690" w:rsidRPr="00C77690" w:rsidRDefault="00C77690" w:rsidP="00C77690">
      <w:pPr>
        <w:spacing w:line="276" w:lineRule="auto"/>
        <w:jc w:val="both"/>
        <w:rPr>
          <w:b/>
          <w:sz w:val="16"/>
          <w:szCs w:val="16"/>
        </w:rPr>
      </w:pPr>
      <w:r w:rsidRPr="00C77690">
        <w:rPr>
          <w:b/>
          <w:sz w:val="16"/>
          <w:szCs w:val="16"/>
        </w:rPr>
        <w:t>BM Pekao</w:t>
      </w:r>
    </w:p>
    <w:p w14:paraId="2BC9F7AB" w14:textId="1F8E0D0E" w:rsidR="005C3268" w:rsidRDefault="00C77690" w:rsidP="005C3268">
      <w:pPr>
        <w:spacing w:line="360" w:lineRule="auto"/>
        <w:jc w:val="both"/>
        <w:rPr>
          <w:sz w:val="16"/>
          <w:szCs w:val="16"/>
        </w:rPr>
      </w:pPr>
      <w:r w:rsidRPr="00C77690">
        <w:rPr>
          <w:sz w:val="16"/>
          <w:szCs w:val="16"/>
        </w:rPr>
        <w:t>Biuro Maklerskie Pekao jest specjalistyczną jednostką organizacyjną Banku Pekao S.A. dedykowaną do sprzedaży produktów rynku kapitałowego. Misją BM Pekao jest dostarczanie inwestorom najwyższej jakości usług maklerskich. Kompleksowa oferta gwarantuje klientom możliwość inwestowania na rynku akcji, derywatów (finansowe kontrakty terminowe i opcje), obligacji, a także rynku niepublicznym. Ogólnopolska sieć obsługi w powiązaniu z dostępem do usług za pośrednictwem bankowości elektronicznej pozwala elastycznie rozwijać ofertę, dostosowując ją do zmieniających się warunków oraz potrzeb klientów.</w:t>
      </w:r>
    </w:p>
    <w:p w14:paraId="1BB13BB0" w14:textId="77777777" w:rsidR="00C77690" w:rsidRDefault="00C77690" w:rsidP="005C3268">
      <w:pPr>
        <w:spacing w:line="360" w:lineRule="auto"/>
        <w:jc w:val="both"/>
        <w:rPr>
          <w:sz w:val="16"/>
          <w:szCs w:val="16"/>
        </w:rPr>
      </w:pPr>
    </w:p>
    <w:p w14:paraId="7CAD636A" w14:textId="53F44126" w:rsidR="00C77690" w:rsidRDefault="00C77690" w:rsidP="00C77690">
      <w:pPr>
        <w:spacing w:line="276" w:lineRule="auto"/>
        <w:jc w:val="both"/>
        <w:rPr>
          <w:b/>
          <w:sz w:val="16"/>
          <w:szCs w:val="16"/>
        </w:rPr>
      </w:pPr>
      <w:r w:rsidRPr="00C77690">
        <w:rPr>
          <w:b/>
          <w:sz w:val="16"/>
          <w:szCs w:val="16"/>
        </w:rPr>
        <w:t>Bank Pekao</w:t>
      </w:r>
      <w:r>
        <w:rPr>
          <w:b/>
          <w:sz w:val="16"/>
          <w:szCs w:val="16"/>
        </w:rPr>
        <w:t xml:space="preserve"> S.A.</w:t>
      </w:r>
    </w:p>
    <w:p w14:paraId="4BD91B97" w14:textId="63DC4DD9" w:rsidR="00C77690" w:rsidRPr="00C77690" w:rsidRDefault="00C77690" w:rsidP="00C77690">
      <w:pPr>
        <w:spacing w:line="360" w:lineRule="auto"/>
        <w:jc w:val="both"/>
        <w:rPr>
          <w:sz w:val="16"/>
          <w:szCs w:val="16"/>
        </w:rPr>
      </w:pPr>
      <w:r w:rsidRPr="00C77690">
        <w:rPr>
          <w:sz w:val="16"/>
          <w:szCs w:val="16"/>
        </w:rPr>
        <w:t xml:space="preserve">Bank Pekao S.A., założony w 1929 r., jest jedną z największych instytucji finansowych w regionie Europy Środkowo-Wschodniej i drugim największym bankiem uniwersalnym w Polsce z 352 mld zł aktywów. Bank posiada drugą co do wielkości sieć oddziałów w kraju. Należy do liderów bankowości korporacyjnej, a jego klientem jest co druga korporacja w Polsce. Zajmuje pierwszoplanową na rynku pozycję w zarządzaniu aktywami, działalności maklerskiej i </w:t>
      </w:r>
      <w:proofErr w:type="spellStart"/>
      <w:r w:rsidRPr="00C77690">
        <w:rPr>
          <w:sz w:val="16"/>
          <w:szCs w:val="16"/>
        </w:rPr>
        <w:t>private</w:t>
      </w:r>
      <w:proofErr w:type="spellEnd"/>
      <w:r w:rsidRPr="00C77690">
        <w:rPr>
          <w:sz w:val="16"/>
          <w:szCs w:val="16"/>
        </w:rPr>
        <w:t xml:space="preserve"> banking. Zróżnicowany profil działalności Banku Pekao jest wspierany przez wiodący na rynku bilans i profil ryzyka odzwierciedlony w najniższych kosztach ryzyka, silnych wskaźnikach kapitałowych i odporności na warunki makroekonomiczne (Pekao okazało się najbardziej odpornym bankiem, zajmując pierwsze miejsce w testach warunków skrajnych, przeprowadzonych przez EBA w 2025 roku wśród 64 banków w Europie). Od 1998 r. Bank Pekao jest notowany na Giełdzie Papierów Wartościowych w Warszawie i uczestniczy w kilku lokalnych (w tym WIG 20 i WIG) oraz międzynarodowych indeksach (w tym MSCI EM, </w:t>
      </w:r>
      <w:proofErr w:type="spellStart"/>
      <w:r w:rsidRPr="00C77690">
        <w:rPr>
          <w:sz w:val="16"/>
          <w:szCs w:val="16"/>
        </w:rPr>
        <w:t>Stoxx</w:t>
      </w:r>
      <w:proofErr w:type="spellEnd"/>
      <w:r w:rsidRPr="00C77690">
        <w:rPr>
          <w:sz w:val="16"/>
          <w:szCs w:val="16"/>
        </w:rPr>
        <w:t xml:space="preserve"> Europe 600 i FTSE </w:t>
      </w:r>
      <w:proofErr w:type="spellStart"/>
      <w:r w:rsidRPr="00C77690">
        <w:rPr>
          <w:sz w:val="16"/>
          <w:szCs w:val="16"/>
        </w:rPr>
        <w:t>Developed</w:t>
      </w:r>
      <w:proofErr w:type="spellEnd"/>
      <w:r w:rsidRPr="00C77690">
        <w:rPr>
          <w:sz w:val="16"/>
          <w:szCs w:val="16"/>
        </w:rPr>
        <w:t>). Pekao jest jedną z najbardziej dywidendowych spółek giełdowych w Polsce na przestrzeni ostatnich 10 lat wypłacił akcjonariuszom łącznie ponad 20 mld zł.</w:t>
      </w:r>
    </w:p>
    <w:p w14:paraId="5771BDA6" w14:textId="77777777" w:rsidR="00E50724" w:rsidRPr="009F3504" w:rsidRDefault="00E50724" w:rsidP="00242B24">
      <w:pPr>
        <w:spacing w:line="276" w:lineRule="auto"/>
        <w:jc w:val="both"/>
        <w:rPr>
          <w:b/>
          <w:color w:val="FF0000"/>
          <w:sz w:val="16"/>
          <w:szCs w:val="16"/>
        </w:rPr>
      </w:pPr>
    </w:p>
    <w:p w14:paraId="0F19F0EC" w14:textId="76F1030C" w:rsidR="0017116C" w:rsidRPr="00F85585" w:rsidRDefault="00A92E45">
      <w:pPr>
        <w:spacing w:line="276" w:lineRule="auto"/>
        <w:jc w:val="both"/>
        <w:rPr>
          <w:b/>
          <w:sz w:val="16"/>
          <w:szCs w:val="16"/>
        </w:rPr>
      </w:pPr>
      <w:r w:rsidRPr="00F85585">
        <w:rPr>
          <w:b/>
          <w:sz w:val="16"/>
          <w:szCs w:val="16"/>
        </w:rPr>
        <w:t xml:space="preserve">UNIQA Polska </w:t>
      </w:r>
    </w:p>
    <w:p w14:paraId="5C3ADF66" w14:textId="77777777" w:rsidR="001D7D8A" w:rsidRDefault="001D7D8A">
      <w:pPr>
        <w:spacing w:line="276" w:lineRule="auto"/>
        <w:jc w:val="both"/>
        <w:rPr>
          <w:sz w:val="16"/>
          <w:szCs w:val="16"/>
        </w:rPr>
      </w:pPr>
    </w:p>
    <w:p w14:paraId="713C58F6" w14:textId="5A6470AC" w:rsidR="0017116C" w:rsidRPr="00F85585" w:rsidRDefault="00A92E45">
      <w:pPr>
        <w:spacing w:line="276" w:lineRule="auto"/>
        <w:jc w:val="both"/>
        <w:rPr>
          <w:sz w:val="16"/>
          <w:szCs w:val="16"/>
        </w:rPr>
      </w:pPr>
      <w:r w:rsidRPr="00F85585">
        <w:rPr>
          <w:sz w:val="16"/>
          <w:szCs w:val="16"/>
        </w:rPr>
        <w:t>Spółki UNIQA w Polsce mają wszechstronną ofertę dla osób prywatnych, małych, średnich i dużych firm, ich pracowników oraz dla spółdzielni i wspólnot mieszkaniowych, a także biur podróży. UNIQA jest liderem w ubezpieczeniach majątku spółdzielni i wspólnot mieszkaniowych w Polsce. Na koniec 202</w:t>
      </w:r>
      <w:r w:rsidR="007E2727">
        <w:rPr>
          <w:sz w:val="16"/>
          <w:szCs w:val="16"/>
        </w:rPr>
        <w:t>5</w:t>
      </w:r>
      <w:r w:rsidRPr="00F85585">
        <w:rPr>
          <w:sz w:val="16"/>
          <w:szCs w:val="16"/>
        </w:rPr>
        <w:t xml:space="preserve"> roku przypis składki zakładów ubezpieczeń działających pod marką UNIQA wyniósł p</w:t>
      </w:r>
      <w:r w:rsidR="00E65013" w:rsidRPr="00F85585">
        <w:rPr>
          <w:sz w:val="16"/>
          <w:szCs w:val="16"/>
        </w:rPr>
        <w:t>onad</w:t>
      </w:r>
      <w:r w:rsidRPr="00F85585">
        <w:rPr>
          <w:sz w:val="16"/>
          <w:szCs w:val="16"/>
        </w:rPr>
        <w:t xml:space="preserve"> </w:t>
      </w:r>
      <w:r w:rsidR="007E2727">
        <w:rPr>
          <w:sz w:val="16"/>
          <w:szCs w:val="16"/>
        </w:rPr>
        <w:t>6,1</w:t>
      </w:r>
      <w:r w:rsidR="00563926" w:rsidRPr="00F85585">
        <w:rPr>
          <w:sz w:val="16"/>
          <w:szCs w:val="16"/>
        </w:rPr>
        <w:t> </w:t>
      </w:r>
      <w:r w:rsidRPr="00F85585">
        <w:rPr>
          <w:sz w:val="16"/>
          <w:szCs w:val="16"/>
        </w:rPr>
        <w:t>mld zł. Z kolei UNIQA TFI i UNIQA PTE na koniec 20</w:t>
      </w:r>
      <w:r w:rsidR="007E2727">
        <w:rPr>
          <w:sz w:val="16"/>
          <w:szCs w:val="16"/>
        </w:rPr>
        <w:t>25</w:t>
      </w:r>
      <w:r w:rsidRPr="00F85585">
        <w:rPr>
          <w:sz w:val="16"/>
          <w:szCs w:val="16"/>
        </w:rPr>
        <w:t xml:space="preserve"> roku zarządzały aktywami o łącznej wartości </w:t>
      </w:r>
      <w:r w:rsidR="007E2727">
        <w:rPr>
          <w:sz w:val="16"/>
          <w:szCs w:val="16"/>
        </w:rPr>
        <w:t>24</w:t>
      </w:r>
      <w:r w:rsidR="0029381E" w:rsidRPr="00F85585">
        <w:rPr>
          <w:sz w:val="16"/>
          <w:szCs w:val="16"/>
        </w:rPr>
        <w:t>,</w:t>
      </w:r>
      <w:r w:rsidR="00F85585" w:rsidRPr="00F85585">
        <w:rPr>
          <w:sz w:val="16"/>
          <w:szCs w:val="16"/>
        </w:rPr>
        <w:t>3</w:t>
      </w:r>
      <w:r w:rsidR="00563926" w:rsidRPr="00F85585">
        <w:rPr>
          <w:sz w:val="16"/>
          <w:szCs w:val="16"/>
        </w:rPr>
        <w:t> </w:t>
      </w:r>
      <w:r w:rsidRPr="00F85585">
        <w:rPr>
          <w:sz w:val="16"/>
          <w:szCs w:val="16"/>
        </w:rPr>
        <w:t xml:space="preserve">mld zł. </w:t>
      </w:r>
      <w:r w:rsidR="0041152B">
        <w:rPr>
          <w:sz w:val="16"/>
          <w:szCs w:val="16"/>
        </w:rPr>
        <w:t>Łącznie spółki pod marką UNIQA obsługują w Polsce ponad 8</w:t>
      </w:r>
      <w:r w:rsidR="0041152B" w:rsidRPr="00F85585">
        <w:rPr>
          <w:sz w:val="16"/>
          <w:szCs w:val="16"/>
        </w:rPr>
        <w:t xml:space="preserve"> mln klientów</w:t>
      </w:r>
      <w:r w:rsidR="0041152B">
        <w:rPr>
          <w:sz w:val="16"/>
          <w:szCs w:val="16"/>
        </w:rPr>
        <w:t xml:space="preserve">. </w:t>
      </w:r>
      <w:r w:rsidRPr="00F85585">
        <w:rPr>
          <w:sz w:val="16"/>
          <w:szCs w:val="16"/>
        </w:rPr>
        <w:t xml:space="preserve">Produkty UNIQA klient może kupić w dogodnym dla siebie miejscu: u agentów, brokerów, przez Internet, telefon oraz za pośrednictwem partnerów. Zakłady ubezpieczeń działające w Polsce pod marką UNIQA powstały w wyniku konsolidacji kilku firm ubezpieczeniowych, których obecność na polskim rynku sięga ponad </w:t>
      </w:r>
      <w:r w:rsidR="007E2727">
        <w:rPr>
          <w:sz w:val="16"/>
          <w:szCs w:val="16"/>
        </w:rPr>
        <w:t>35</w:t>
      </w:r>
      <w:r w:rsidRPr="00F85585">
        <w:rPr>
          <w:sz w:val="16"/>
          <w:szCs w:val="16"/>
        </w:rPr>
        <w:t xml:space="preserve"> lat. Sama marka UNIQA jest obecna w Polsce od 2</w:t>
      </w:r>
      <w:r w:rsidR="007E2727">
        <w:rPr>
          <w:sz w:val="16"/>
          <w:szCs w:val="16"/>
        </w:rPr>
        <w:t>5</w:t>
      </w:r>
      <w:r w:rsidRPr="00F85585">
        <w:rPr>
          <w:sz w:val="16"/>
          <w:szCs w:val="16"/>
        </w:rPr>
        <w:t xml:space="preserve"> lat. Inwestorem strategicznym spółek jest europejski holding ubezpieczeniowy o austriackich korzeniach - UNIQA </w:t>
      </w:r>
      <w:proofErr w:type="spellStart"/>
      <w:r w:rsidRPr="00F85585">
        <w:rPr>
          <w:sz w:val="16"/>
          <w:szCs w:val="16"/>
        </w:rPr>
        <w:t>Insurance</w:t>
      </w:r>
      <w:proofErr w:type="spellEnd"/>
      <w:r w:rsidRPr="00F85585">
        <w:rPr>
          <w:sz w:val="16"/>
          <w:szCs w:val="16"/>
        </w:rPr>
        <w:t xml:space="preserve"> </w:t>
      </w:r>
      <w:proofErr w:type="spellStart"/>
      <w:r w:rsidRPr="00F85585">
        <w:rPr>
          <w:sz w:val="16"/>
          <w:szCs w:val="16"/>
        </w:rPr>
        <w:t>Group</w:t>
      </w:r>
      <w:proofErr w:type="spellEnd"/>
      <w:r w:rsidRPr="00F85585">
        <w:rPr>
          <w:sz w:val="16"/>
          <w:szCs w:val="16"/>
        </w:rPr>
        <w:t xml:space="preserve"> AG.</w:t>
      </w:r>
    </w:p>
    <w:p w14:paraId="332DBD4B" w14:textId="77777777" w:rsidR="0017116C" w:rsidRPr="00F85585" w:rsidRDefault="0017116C">
      <w:pPr>
        <w:spacing w:line="276" w:lineRule="auto"/>
        <w:jc w:val="both"/>
        <w:rPr>
          <w:sz w:val="16"/>
          <w:szCs w:val="16"/>
        </w:rPr>
      </w:pPr>
    </w:p>
    <w:p w14:paraId="7C50E1CD" w14:textId="59994510" w:rsidR="0017116C" w:rsidRPr="001D7D8A" w:rsidRDefault="00A92E45">
      <w:pPr>
        <w:spacing w:line="276" w:lineRule="auto"/>
        <w:jc w:val="both"/>
        <w:rPr>
          <w:sz w:val="16"/>
          <w:szCs w:val="16"/>
        </w:rPr>
      </w:pPr>
      <w:r w:rsidRPr="00F85585">
        <w:rPr>
          <w:sz w:val="16"/>
          <w:szCs w:val="16"/>
        </w:rPr>
        <w:t>Więcej informacji: </w:t>
      </w:r>
      <w:hyperlink r:id="rId9">
        <w:r w:rsidRPr="00F85585">
          <w:rPr>
            <w:sz w:val="16"/>
            <w:szCs w:val="16"/>
          </w:rPr>
          <w:t>www.uniqa.pl</w:t>
        </w:r>
      </w:hyperlink>
    </w:p>
    <w:p w14:paraId="45F35FCC" w14:textId="77777777" w:rsidR="0017116C" w:rsidRPr="009F3504" w:rsidRDefault="0017116C">
      <w:pPr>
        <w:spacing w:line="276" w:lineRule="auto"/>
        <w:jc w:val="both"/>
        <w:rPr>
          <w:color w:val="FF0000"/>
          <w:sz w:val="16"/>
          <w:szCs w:val="16"/>
        </w:rPr>
      </w:pPr>
    </w:p>
    <w:p w14:paraId="24AEE55C" w14:textId="77777777" w:rsidR="0017116C" w:rsidRDefault="00A92E45">
      <w:pPr>
        <w:spacing w:line="276" w:lineRule="auto"/>
        <w:jc w:val="both"/>
        <w:rPr>
          <w:b/>
          <w:sz w:val="16"/>
          <w:szCs w:val="16"/>
        </w:rPr>
      </w:pPr>
      <w:r w:rsidRPr="00F85585">
        <w:rPr>
          <w:b/>
          <w:sz w:val="16"/>
          <w:szCs w:val="16"/>
        </w:rPr>
        <w:t>Grupa UNIQA</w:t>
      </w:r>
    </w:p>
    <w:p w14:paraId="6A56DD47" w14:textId="77777777" w:rsidR="00876421" w:rsidRPr="00F85585" w:rsidRDefault="00876421">
      <w:pPr>
        <w:spacing w:line="276" w:lineRule="auto"/>
        <w:jc w:val="both"/>
        <w:rPr>
          <w:b/>
          <w:sz w:val="16"/>
          <w:szCs w:val="16"/>
        </w:rPr>
      </w:pPr>
    </w:p>
    <w:p w14:paraId="2CAF9EAA" w14:textId="1911C081" w:rsidR="0017116C" w:rsidRDefault="009179EC" w:rsidP="009179EC">
      <w:pPr>
        <w:spacing w:line="276" w:lineRule="auto"/>
        <w:jc w:val="both"/>
        <w:rPr>
          <w:sz w:val="16"/>
          <w:szCs w:val="16"/>
        </w:rPr>
      </w:pPr>
      <w:r w:rsidRPr="009179EC">
        <w:rPr>
          <w:sz w:val="16"/>
          <w:szCs w:val="16"/>
        </w:rPr>
        <w:t xml:space="preserve">Grupa UNIQA jest jedną z wiodących firm ubezpieczeniowych na </w:t>
      </w:r>
      <w:r>
        <w:rPr>
          <w:sz w:val="16"/>
          <w:szCs w:val="16"/>
        </w:rPr>
        <w:t>rynkach</w:t>
      </w:r>
      <w:r w:rsidRPr="009179EC">
        <w:rPr>
          <w:sz w:val="16"/>
          <w:szCs w:val="16"/>
        </w:rPr>
        <w:t xml:space="preserve"> w Austrii oraz w Europie Środkowo</w:t>
      </w:r>
      <w:r w:rsidRPr="009179EC">
        <w:rPr>
          <w:rFonts w:ascii="Cambria Math" w:hAnsi="Cambria Math" w:cs="Cambria Math"/>
          <w:sz w:val="16"/>
          <w:szCs w:val="16"/>
        </w:rPr>
        <w:t>‑</w:t>
      </w:r>
      <w:r w:rsidRPr="009179EC">
        <w:rPr>
          <w:sz w:val="16"/>
          <w:szCs w:val="16"/>
        </w:rPr>
        <w:t>Wschodniej (CEE). Około 20 </w:t>
      </w:r>
      <w:r>
        <w:rPr>
          <w:sz w:val="16"/>
          <w:szCs w:val="16"/>
        </w:rPr>
        <w:t>tys.</w:t>
      </w:r>
      <w:r w:rsidRPr="009179EC">
        <w:rPr>
          <w:sz w:val="16"/>
          <w:szCs w:val="16"/>
        </w:rPr>
        <w:t xml:space="preserve"> pracowników i wyłącznych partnerów obsługuje ponad 17 milionów klientów. UNIQA jest drugą co do wielkości grupą ubezpieczeniową w Austrii, z udziałem w rynku wynoszącym około 21 procent.</w:t>
      </w:r>
      <w:r>
        <w:rPr>
          <w:sz w:val="16"/>
          <w:szCs w:val="16"/>
        </w:rPr>
        <w:t xml:space="preserve"> </w:t>
      </w:r>
      <w:r w:rsidRPr="009179EC">
        <w:rPr>
          <w:sz w:val="16"/>
          <w:szCs w:val="16"/>
        </w:rPr>
        <w:t>W regionie CEE, który charakteryzuje się dynamicznym wzrostem, UNIQA jest obecna na 11 rynkach: w Bośni i Hercegowinie, Bułgarii, Chorwacji, Czechach, na Węgrzech, w Czarnogórze, Polsce, Rumunii, Serbii, na Słowacji oraz w Ukrainie. Ponadto częścią Grupy UNIQA są także spółki ubezpieczeniowe działające w Szwajcarii i Liechtensteinie.</w:t>
      </w:r>
    </w:p>
    <w:p w14:paraId="22E23C66" w14:textId="77777777" w:rsidR="009179EC" w:rsidRPr="00F85585" w:rsidRDefault="009179EC" w:rsidP="009179EC">
      <w:pPr>
        <w:spacing w:line="276" w:lineRule="auto"/>
        <w:jc w:val="both"/>
        <w:rPr>
          <w:sz w:val="16"/>
          <w:szCs w:val="16"/>
        </w:rPr>
      </w:pPr>
    </w:p>
    <w:p w14:paraId="6866A464" w14:textId="77777777" w:rsidR="0017116C" w:rsidRPr="00F85585" w:rsidRDefault="00A92E45">
      <w:pPr>
        <w:spacing w:line="276" w:lineRule="auto"/>
        <w:jc w:val="both"/>
        <w:rPr>
          <w:sz w:val="16"/>
          <w:szCs w:val="16"/>
        </w:rPr>
      </w:pPr>
      <w:r w:rsidRPr="00F85585">
        <w:rPr>
          <w:sz w:val="16"/>
          <w:szCs w:val="16"/>
        </w:rPr>
        <w:t>Więcej informacji: </w:t>
      </w:r>
      <w:hyperlink r:id="rId10">
        <w:r w:rsidRPr="00F85585">
          <w:rPr>
            <w:sz w:val="16"/>
            <w:szCs w:val="16"/>
          </w:rPr>
          <w:t>www.uniqagroup.com</w:t>
        </w:r>
      </w:hyperlink>
    </w:p>
    <w:p w14:paraId="44BD78DA" w14:textId="77777777" w:rsidR="0017116C" w:rsidRPr="009F3504" w:rsidRDefault="0017116C">
      <w:pPr>
        <w:spacing w:line="276" w:lineRule="auto"/>
        <w:jc w:val="both"/>
        <w:rPr>
          <w:b/>
          <w:color w:val="FF0000"/>
          <w:sz w:val="18"/>
          <w:szCs w:val="18"/>
        </w:rPr>
      </w:pPr>
    </w:p>
    <w:p w14:paraId="33D22BF2" w14:textId="77777777" w:rsidR="0017116C" w:rsidRDefault="0017116C">
      <w:pPr>
        <w:pBdr>
          <w:bottom w:val="single" w:sz="6" w:space="0" w:color="000000"/>
        </w:pBdr>
        <w:tabs>
          <w:tab w:val="left" w:pos="8865"/>
        </w:tabs>
        <w:spacing w:line="276" w:lineRule="auto"/>
        <w:ind w:right="-168"/>
        <w:jc w:val="both"/>
      </w:pPr>
    </w:p>
    <w:p w14:paraId="20ECBA35" w14:textId="77777777" w:rsidR="0017116C" w:rsidRDefault="0017116C">
      <w:pPr>
        <w:spacing w:line="276" w:lineRule="auto"/>
        <w:jc w:val="both"/>
        <w:rPr>
          <w:b/>
          <w:sz w:val="18"/>
          <w:szCs w:val="18"/>
        </w:rPr>
      </w:pPr>
    </w:p>
    <w:p w14:paraId="34B04E2F" w14:textId="77777777" w:rsidR="0017116C" w:rsidRDefault="00A92E45">
      <w:pPr>
        <w:spacing w:line="276" w:lineRule="auto"/>
        <w:jc w:val="both"/>
        <w:rPr>
          <w:b/>
          <w:sz w:val="18"/>
          <w:szCs w:val="18"/>
        </w:rPr>
      </w:pPr>
      <w:r>
        <w:rPr>
          <w:b/>
          <w:sz w:val="18"/>
          <w:szCs w:val="18"/>
        </w:rPr>
        <w:t>KONTAKT DLA MEDIÓW:</w:t>
      </w:r>
    </w:p>
    <w:p w14:paraId="27340DB0" w14:textId="77777777" w:rsidR="008E66A8" w:rsidRDefault="008E66A8">
      <w:pPr>
        <w:spacing w:line="276" w:lineRule="auto"/>
        <w:jc w:val="both"/>
        <w:rPr>
          <w:sz w:val="18"/>
          <w:szCs w:val="18"/>
        </w:rPr>
      </w:pPr>
      <w:r>
        <w:rPr>
          <w:sz w:val="18"/>
          <w:szCs w:val="18"/>
        </w:rPr>
        <w:lastRenderedPageBreak/>
        <w:t>Maciej Krzysztoszek</w:t>
      </w:r>
    </w:p>
    <w:p w14:paraId="75BA2A9B" w14:textId="77777777" w:rsidR="00CB33DF" w:rsidRDefault="008E66A8">
      <w:pPr>
        <w:spacing w:line="276" w:lineRule="auto"/>
        <w:jc w:val="both"/>
        <w:rPr>
          <w:sz w:val="18"/>
          <w:szCs w:val="18"/>
        </w:rPr>
      </w:pPr>
      <w:r>
        <w:rPr>
          <w:sz w:val="18"/>
          <w:szCs w:val="18"/>
        </w:rPr>
        <w:t xml:space="preserve">Rzecznik </w:t>
      </w:r>
      <w:r w:rsidR="00CB33DF">
        <w:rPr>
          <w:sz w:val="18"/>
          <w:szCs w:val="18"/>
        </w:rPr>
        <w:t>p</w:t>
      </w:r>
      <w:r>
        <w:rPr>
          <w:sz w:val="18"/>
          <w:szCs w:val="18"/>
        </w:rPr>
        <w:t>rasowy</w:t>
      </w:r>
    </w:p>
    <w:p w14:paraId="1D340C7A" w14:textId="4E2F2085" w:rsidR="0017116C" w:rsidRPr="00412361" w:rsidRDefault="00CB33DF">
      <w:pPr>
        <w:spacing w:line="276" w:lineRule="auto"/>
        <w:jc w:val="both"/>
        <w:rPr>
          <w:sz w:val="18"/>
          <w:szCs w:val="18"/>
        </w:rPr>
      </w:pPr>
      <w:r>
        <w:rPr>
          <w:sz w:val="18"/>
          <w:szCs w:val="18"/>
        </w:rPr>
        <w:t xml:space="preserve">Tel. +48 </w:t>
      </w:r>
      <w:r w:rsidRPr="00CB33DF">
        <w:rPr>
          <w:sz w:val="18"/>
          <w:szCs w:val="18"/>
        </w:rPr>
        <w:t>785 995 462</w:t>
      </w:r>
      <w:r w:rsidR="00133EA3">
        <w:rPr>
          <w:sz w:val="18"/>
          <w:szCs w:val="18"/>
        </w:rPr>
        <w:tab/>
      </w:r>
      <w:r w:rsidR="00133EA3">
        <w:rPr>
          <w:sz w:val="18"/>
          <w:szCs w:val="18"/>
        </w:rPr>
        <w:tab/>
      </w:r>
      <w:r w:rsidR="00133EA3">
        <w:rPr>
          <w:sz w:val="18"/>
          <w:szCs w:val="18"/>
        </w:rPr>
        <w:tab/>
      </w:r>
      <w:r w:rsidR="00133EA3">
        <w:rPr>
          <w:sz w:val="18"/>
          <w:szCs w:val="18"/>
        </w:rPr>
        <w:tab/>
      </w:r>
      <w:r w:rsidR="00133EA3">
        <w:rPr>
          <w:sz w:val="18"/>
          <w:szCs w:val="18"/>
        </w:rPr>
        <w:tab/>
      </w:r>
      <w:r w:rsidR="00133EA3">
        <w:rPr>
          <w:sz w:val="18"/>
          <w:szCs w:val="18"/>
        </w:rPr>
        <w:tab/>
      </w:r>
      <w:r w:rsidR="00A92E45" w:rsidRPr="00C30253">
        <w:rPr>
          <w:sz w:val="18"/>
          <w:szCs w:val="18"/>
        </w:rPr>
        <w:tab/>
      </w:r>
      <w:r w:rsidR="00A92E45" w:rsidRPr="00C30253">
        <w:rPr>
          <w:sz w:val="18"/>
          <w:szCs w:val="18"/>
        </w:rPr>
        <w:tab/>
      </w:r>
      <w:r w:rsidR="00A92E45" w:rsidRPr="00C30253">
        <w:rPr>
          <w:sz w:val="18"/>
          <w:szCs w:val="18"/>
        </w:rPr>
        <w:tab/>
      </w:r>
      <w:r w:rsidR="00A92E45" w:rsidRPr="00C30253">
        <w:rPr>
          <w:sz w:val="18"/>
          <w:szCs w:val="18"/>
        </w:rPr>
        <w:tab/>
        <w:t xml:space="preserve"> </w:t>
      </w:r>
    </w:p>
    <w:p w14:paraId="70CF74B7" w14:textId="0FB7E7D8" w:rsidR="0017116C" w:rsidRPr="00E50AA7" w:rsidRDefault="009E75E2">
      <w:pPr>
        <w:spacing w:line="276" w:lineRule="auto"/>
        <w:jc w:val="both"/>
        <w:rPr>
          <w:sz w:val="18"/>
          <w:szCs w:val="18"/>
          <w:lang w:val="it-IT"/>
        </w:rPr>
      </w:pPr>
      <w:r w:rsidRPr="00E50AA7">
        <w:rPr>
          <w:sz w:val="18"/>
          <w:szCs w:val="18"/>
          <w:lang w:val="it-IT"/>
        </w:rPr>
        <w:t xml:space="preserve">e-mail: </w:t>
      </w:r>
      <w:hyperlink r:id="rId11" w:history="1">
        <w:r w:rsidR="008E66A8" w:rsidRPr="00E50AA7">
          <w:rPr>
            <w:rStyle w:val="Hipercze"/>
            <w:sz w:val="18"/>
            <w:szCs w:val="18"/>
            <w:lang w:val="it-IT"/>
          </w:rPr>
          <w:t>maciej.krzysztoszek@uniqa.pl</w:t>
        </w:r>
      </w:hyperlink>
    </w:p>
    <w:p w14:paraId="0B2C25CE" w14:textId="37B30902" w:rsidR="00897702" w:rsidRPr="00897702" w:rsidRDefault="00A92E45">
      <w:pPr>
        <w:spacing w:line="276" w:lineRule="auto"/>
        <w:jc w:val="both"/>
        <w:rPr>
          <w:sz w:val="18"/>
          <w:szCs w:val="18"/>
        </w:rPr>
      </w:pPr>
      <w:proofErr w:type="spellStart"/>
      <w:r w:rsidRPr="008E66A8">
        <w:rPr>
          <w:sz w:val="18"/>
          <w:szCs w:val="18"/>
        </w:rPr>
        <w:t>tt</w:t>
      </w:r>
      <w:proofErr w:type="spellEnd"/>
      <w:r w:rsidRPr="008E66A8">
        <w:rPr>
          <w:sz w:val="18"/>
          <w:szCs w:val="18"/>
        </w:rPr>
        <w:t>/</w:t>
      </w:r>
      <w:proofErr w:type="spellStart"/>
      <w:r w:rsidRPr="008E66A8">
        <w:rPr>
          <w:sz w:val="18"/>
          <w:szCs w:val="18"/>
        </w:rPr>
        <w:t>instagram</w:t>
      </w:r>
      <w:proofErr w:type="spellEnd"/>
      <w:r w:rsidRPr="008E66A8">
        <w:rPr>
          <w:sz w:val="18"/>
          <w:szCs w:val="18"/>
        </w:rPr>
        <w:t>/</w:t>
      </w:r>
      <w:proofErr w:type="spellStart"/>
      <w:r w:rsidRPr="008E66A8">
        <w:rPr>
          <w:sz w:val="18"/>
          <w:szCs w:val="18"/>
        </w:rPr>
        <w:t>facebook</w:t>
      </w:r>
      <w:proofErr w:type="spellEnd"/>
      <w:r w:rsidRPr="008E66A8">
        <w:rPr>
          <w:sz w:val="18"/>
          <w:szCs w:val="18"/>
        </w:rPr>
        <w:t xml:space="preserve"> @uniqapolska</w:t>
      </w:r>
    </w:p>
    <w:sectPr w:rsidR="00897702" w:rsidRPr="00897702" w:rsidSect="00F3407C">
      <w:headerReference w:type="default" r:id="rId12"/>
      <w:footerReference w:type="default" r:id="rId13"/>
      <w:pgSz w:w="11906" w:h="16838"/>
      <w:pgMar w:top="2410"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3C5B" w14:textId="77777777" w:rsidR="00990FCC" w:rsidRDefault="00990FCC">
      <w:r>
        <w:separator/>
      </w:r>
    </w:p>
  </w:endnote>
  <w:endnote w:type="continuationSeparator" w:id="0">
    <w:p w14:paraId="114BB89E" w14:textId="77777777" w:rsidR="00990FCC" w:rsidRDefault="0099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tone Sans ITC Pro Medium">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D645" w14:textId="77777777" w:rsidR="00A7461C" w:rsidRDefault="00A7461C">
    <w:pPr>
      <w:pBdr>
        <w:top w:val="nil"/>
        <w:left w:val="nil"/>
        <w:bottom w:val="nil"/>
        <w:right w:val="nil"/>
        <w:between w:val="nil"/>
      </w:pBdr>
      <w:tabs>
        <w:tab w:val="center" w:pos="4536"/>
        <w:tab w:val="right" w:pos="9072"/>
      </w:tabs>
      <w:jc w:val="center"/>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C59E" w14:textId="77777777" w:rsidR="00990FCC" w:rsidRDefault="00990FCC">
      <w:r>
        <w:separator/>
      </w:r>
    </w:p>
  </w:footnote>
  <w:footnote w:type="continuationSeparator" w:id="0">
    <w:p w14:paraId="01FDC287" w14:textId="77777777" w:rsidR="00990FCC" w:rsidRDefault="0099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B8A9" w14:textId="06A249EF" w:rsidR="00A7461C" w:rsidRDefault="00A7461C">
    <w:pPr>
      <w:pBdr>
        <w:top w:val="nil"/>
        <w:left w:val="nil"/>
        <w:bottom w:val="nil"/>
        <w:right w:val="nil"/>
        <w:between w:val="nil"/>
      </w:pBdr>
      <w:tabs>
        <w:tab w:val="center" w:pos="4536"/>
        <w:tab w:val="right" w:pos="9072"/>
      </w:tabs>
      <w:rPr>
        <w:color w:val="000000"/>
        <w:szCs w:val="22"/>
      </w:rPr>
    </w:pPr>
    <w:r>
      <w:rPr>
        <w:noProof/>
        <w:color w:val="000000"/>
        <w:szCs w:val="22"/>
      </w:rPr>
      <w:drawing>
        <wp:inline distT="0" distB="0" distL="0" distR="0" wp14:anchorId="1AFB09D4" wp14:editId="502C9891">
          <wp:extent cx="2343917" cy="42062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QA_mainlogo_blue_V1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917" cy="420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08B2"/>
    <w:multiLevelType w:val="hybridMultilevel"/>
    <w:tmpl w:val="AFD64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B132F4"/>
    <w:multiLevelType w:val="multilevel"/>
    <w:tmpl w:val="DD20C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D65036"/>
    <w:multiLevelType w:val="multilevel"/>
    <w:tmpl w:val="D7D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04EF6"/>
    <w:multiLevelType w:val="hybridMultilevel"/>
    <w:tmpl w:val="A1C48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C896B58"/>
    <w:multiLevelType w:val="multilevel"/>
    <w:tmpl w:val="DA9C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316CF"/>
    <w:multiLevelType w:val="hybridMultilevel"/>
    <w:tmpl w:val="E1866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0C664FC"/>
    <w:multiLevelType w:val="hybridMultilevel"/>
    <w:tmpl w:val="EDAA2E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26044896">
    <w:abstractNumId w:val="1"/>
  </w:num>
  <w:num w:numId="2" w16cid:durableId="2124959305">
    <w:abstractNumId w:val="0"/>
  </w:num>
  <w:num w:numId="3" w16cid:durableId="885525755">
    <w:abstractNumId w:val="3"/>
  </w:num>
  <w:num w:numId="4" w16cid:durableId="460608879">
    <w:abstractNumId w:val="5"/>
  </w:num>
  <w:num w:numId="5" w16cid:durableId="523710086">
    <w:abstractNumId w:val="6"/>
  </w:num>
  <w:num w:numId="6" w16cid:durableId="1317877625">
    <w:abstractNumId w:val="2"/>
  </w:num>
  <w:num w:numId="7" w16cid:durableId="90245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6C"/>
    <w:rsid w:val="00001968"/>
    <w:rsid w:val="00005E7E"/>
    <w:rsid w:val="0000790C"/>
    <w:rsid w:val="00007D45"/>
    <w:rsid w:val="00010735"/>
    <w:rsid w:val="00014BF3"/>
    <w:rsid w:val="00015CC4"/>
    <w:rsid w:val="00035DCA"/>
    <w:rsid w:val="00040DAC"/>
    <w:rsid w:val="00044B3B"/>
    <w:rsid w:val="0005285C"/>
    <w:rsid w:val="00065AFF"/>
    <w:rsid w:val="00067AFD"/>
    <w:rsid w:val="00070338"/>
    <w:rsid w:val="00072178"/>
    <w:rsid w:val="00075254"/>
    <w:rsid w:val="00075432"/>
    <w:rsid w:val="00086D71"/>
    <w:rsid w:val="0008761D"/>
    <w:rsid w:val="0008773E"/>
    <w:rsid w:val="000916D3"/>
    <w:rsid w:val="00096435"/>
    <w:rsid w:val="00096EAC"/>
    <w:rsid w:val="000A0720"/>
    <w:rsid w:val="000A1F97"/>
    <w:rsid w:val="000A23F9"/>
    <w:rsid w:val="000A240E"/>
    <w:rsid w:val="000A52EC"/>
    <w:rsid w:val="000A5538"/>
    <w:rsid w:val="000B1701"/>
    <w:rsid w:val="000B285E"/>
    <w:rsid w:val="000B3DF6"/>
    <w:rsid w:val="000B5B77"/>
    <w:rsid w:val="000B7953"/>
    <w:rsid w:val="000C074D"/>
    <w:rsid w:val="000C2A80"/>
    <w:rsid w:val="000D293A"/>
    <w:rsid w:val="000D500A"/>
    <w:rsid w:val="000E2E95"/>
    <w:rsid w:val="000E37B0"/>
    <w:rsid w:val="000E42E3"/>
    <w:rsid w:val="000E4C95"/>
    <w:rsid w:val="000F31C1"/>
    <w:rsid w:val="000F5577"/>
    <w:rsid w:val="000F7E6E"/>
    <w:rsid w:val="00104651"/>
    <w:rsid w:val="0011285C"/>
    <w:rsid w:val="001153F5"/>
    <w:rsid w:val="00127ADB"/>
    <w:rsid w:val="00132FF5"/>
    <w:rsid w:val="00133EA3"/>
    <w:rsid w:val="00134BD3"/>
    <w:rsid w:val="00147EB1"/>
    <w:rsid w:val="0015022A"/>
    <w:rsid w:val="001515EE"/>
    <w:rsid w:val="00155600"/>
    <w:rsid w:val="00157137"/>
    <w:rsid w:val="00166A49"/>
    <w:rsid w:val="0017116C"/>
    <w:rsid w:val="001776C6"/>
    <w:rsid w:val="00180430"/>
    <w:rsid w:val="0018262E"/>
    <w:rsid w:val="001835D9"/>
    <w:rsid w:val="00186FF3"/>
    <w:rsid w:val="00187453"/>
    <w:rsid w:val="001946A6"/>
    <w:rsid w:val="00194779"/>
    <w:rsid w:val="00196178"/>
    <w:rsid w:val="001A15D5"/>
    <w:rsid w:val="001A514E"/>
    <w:rsid w:val="001B17A7"/>
    <w:rsid w:val="001B1AF9"/>
    <w:rsid w:val="001B3EF4"/>
    <w:rsid w:val="001B7E28"/>
    <w:rsid w:val="001C13DD"/>
    <w:rsid w:val="001C2329"/>
    <w:rsid w:val="001D3DCA"/>
    <w:rsid w:val="001D7D8A"/>
    <w:rsid w:val="001F1611"/>
    <w:rsid w:val="001F7E75"/>
    <w:rsid w:val="00203332"/>
    <w:rsid w:val="00205FDD"/>
    <w:rsid w:val="00220366"/>
    <w:rsid w:val="00223A20"/>
    <w:rsid w:val="00223F92"/>
    <w:rsid w:val="00227F97"/>
    <w:rsid w:val="00233606"/>
    <w:rsid w:val="00242B24"/>
    <w:rsid w:val="002510E8"/>
    <w:rsid w:val="00251410"/>
    <w:rsid w:val="00253227"/>
    <w:rsid w:val="00253AE0"/>
    <w:rsid w:val="00254B0C"/>
    <w:rsid w:val="002559A3"/>
    <w:rsid w:val="00264994"/>
    <w:rsid w:val="002720BA"/>
    <w:rsid w:val="00272CB4"/>
    <w:rsid w:val="00281A9E"/>
    <w:rsid w:val="00290560"/>
    <w:rsid w:val="00292CAE"/>
    <w:rsid w:val="0029381E"/>
    <w:rsid w:val="00297222"/>
    <w:rsid w:val="002A4131"/>
    <w:rsid w:val="002A6B98"/>
    <w:rsid w:val="002B2524"/>
    <w:rsid w:val="002B46F7"/>
    <w:rsid w:val="002B72F6"/>
    <w:rsid w:val="002C0130"/>
    <w:rsid w:val="002C1AD2"/>
    <w:rsid w:val="002C23F4"/>
    <w:rsid w:val="002C27C9"/>
    <w:rsid w:val="002C644E"/>
    <w:rsid w:val="002C7108"/>
    <w:rsid w:val="002C770B"/>
    <w:rsid w:val="002D16C6"/>
    <w:rsid w:val="002D482D"/>
    <w:rsid w:val="002E2B33"/>
    <w:rsid w:val="002E50F8"/>
    <w:rsid w:val="002F3B32"/>
    <w:rsid w:val="002F7994"/>
    <w:rsid w:val="00312CA0"/>
    <w:rsid w:val="00316056"/>
    <w:rsid w:val="003164B4"/>
    <w:rsid w:val="0031655B"/>
    <w:rsid w:val="0032263B"/>
    <w:rsid w:val="00333B2C"/>
    <w:rsid w:val="00337172"/>
    <w:rsid w:val="00341725"/>
    <w:rsid w:val="00351E3A"/>
    <w:rsid w:val="00352401"/>
    <w:rsid w:val="00354EFC"/>
    <w:rsid w:val="00355E65"/>
    <w:rsid w:val="00356D43"/>
    <w:rsid w:val="0035751A"/>
    <w:rsid w:val="00360AAA"/>
    <w:rsid w:val="00360AC2"/>
    <w:rsid w:val="00366718"/>
    <w:rsid w:val="00367E9D"/>
    <w:rsid w:val="00372C3F"/>
    <w:rsid w:val="003746B9"/>
    <w:rsid w:val="00380B26"/>
    <w:rsid w:val="003829EE"/>
    <w:rsid w:val="003845C1"/>
    <w:rsid w:val="003875ED"/>
    <w:rsid w:val="0038763B"/>
    <w:rsid w:val="00393491"/>
    <w:rsid w:val="003948D2"/>
    <w:rsid w:val="003949F8"/>
    <w:rsid w:val="003952CE"/>
    <w:rsid w:val="00395815"/>
    <w:rsid w:val="003A1AFA"/>
    <w:rsid w:val="003A26A7"/>
    <w:rsid w:val="003A33A2"/>
    <w:rsid w:val="003A5C75"/>
    <w:rsid w:val="003B536D"/>
    <w:rsid w:val="003B77FF"/>
    <w:rsid w:val="003C5881"/>
    <w:rsid w:val="003C78D2"/>
    <w:rsid w:val="003D0085"/>
    <w:rsid w:val="003D0804"/>
    <w:rsid w:val="003D5B1C"/>
    <w:rsid w:val="003D5E27"/>
    <w:rsid w:val="003E14AA"/>
    <w:rsid w:val="003E21FC"/>
    <w:rsid w:val="003E2CBF"/>
    <w:rsid w:val="003E2FCB"/>
    <w:rsid w:val="003E470F"/>
    <w:rsid w:val="003E4EC2"/>
    <w:rsid w:val="003E7215"/>
    <w:rsid w:val="003E7EED"/>
    <w:rsid w:val="0040186C"/>
    <w:rsid w:val="00403F47"/>
    <w:rsid w:val="00405CA0"/>
    <w:rsid w:val="00411382"/>
    <w:rsid w:val="0041152B"/>
    <w:rsid w:val="0041162F"/>
    <w:rsid w:val="00412361"/>
    <w:rsid w:val="00415087"/>
    <w:rsid w:val="0041693C"/>
    <w:rsid w:val="004272F6"/>
    <w:rsid w:val="00427D25"/>
    <w:rsid w:val="004426BD"/>
    <w:rsid w:val="00443C21"/>
    <w:rsid w:val="00444D0E"/>
    <w:rsid w:val="004450EB"/>
    <w:rsid w:val="00450DEE"/>
    <w:rsid w:val="004544A2"/>
    <w:rsid w:val="00454B9B"/>
    <w:rsid w:val="00457A2B"/>
    <w:rsid w:val="00462889"/>
    <w:rsid w:val="00471604"/>
    <w:rsid w:val="00475A36"/>
    <w:rsid w:val="00481C30"/>
    <w:rsid w:val="0048223C"/>
    <w:rsid w:val="0048582E"/>
    <w:rsid w:val="00490022"/>
    <w:rsid w:val="004951E3"/>
    <w:rsid w:val="00497163"/>
    <w:rsid w:val="00497E46"/>
    <w:rsid w:val="004A0EB6"/>
    <w:rsid w:val="004A3018"/>
    <w:rsid w:val="004B221B"/>
    <w:rsid w:val="004B2260"/>
    <w:rsid w:val="004B49B4"/>
    <w:rsid w:val="004C72A7"/>
    <w:rsid w:val="004E3673"/>
    <w:rsid w:val="004E539A"/>
    <w:rsid w:val="004E5782"/>
    <w:rsid w:val="004F5A28"/>
    <w:rsid w:val="00502782"/>
    <w:rsid w:val="005074FB"/>
    <w:rsid w:val="0051412D"/>
    <w:rsid w:val="005149FF"/>
    <w:rsid w:val="005157BE"/>
    <w:rsid w:val="00522193"/>
    <w:rsid w:val="00525303"/>
    <w:rsid w:val="00526AD1"/>
    <w:rsid w:val="0053094C"/>
    <w:rsid w:val="0053266B"/>
    <w:rsid w:val="00535F64"/>
    <w:rsid w:val="00552CEB"/>
    <w:rsid w:val="00553270"/>
    <w:rsid w:val="00553641"/>
    <w:rsid w:val="00555C8A"/>
    <w:rsid w:val="00557A8E"/>
    <w:rsid w:val="0056054F"/>
    <w:rsid w:val="00563926"/>
    <w:rsid w:val="0057257E"/>
    <w:rsid w:val="0057290D"/>
    <w:rsid w:val="00572C4D"/>
    <w:rsid w:val="005752FD"/>
    <w:rsid w:val="0057601B"/>
    <w:rsid w:val="00583E3E"/>
    <w:rsid w:val="005842CE"/>
    <w:rsid w:val="005856E0"/>
    <w:rsid w:val="00587A2E"/>
    <w:rsid w:val="00591ECE"/>
    <w:rsid w:val="005920F2"/>
    <w:rsid w:val="005938FB"/>
    <w:rsid w:val="005A0752"/>
    <w:rsid w:val="005A6BB5"/>
    <w:rsid w:val="005B1E71"/>
    <w:rsid w:val="005B608B"/>
    <w:rsid w:val="005B7809"/>
    <w:rsid w:val="005C09E2"/>
    <w:rsid w:val="005C1FF6"/>
    <w:rsid w:val="005C2779"/>
    <w:rsid w:val="005C3268"/>
    <w:rsid w:val="005C4C53"/>
    <w:rsid w:val="005C7E63"/>
    <w:rsid w:val="005E514D"/>
    <w:rsid w:val="005E5878"/>
    <w:rsid w:val="005F3B13"/>
    <w:rsid w:val="005F5D30"/>
    <w:rsid w:val="005F7005"/>
    <w:rsid w:val="006073AB"/>
    <w:rsid w:val="00610B71"/>
    <w:rsid w:val="00611D49"/>
    <w:rsid w:val="00613F99"/>
    <w:rsid w:val="00614844"/>
    <w:rsid w:val="00615219"/>
    <w:rsid w:val="00615A22"/>
    <w:rsid w:val="00617230"/>
    <w:rsid w:val="0062399C"/>
    <w:rsid w:val="006368C0"/>
    <w:rsid w:val="0063730A"/>
    <w:rsid w:val="00641715"/>
    <w:rsid w:val="00646DB2"/>
    <w:rsid w:val="00654C50"/>
    <w:rsid w:val="00662D6E"/>
    <w:rsid w:val="00663382"/>
    <w:rsid w:val="00670455"/>
    <w:rsid w:val="00673C43"/>
    <w:rsid w:val="00676139"/>
    <w:rsid w:val="0067669D"/>
    <w:rsid w:val="00676C08"/>
    <w:rsid w:val="00681BFA"/>
    <w:rsid w:val="0068440F"/>
    <w:rsid w:val="00685639"/>
    <w:rsid w:val="006A3750"/>
    <w:rsid w:val="006A6016"/>
    <w:rsid w:val="006B10DE"/>
    <w:rsid w:val="006B389D"/>
    <w:rsid w:val="006B3B12"/>
    <w:rsid w:val="006B68A1"/>
    <w:rsid w:val="006B7BF9"/>
    <w:rsid w:val="006C1F33"/>
    <w:rsid w:val="006C319A"/>
    <w:rsid w:val="006C33FC"/>
    <w:rsid w:val="006C3412"/>
    <w:rsid w:val="006D040D"/>
    <w:rsid w:val="006D0CCE"/>
    <w:rsid w:val="006D3FB9"/>
    <w:rsid w:val="006D5029"/>
    <w:rsid w:val="006D5323"/>
    <w:rsid w:val="006E4A1A"/>
    <w:rsid w:val="006E4B64"/>
    <w:rsid w:val="006E5A43"/>
    <w:rsid w:val="007037F2"/>
    <w:rsid w:val="00710BC7"/>
    <w:rsid w:val="00714708"/>
    <w:rsid w:val="0072363A"/>
    <w:rsid w:val="0072370A"/>
    <w:rsid w:val="00724E02"/>
    <w:rsid w:val="0072582B"/>
    <w:rsid w:val="007277F1"/>
    <w:rsid w:val="007332A1"/>
    <w:rsid w:val="007340F5"/>
    <w:rsid w:val="00737AD6"/>
    <w:rsid w:val="00750353"/>
    <w:rsid w:val="007518C3"/>
    <w:rsid w:val="00752AD1"/>
    <w:rsid w:val="007621E1"/>
    <w:rsid w:val="007626A6"/>
    <w:rsid w:val="00762E91"/>
    <w:rsid w:val="0076417E"/>
    <w:rsid w:val="00764E0A"/>
    <w:rsid w:val="007704BE"/>
    <w:rsid w:val="00770993"/>
    <w:rsid w:val="0078041A"/>
    <w:rsid w:val="007862B0"/>
    <w:rsid w:val="00786B68"/>
    <w:rsid w:val="007911FC"/>
    <w:rsid w:val="0079122D"/>
    <w:rsid w:val="00794AA4"/>
    <w:rsid w:val="00797564"/>
    <w:rsid w:val="007A676F"/>
    <w:rsid w:val="007A7E7C"/>
    <w:rsid w:val="007C0C8C"/>
    <w:rsid w:val="007C4FF0"/>
    <w:rsid w:val="007C6B4E"/>
    <w:rsid w:val="007D1C6D"/>
    <w:rsid w:val="007D2AA4"/>
    <w:rsid w:val="007D5F74"/>
    <w:rsid w:val="007E2727"/>
    <w:rsid w:val="007E2AA6"/>
    <w:rsid w:val="007F0303"/>
    <w:rsid w:val="007F3031"/>
    <w:rsid w:val="007F31B6"/>
    <w:rsid w:val="007F47EB"/>
    <w:rsid w:val="00803B10"/>
    <w:rsid w:val="00806373"/>
    <w:rsid w:val="00811400"/>
    <w:rsid w:val="00813C3A"/>
    <w:rsid w:val="00825BE9"/>
    <w:rsid w:val="008323E5"/>
    <w:rsid w:val="008344D7"/>
    <w:rsid w:val="00837A97"/>
    <w:rsid w:val="00840489"/>
    <w:rsid w:val="00841D8C"/>
    <w:rsid w:val="00845230"/>
    <w:rsid w:val="0084544A"/>
    <w:rsid w:val="0084556E"/>
    <w:rsid w:val="00852A26"/>
    <w:rsid w:val="00852EE3"/>
    <w:rsid w:val="00853B61"/>
    <w:rsid w:val="00856454"/>
    <w:rsid w:val="00863348"/>
    <w:rsid w:val="008638F0"/>
    <w:rsid w:val="00863F84"/>
    <w:rsid w:val="00873FE3"/>
    <w:rsid w:val="00876421"/>
    <w:rsid w:val="00877830"/>
    <w:rsid w:val="00890772"/>
    <w:rsid w:val="00897702"/>
    <w:rsid w:val="008A1665"/>
    <w:rsid w:val="008A2EB6"/>
    <w:rsid w:val="008A7EE8"/>
    <w:rsid w:val="008B2AEE"/>
    <w:rsid w:val="008B39B8"/>
    <w:rsid w:val="008B6FE2"/>
    <w:rsid w:val="008C0894"/>
    <w:rsid w:val="008D2495"/>
    <w:rsid w:val="008D29AC"/>
    <w:rsid w:val="008D50B3"/>
    <w:rsid w:val="008E5394"/>
    <w:rsid w:val="008E5E6D"/>
    <w:rsid w:val="008E66A8"/>
    <w:rsid w:val="008E6FDD"/>
    <w:rsid w:val="008F1801"/>
    <w:rsid w:val="008F1C7A"/>
    <w:rsid w:val="008F327B"/>
    <w:rsid w:val="008F406F"/>
    <w:rsid w:val="008F5657"/>
    <w:rsid w:val="00906716"/>
    <w:rsid w:val="0090797B"/>
    <w:rsid w:val="00907DE2"/>
    <w:rsid w:val="009179EC"/>
    <w:rsid w:val="009216D9"/>
    <w:rsid w:val="00922735"/>
    <w:rsid w:val="00922B3C"/>
    <w:rsid w:val="00924A71"/>
    <w:rsid w:val="0093515A"/>
    <w:rsid w:val="00940FA4"/>
    <w:rsid w:val="0094258D"/>
    <w:rsid w:val="00943154"/>
    <w:rsid w:val="00943CC9"/>
    <w:rsid w:val="009473BB"/>
    <w:rsid w:val="009508A1"/>
    <w:rsid w:val="00951457"/>
    <w:rsid w:val="009516DB"/>
    <w:rsid w:val="00953C7A"/>
    <w:rsid w:val="00964D8C"/>
    <w:rsid w:val="00964E26"/>
    <w:rsid w:val="00964F2A"/>
    <w:rsid w:val="00971080"/>
    <w:rsid w:val="00972D2C"/>
    <w:rsid w:val="0097533D"/>
    <w:rsid w:val="009756C1"/>
    <w:rsid w:val="0097592B"/>
    <w:rsid w:val="009779A0"/>
    <w:rsid w:val="00981E05"/>
    <w:rsid w:val="00983905"/>
    <w:rsid w:val="00984BAB"/>
    <w:rsid w:val="00990FCC"/>
    <w:rsid w:val="00997FFC"/>
    <w:rsid w:val="009A1EAB"/>
    <w:rsid w:val="009A20EB"/>
    <w:rsid w:val="009A220E"/>
    <w:rsid w:val="009A2F42"/>
    <w:rsid w:val="009A472B"/>
    <w:rsid w:val="009A6472"/>
    <w:rsid w:val="009A72DB"/>
    <w:rsid w:val="009A7D69"/>
    <w:rsid w:val="009B17E4"/>
    <w:rsid w:val="009B2B5A"/>
    <w:rsid w:val="009B7A12"/>
    <w:rsid w:val="009C6185"/>
    <w:rsid w:val="009C6B13"/>
    <w:rsid w:val="009C753C"/>
    <w:rsid w:val="009C7BB6"/>
    <w:rsid w:val="009C7C29"/>
    <w:rsid w:val="009D16B6"/>
    <w:rsid w:val="009D1A50"/>
    <w:rsid w:val="009D4D97"/>
    <w:rsid w:val="009D509F"/>
    <w:rsid w:val="009E0CD3"/>
    <w:rsid w:val="009E708B"/>
    <w:rsid w:val="009E74A1"/>
    <w:rsid w:val="009E75E2"/>
    <w:rsid w:val="009F0A3F"/>
    <w:rsid w:val="009F1784"/>
    <w:rsid w:val="009F328D"/>
    <w:rsid w:val="009F3504"/>
    <w:rsid w:val="009F4E50"/>
    <w:rsid w:val="00A00BEF"/>
    <w:rsid w:val="00A06561"/>
    <w:rsid w:val="00A10026"/>
    <w:rsid w:val="00A10169"/>
    <w:rsid w:val="00A106C6"/>
    <w:rsid w:val="00A11EF9"/>
    <w:rsid w:val="00A16A84"/>
    <w:rsid w:val="00A2009A"/>
    <w:rsid w:val="00A30967"/>
    <w:rsid w:val="00A325DE"/>
    <w:rsid w:val="00A369A6"/>
    <w:rsid w:val="00A41785"/>
    <w:rsid w:val="00A41C4E"/>
    <w:rsid w:val="00A41EBE"/>
    <w:rsid w:val="00A42490"/>
    <w:rsid w:val="00A46058"/>
    <w:rsid w:val="00A46146"/>
    <w:rsid w:val="00A5212D"/>
    <w:rsid w:val="00A53C1F"/>
    <w:rsid w:val="00A61C17"/>
    <w:rsid w:val="00A61CAF"/>
    <w:rsid w:val="00A65705"/>
    <w:rsid w:val="00A66F72"/>
    <w:rsid w:val="00A72A47"/>
    <w:rsid w:val="00A74339"/>
    <w:rsid w:val="00A7461C"/>
    <w:rsid w:val="00A760F7"/>
    <w:rsid w:val="00A772E0"/>
    <w:rsid w:val="00A83908"/>
    <w:rsid w:val="00A83A1C"/>
    <w:rsid w:val="00A849E1"/>
    <w:rsid w:val="00A92E45"/>
    <w:rsid w:val="00A92FBE"/>
    <w:rsid w:val="00A93C3D"/>
    <w:rsid w:val="00A94630"/>
    <w:rsid w:val="00A94C1B"/>
    <w:rsid w:val="00AA0D57"/>
    <w:rsid w:val="00AA7946"/>
    <w:rsid w:val="00AB207F"/>
    <w:rsid w:val="00AB762A"/>
    <w:rsid w:val="00AB762C"/>
    <w:rsid w:val="00AD3C4A"/>
    <w:rsid w:val="00AD5EF5"/>
    <w:rsid w:val="00AD7E0F"/>
    <w:rsid w:val="00AE0A53"/>
    <w:rsid w:val="00AE1AC3"/>
    <w:rsid w:val="00AE6764"/>
    <w:rsid w:val="00AE72B0"/>
    <w:rsid w:val="00AF247A"/>
    <w:rsid w:val="00AF5984"/>
    <w:rsid w:val="00B01C7F"/>
    <w:rsid w:val="00B0667D"/>
    <w:rsid w:val="00B075DE"/>
    <w:rsid w:val="00B11621"/>
    <w:rsid w:val="00B137E8"/>
    <w:rsid w:val="00B1419B"/>
    <w:rsid w:val="00B26B01"/>
    <w:rsid w:val="00B30A4E"/>
    <w:rsid w:val="00B3347B"/>
    <w:rsid w:val="00B3645F"/>
    <w:rsid w:val="00B54F76"/>
    <w:rsid w:val="00B62CAD"/>
    <w:rsid w:val="00B64FC7"/>
    <w:rsid w:val="00B66A2E"/>
    <w:rsid w:val="00B70607"/>
    <w:rsid w:val="00B7190C"/>
    <w:rsid w:val="00B80CFC"/>
    <w:rsid w:val="00B846C2"/>
    <w:rsid w:val="00B869C8"/>
    <w:rsid w:val="00B92D72"/>
    <w:rsid w:val="00B93E9B"/>
    <w:rsid w:val="00B94D04"/>
    <w:rsid w:val="00B94F6C"/>
    <w:rsid w:val="00B95C56"/>
    <w:rsid w:val="00B97A57"/>
    <w:rsid w:val="00BA1D5B"/>
    <w:rsid w:val="00BA3643"/>
    <w:rsid w:val="00BA5A8B"/>
    <w:rsid w:val="00BB013F"/>
    <w:rsid w:val="00BB3A41"/>
    <w:rsid w:val="00BB5268"/>
    <w:rsid w:val="00BB54F2"/>
    <w:rsid w:val="00BB6115"/>
    <w:rsid w:val="00BC0BBF"/>
    <w:rsid w:val="00BD1E95"/>
    <w:rsid w:val="00BD5FB8"/>
    <w:rsid w:val="00BE06F2"/>
    <w:rsid w:val="00BE697D"/>
    <w:rsid w:val="00BE76CC"/>
    <w:rsid w:val="00BF70A5"/>
    <w:rsid w:val="00BF7286"/>
    <w:rsid w:val="00C01DCF"/>
    <w:rsid w:val="00C0296B"/>
    <w:rsid w:val="00C045E6"/>
    <w:rsid w:val="00C052A4"/>
    <w:rsid w:val="00C10283"/>
    <w:rsid w:val="00C17A0E"/>
    <w:rsid w:val="00C201E2"/>
    <w:rsid w:val="00C2052F"/>
    <w:rsid w:val="00C27CDD"/>
    <w:rsid w:val="00C30253"/>
    <w:rsid w:val="00C32388"/>
    <w:rsid w:val="00C329FB"/>
    <w:rsid w:val="00C35A34"/>
    <w:rsid w:val="00C41E7E"/>
    <w:rsid w:val="00C42A00"/>
    <w:rsid w:val="00C4684D"/>
    <w:rsid w:val="00C47482"/>
    <w:rsid w:val="00C51AAA"/>
    <w:rsid w:val="00C534B9"/>
    <w:rsid w:val="00C53C3E"/>
    <w:rsid w:val="00C53FB5"/>
    <w:rsid w:val="00C5619A"/>
    <w:rsid w:val="00C61E9A"/>
    <w:rsid w:val="00C65F87"/>
    <w:rsid w:val="00C6792E"/>
    <w:rsid w:val="00C71D7E"/>
    <w:rsid w:val="00C725D8"/>
    <w:rsid w:val="00C74686"/>
    <w:rsid w:val="00C75A29"/>
    <w:rsid w:val="00C77690"/>
    <w:rsid w:val="00C81274"/>
    <w:rsid w:val="00C831D1"/>
    <w:rsid w:val="00C8475C"/>
    <w:rsid w:val="00C84978"/>
    <w:rsid w:val="00C84CBD"/>
    <w:rsid w:val="00C861A3"/>
    <w:rsid w:val="00C91A02"/>
    <w:rsid w:val="00C92449"/>
    <w:rsid w:val="00C9726C"/>
    <w:rsid w:val="00CA6F40"/>
    <w:rsid w:val="00CB23DB"/>
    <w:rsid w:val="00CB33DF"/>
    <w:rsid w:val="00CC42C2"/>
    <w:rsid w:val="00CC6698"/>
    <w:rsid w:val="00CC760C"/>
    <w:rsid w:val="00CD32C5"/>
    <w:rsid w:val="00CD5275"/>
    <w:rsid w:val="00CD7B17"/>
    <w:rsid w:val="00CF4FD4"/>
    <w:rsid w:val="00D0095F"/>
    <w:rsid w:val="00D05315"/>
    <w:rsid w:val="00D13C8A"/>
    <w:rsid w:val="00D260FE"/>
    <w:rsid w:val="00D263EE"/>
    <w:rsid w:val="00D2688A"/>
    <w:rsid w:val="00D2693D"/>
    <w:rsid w:val="00D2711C"/>
    <w:rsid w:val="00D4198C"/>
    <w:rsid w:val="00D44042"/>
    <w:rsid w:val="00D508D3"/>
    <w:rsid w:val="00D53C50"/>
    <w:rsid w:val="00D605EA"/>
    <w:rsid w:val="00D60E83"/>
    <w:rsid w:val="00D64A77"/>
    <w:rsid w:val="00D73414"/>
    <w:rsid w:val="00D74B68"/>
    <w:rsid w:val="00D7785F"/>
    <w:rsid w:val="00D82FCE"/>
    <w:rsid w:val="00D83043"/>
    <w:rsid w:val="00D83C25"/>
    <w:rsid w:val="00D9174F"/>
    <w:rsid w:val="00D91A00"/>
    <w:rsid w:val="00D95E9D"/>
    <w:rsid w:val="00D96693"/>
    <w:rsid w:val="00DA0EA6"/>
    <w:rsid w:val="00DA3EDE"/>
    <w:rsid w:val="00DB4D1F"/>
    <w:rsid w:val="00DB59E6"/>
    <w:rsid w:val="00DB7A15"/>
    <w:rsid w:val="00DC231C"/>
    <w:rsid w:val="00DC4375"/>
    <w:rsid w:val="00DC51FF"/>
    <w:rsid w:val="00DC63AE"/>
    <w:rsid w:val="00DD17B6"/>
    <w:rsid w:val="00DD1E45"/>
    <w:rsid w:val="00DE09F8"/>
    <w:rsid w:val="00DE0E3E"/>
    <w:rsid w:val="00DE20D3"/>
    <w:rsid w:val="00DE4222"/>
    <w:rsid w:val="00DE4B84"/>
    <w:rsid w:val="00DF0C06"/>
    <w:rsid w:val="00DF1A7F"/>
    <w:rsid w:val="00DF2B3C"/>
    <w:rsid w:val="00E01FCA"/>
    <w:rsid w:val="00E10D0E"/>
    <w:rsid w:val="00E11912"/>
    <w:rsid w:val="00E120A0"/>
    <w:rsid w:val="00E12D2F"/>
    <w:rsid w:val="00E13E68"/>
    <w:rsid w:val="00E1448B"/>
    <w:rsid w:val="00E20072"/>
    <w:rsid w:val="00E205D3"/>
    <w:rsid w:val="00E20DC2"/>
    <w:rsid w:val="00E210A8"/>
    <w:rsid w:val="00E238B8"/>
    <w:rsid w:val="00E253F5"/>
    <w:rsid w:val="00E27A65"/>
    <w:rsid w:val="00E300A6"/>
    <w:rsid w:val="00E31D2C"/>
    <w:rsid w:val="00E32B68"/>
    <w:rsid w:val="00E33D51"/>
    <w:rsid w:val="00E34838"/>
    <w:rsid w:val="00E37C95"/>
    <w:rsid w:val="00E425C9"/>
    <w:rsid w:val="00E432E5"/>
    <w:rsid w:val="00E44DBD"/>
    <w:rsid w:val="00E50724"/>
    <w:rsid w:val="00E50AA7"/>
    <w:rsid w:val="00E51437"/>
    <w:rsid w:val="00E51C55"/>
    <w:rsid w:val="00E54F0A"/>
    <w:rsid w:val="00E56E9E"/>
    <w:rsid w:val="00E61A8C"/>
    <w:rsid w:val="00E62A7B"/>
    <w:rsid w:val="00E65013"/>
    <w:rsid w:val="00E652AE"/>
    <w:rsid w:val="00E67799"/>
    <w:rsid w:val="00E67911"/>
    <w:rsid w:val="00E709D2"/>
    <w:rsid w:val="00E83AF9"/>
    <w:rsid w:val="00E8540F"/>
    <w:rsid w:val="00E857B7"/>
    <w:rsid w:val="00E86402"/>
    <w:rsid w:val="00E9039B"/>
    <w:rsid w:val="00E92270"/>
    <w:rsid w:val="00E937B2"/>
    <w:rsid w:val="00E9560F"/>
    <w:rsid w:val="00E958D9"/>
    <w:rsid w:val="00E97137"/>
    <w:rsid w:val="00EA2A7F"/>
    <w:rsid w:val="00EA3341"/>
    <w:rsid w:val="00EA528C"/>
    <w:rsid w:val="00EA7567"/>
    <w:rsid w:val="00EB0B30"/>
    <w:rsid w:val="00EB22EF"/>
    <w:rsid w:val="00EC3BB3"/>
    <w:rsid w:val="00EC3FA1"/>
    <w:rsid w:val="00EC4116"/>
    <w:rsid w:val="00EC5F65"/>
    <w:rsid w:val="00EC7703"/>
    <w:rsid w:val="00ED09FD"/>
    <w:rsid w:val="00ED128B"/>
    <w:rsid w:val="00ED2575"/>
    <w:rsid w:val="00EE5FE4"/>
    <w:rsid w:val="00EE683C"/>
    <w:rsid w:val="00EF3BF5"/>
    <w:rsid w:val="00EF4B32"/>
    <w:rsid w:val="00F05AD5"/>
    <w:rsid w:val="00F05D0B"/>
    <w:rsid w:val="00F10990"/>
    <w:rsid w:val="00F10CCB"/>
    <w:rsid w:val="00F11E5C"/>
    <w:rsid w:val="00F121F0"/>
    <w:rsid w:val="00F14506"/>
    <w:rsid w:val="00F1755B"/>
    <w:rsid w:val="00F21B16"/>
    <w:rsid w:val="00F23426"/>
    <w:rsid w:val="00F254F8"/>
    <w:rsid w:val="00F2737D"/>
    <w:rsid w:val="00F30558"/>
    <w:rsid w:val="00F3089B"/>
    <w:rsid w:val="00F30B9E"/>
    <w:rsid w:val="00F3174B"/>
    <w:rsid w:val="00F33A8E"/>
    <w:rsid w:val="00F3407C"/>
    <w:rsid w:val="00F35107"/>
    <w:rsid w:val="00F375C2"/>
    <w:rsid w:val="00F45A42"/>
    <w:rsid w:val="00F468AD"/>
    <w:rsid w:val="00F5412E"/>
    <w:rsid w:val="00F57CCE"/>
    <w:rsid w:val="00F64C8C"/>
    <w:rsid w:val="00F65AFB"/>
    <w:rsid w:val="00F66F8F"/>
    <w:rsid w:val="00F70264"/>
    <w:rsid w:val="00F7589B"/>
    <w:rsid w:val="00F75E12"/>
    <w:rsid w:val="00F85585"/>
    <w:rsid w:val="00F92B18"/>
    <w:rsid w:val="00F92DF3"/>
    <w:rsid w:val="00F92FF8"/>
    <w:rsid w:val="00F93179"/>
    <w:rsid w:val="00FA0038"/>
    <w:rsid w:val="00FA022E"/>
    <w:rsid w:val="00FA44DB"/>
    <w:rsid w:val="00FB644C"/>
    <w:rsid w:val="00FC1242"/>
    <w:rsid w:val="00FC1C07"/>
    <w:rsid w:val="00FC367A"/>
    <w:rsid w:val="00FC4DAC"/>
    <w:rsid w:val="00FC564F"/>
    <w:rsid w:val="00FD0CF9"/>
    <w:rsid w:val="00FD32D2"/>
    <w:rsid w:val="00FD508A"/>
    <w:rsid w:val="00FD65BB"/>
    <w:rsid w:val="00FD6870"/>
    <w:rsid w:val="00FD6881"/>
    <w:rsid w:val="00FE0707"/>
    <w:rsid w:val="00FE7FFC"/>
    <w:rsid w:val="00FF1AB8"/>
    <w:rsid w:val="00FF30F2"/>
    <w:rsid w:val="07F0B8E8"/>
    <w:rsid w:val="09351CF1"/>
    <w:rsid w:val="09BED7A5"/>
    <w:rsid w:val="0B5ED644"/>
    <w:rsid w:val="0CC42A0B"/>
    <w:rsid w:val="0D7424FF"/>
    <w:rsid w:val="11402ED6"/>
    <w:rsid w:val="1141F4E5"/>
    <w:rsid w:val="1263EE6E"/>
    <w:rsid w:val="1279E47E"/>
    <w:rsid w:val="1283709B"/>
    <w:rsid w:val="15B9B893"/>
    <w:rsid w:val="166B0C51"/>
    <w:rsid w:val="1FF0823F"/>
    <w:rsid w:val="22BED628"/>
    <w:rsid w:val="236AA2DE"/>
    <w:rsid w:val="23A2B854"/>
    <w:rsid w:val="23E061F0"/>
    <w:rsid w:val="24AAAFBC"/>
    <w:rsid w:val="25137F78"/>
    <w:rsid w:val="267587C7"/>
    <w:rsid w:val="2751417A"/>
    <w:rsid w:val="2ADDDDAF"/>
    <w:rsid w:val="2B79A15F"/>
    <w:rsid w:val="2EF647E1"/>
    <w:rsid w:val="2F7C7D74"/>
    <w:rsid w:val="30921842"/>
    <w:rsid w:val="3417993F"/>
    <w:rsid w:val="3614883A"/>
    <w:rsid w:val="36BC2EC9"/>
    <w:rsid w:val="3779DC01"/>
    <w:rsid w:val="37894F66"/>
    <w:rsid w:val="39ABDB86"/>
    <w:rsid w:val="3B425908"/>
    <w:rsid w:val="3EF1A6BF"/>
    <w:rsid w:val="4013D2F7"/>
    <w:rsid w:val="4120BE47"/>
    <w:rsid w:val="422C0E7E"/>
    <w:rsid w:val="4294DE3A"/>
    <w:rsid w:val="444A495B"/>
    <w:rsid w:val="45217FFC"/>
    <w:rsid w:val="45F42F6A"/>
    <w:rsid w:val="463CE9EB"/>
    <w:rsid w:val="47A90FED"/>
    <w:rsid w:val="48BB3B77"/>
    <w:rsid w:val="4912A7CF"/>
    <w:rsid w:val="4DDCA4FA"/>
    <w:rsid w:val="574DE305"/>
    <w:rsid w:val="577D2EA0"/>
    <w:rsid w:val="5870296C"/>
    <w:rsid w:val="5B03061A"/>
    <w:rsid w:val="5C6859E1"/>
    <w:rsid w:val="5CE8FE89"/>
    <w:rsid w:val="601B3B5B"/>
    <w:rsid w:val="6061000C"/>
    <w:rsid w:val="6154F103"/>
    <w:rsid w:val="617EBC53"/>
    <w:rsid w:val="63426BA1"/>
    <w:rsid w:val="6564CED4"/>
    <w:rsid w:val="67009F35"/>
    <w:rsid w:val="68BC0027"/>
    <w:rsid w:val="6A39B413"/>
    <w:rsid w:val="6D9D9D5F"/>
    <w:rsid w:val="6E3B8DE1"/>
    <w:rsid w:val="6F451616"/>
    <w:rsid w:val="722C8964"/>
    <w:rsid w:val="72B7206F"/>
    <w:rsid w:val="78B4F0E7"/>
    <w:rsid w:val="78E45A9D"/>
    <w:rsid w:val="7CBAF625"/>
    <w:rsid w:val="7DEA7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24589"/>
  <w15:docId w15:val="{808EAB96-7327-4B50-8CC1-8A1E6BAE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855"/>
    <w:rPr>
      <w:szCs w:val="24"/>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link w:val="Nagwek2Znak"/>
    <w:uiPriority w:val="9"/>
    <w:semiHidden/>
    <w:unhideWhenUsed/>
    <w:qFormat/>
    <w:rsid w:val="00BF0292"/>
    <w:pPr>
      <w:spacing w:before="100" w:beforeAutospacing="1" w:after="100" w:afterAutospacing="1"/>
      <w:outlineLvl w:val="1"/>
    </w:pPr>
    <w:rPr>
      <w:rFonts w:ascii="Times New Roman" w:hAnsi="Times New Roman"/>
      <w:b/>
      <w:bCs/>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rPr>
  </w:style>
  <w:style w:type="paragraph" w:styleId="Nagwek5">
    <w:name w:val="heading 5"/>
    <w:basedOn w:val="Normalny"/>
    <w:next w:val="Normalny"/>
    <w:uiPriority w:val="9"/>
    <w:semiHidden/>
    <w:unhideWhenUsed/>
    <w:qFormat/>
    <w:pPr>
      <w:keepNext/>
      <w:keepLines/>
      <w:spacing w:before="220" w:after="40"/>
      <w:outlineLvl w:val="4"/>
    </w:pPr>
    <w:rPr>
      <w:b/>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Hipercze">
    <w:name w:val="Hyperlink"/>
    <w:rPr>
      <w:color w:val="0000FF"/>
      <w:u w:val="single"/>
    </w:rPr>
  </w:style>
  <w:style w:type="character" w:styleId="UyteHipercze">
    <w:name w:val="FollowedHyperlink"/>
    <w:semiHidden/>
    <w:rPr>
      <w:color w:val="800080"/>
      <w:u w:val="single"/>
    </w:rPr>
  </w:style>
  <w:style w:type="paragraph" w:styleId="Tekstpodstawowy">
    <w:name w:val="Body Text"/>
    <w:basedOn w:val="Normalny"/>
    <w:semiHidden/>
  </w:style>
  <w:style w:type="paragraph" w:styleId="Akapitzlist">
    <w:name w:val="List Paragraph"/>
    <w:aliases w:val="L1,Numerowanie,Akapit z listą5"/>
    <w:basedOn w:val="Normalny"/>
    <w:link w:val="AkapitzlistZnak"/>
    <w:uiPriority w:val="34"/>
    <w:qFormat/>
    <w:rsid w:val="002C4244"/>
    <w:pPr>
      <w:ind w:left="720"/>
    </w:pPr>
    <w:rPr>
      <w:rFonts w:ascii="Calibri" w:eastAsiaTheme="minorHAnsi" w:hAnsi="Calibri" w:cs="Calibri"/>
      <w:szCs w:val="22"/>
      <w:lang w:eastAsia="en-US"/>
    </w:rPr>
  </w:style>
  <w:style w:type="character" w:customStyle="1" w:styleId="Nagwek2Znak">
    <w:name w:val="Nagłówek 2 Znak"/>
    <w:basedOn w:val="Domylnaczcionkaakapitu"/>
    <w:link w:val="Nagwek2"/>
    <w:uiPriority w:val="9"/>
    <w:rsid w:val="00BF0292"/>
    <w:rPr>
      <w:b/>
      <w:bCs/>
      <w:sz w:val="36"/>
      <w:szCs w:val="36"/>
      <w:lang w:val="pl-PL"/>
    </w:rPr>
  </w:style>
  <w:style w:type="paragraph" w:styleId="NormalnyWeb">
    <w:name w:val="Normal (Web)"/>
    <w:basedOn w:val="Normalny"/>
    <w:uiPriority w:val="99"/>
    <w:unhideWhenUsed/>
    <w:rsid w:val="00220021"/>
    <w:pPr>
      <w:spacing w:before="100" w:beforeAutospacing="1" w:after="100" w:afterAutospacing="1"/>
    </w:pPr>
    <w:rPr>
      <w:rFonts w:ascii="Times New Roman" w:eastAsiaTheme="minorHAnsi" w:hAnsi="Times New Roman"/>
      <w:sz w:val="24"/>
    </w:rPr>
  </w:style>
  <w:style w:type="paragraph" w:customStyle="1" w:styleId="gmail-msolistparagraph">
    <w:name w:val="gmail-msolistparagraph"/>
    <w:basedOn w:val="Normalny"/>
    <w:rsid w:val="00674510"/>
    <w:pPr>
      <w:spacing w:before="100" w:beforeAutospacing="1" w:after="100" w:afterAutospacing="1"/>
    </w:pPr>
    <w:rPr>
      <w:rFonts w:ascii="Times New Roman" w:eastAsiaTheme="minorHAnsi" w:hAnsi="Times New Roman"/>
      <w:sz w:val="24"/>
    </w:rPr>
  </w:style>
  <w:style w:type="paragraph" w:customStyle="1" w:styleId="m-7243829663020096734gmail-msolistparagraph">
    <w:name w:val="m_-7243829663020096734gmail-msolistparagraph"/>
    <w:basedOn w:val="Normalny"/>
    <w:uiPriority w:val="99"/>
    <w:rsid w:val="00674510"/>
    <w:pPr>
      <w:spacing w:before="100" w:beforeAutospacing="1" w:after="100" w:afterAutospacing="1"/>
    </w:pPr>
    <w:rPr>
      <w:rFonts w:ascii="Times New Roman" w:eastAsiaTheme="minorHAnsi" w:hAnsi="Times New Roman"/>
      <w:sz w:val="24"/>
    </w:rPr>
  </w:style>
  <w:style w:type="paragraph" w:customStyle="1" w:styleId="xmsonormal">
    <w:name w:val="x_msonormal"/>
    <w:basedOn w:val="Normalny"/>
    <w:uiPriority w:val="99"/>
    <w:rsid w:val="001D57A8"/>
    <w:rPr>
      <w:rFonts w:ascii="Times New Roman" w:eastAsiaTheme="minorHAnsi" w:hAnsi="Times New Roman"/>
      <w:sz w:val="24"/>
    </w:rPr>
  </w:style>
  <w:style w:type="character" w:styleId="Odwoaniedokomentarza">
    <w:name w:val="annotation reference"/>
    <w:basedOn w:val="Domylnaczcionkaakapitu"/>
    <w:uiPriority w:val="99"/>
    <w:semiHidden/>
    <w:unhideWhenUsed/>
    <w:rsid w:val="00886F6C"/>
    <w:rPr>
      <w:sz w:val="16"/>
      <w:szCs w:val="16"/>
    </w:rPr>
  </w:style>
  <w:style w:type="paragraph" w:styleId="Tekstkomentarza">
    <w:name w:val="annotation text"/>
    <w:basedOn w:val="Normalny"/>
    <w:link w:val="TekstkomentarzaZnak"/>
    <w:uiPriority w:val="99"/>
    <w:unhideWhenUsed/>
    <w:rsid w:val="00886F6C"/>
    <w:rPr>
      <w:sz w:val="20"/>
      <w:szCs w:val="20"/>
    </w:rPr>
  </w:style>
  <w:style w:type="character" w:customStyle="1" w:styleId="TekstkomentarzaZnak">
    <w:name w:val="Tekst komentarza Znak"/>
    <w:basedOn w:val="Domylnaczcionkaakapitu"/>
    <w:link w:val="Tekstkomentarza"/>
    <w:uiPriority w:val="99"/>
    <w:rsid w:val="00886F6C"/>
    <w:rPr>
      <w:rFonts w:ascii="Arial" w:hAnsi="Arial"/>
      <w:lang w:val="pl-PL"/>
    </w:rPr>
  </w:style>
  <w:style w:type="paragraph" w:styleId="Tematkomentarza">
    <w:name w:val="annotation subject"/>
    <w:basedOn w:val="Tekstkomentarza"/>
    <w:next w:val="Tekstkomentarza"/>
    <w:link w:val="TematkomentarzaZnak"/>
    <w:uiPriority w:val="99"/>
    <w:semiHidden/>
    <w:unhideWhenUsed/>
    <w:rsid w:val="00886F6C"/>
    <w:rPr>
      <w:b/>
      <w:bCs/>
    </w:rPr>
  </w:style>
  <w:style w:type="character" w:customStyle="1" w:styleId="TematkomentarzaZnak">
    <w:name w:val="Temat komentarza Znak"/>
    <w:basedOn w:val="TekstkomentarzaZnak"/>
    <w:link w:val="Tematkomentarza"/>
    <w:uiPriority w:val="99"/>
    <w:semiHidden/>
    <w:rsid w:val="00886F6C"/>
    <w:rPr>
      <w:rFonts w:ascii="Arial" w:hAnsi="Arial"/>
      <w:b/>
      <w:bCs/>
      <w:lang w:val="pl-PL"/>
    </w:rPr>
  </w:style>
  <w:style w:type="paragraph" w:styleId="Tekstdymka">
    <w:name w:val="Balloon Text"/>
    <w:basedOn w:val="Normalny"/>
    <w:link w:val="TekstdymkaZnak"/>
    <w:uiPriority w:val="99"/>
    <w:semiHidden/>
    <w:unhideWhenUsed/>
    <w:rsid w:val="00886F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F6C"/>
    <w:rPr>
      <w:rFonts w:ascii="Segoe UI" w:hAnsi="Segoe UI" w:cs="Segoe UI"/>
      <w:sz w:val="18"/>
      <w:szCs w:val="18"/>
      <w:lang w:val="pl-PL"/>
    </w:rPr>
  </w:style>
  <w:style w:type="character" w:styleId="Pogrubienie">
    <w:name w:val="Strong"/>
    <w:basedOn w:val="Domylnaczcionkaakapitu"/>
    <w:uiPriority w:val="22"/>
    <w:qFormat/>
    <w:rsid w:val="00AC6A78"/>
    <w:rPr>
      <w:b/>
      <w:bCs/>
    </w:rPr>
  </w:style>
  <w:style w:type="paragraph" w:customStyle="1" w:styleId="Default">
    <w:name w:val="Default"/>
    <w:basedOn w:val="Normalny"/>
    <w:rsid w:val="003D4F30"/>
    <w:pPr>
      <w:autoSpaceDE w:val="0"/>
      <w:autoSpaceDN w:val="0"/>
    </w:pPr>
    <w:rPr>
      <w:rFonts w:ascii="Times New Roman" w:eastAsiaTheme="minorHAnsi" w:hAnsi="Times New Roman"/>
      <w:color w:val="000000"/>
      <w:sz w:val="24"/>
      <w:lang w:eastAsia="en-US"/>
    </w:rPr>
  </w:style>
  <w:style w:type="character" w:styleId="Uwydatnienie">
    <w:name w:val="Emphasis"/>
    <w:basedOn w:val="Domylnaczcionkaakapitu"/>
    <w:uiPriority w:val="20"/>
    <w:qFormat/>
    <w:rsid w:val="009624C4"/>
    <w:rPr>
      <w:i/>
      <w:iCs/>
    </w:rPr>
  </w:style>
  <w:style w:type="character" w:styleId="HTML-definicja">
    <w:name w:val="HTML Definition"/>
    <w:basedOn w:val="Domylnaczcionkaakapitu"/>
    <w:uiPriority w:val="99"/>
    <w:semiHidden/>
    <w:unhideWhenUsed/>
    <w:rsid w:val="00910859"/>
    <w:rPr>
      <w:i/>
      <w:iCs/>
    </w:rPr>
  </w:style>
  <w:style w:type="paragraph" w:customStyle="1" w:styleId="gmail-western">
    <w:name w:val="gmail-western"/>
    <w:basedOn w:val="Normalny"/>
    <w:rsid w:val="00006901"/>
    <w:pPr>
      <w:spacing w:before="100" w:beforeAutospacing="1" w:after="100" w:afterAutospacing="1"/>
    </w:pPr>
    <w:rPr>
      <w:rFonts w:ascii="Times New Roman" w:eastAsiaTheme="minorHAnsi" w:hAnsi="Times New Roman"/>
      <w:sz w:val="24"/>
    </w:rPr>
  </w:style>
  <w:style w:type="paragraph" w:styleId="Zwykytekst">
    <w:name w:val="Plain Text"/>
    <w:basedOn w:val="Normalny"/>
    <w:link w:val="ZwykytekstZnak"/>
    <w:uiPriority w:val="99"/>
    <w:unhideWhenUsed/>
    <w:rsid w:val="00DE5375"/>
    <w:rPr>
      <w:rFonts w:ascii="Calibri" w:eastAsiaTheme="minorHAnsi" w:hAnsi="Calibri" w:cstheme="minorBidi"/>
      <w:szCs w:val="21"/>
      <w:lang w:eastAsia="en-US"/>
    </w:rPr>
  </w:style>
  <w:style w:type="character" w:customStyle="1" w:styleId="ZwykytekstZnak">
    <w:name w:val="Zwykły tekst Znak"/>
    <w:basedOn w:val="Domylnaczcionkaakapitu"/>
    <w:link w:val="Zwykytekst"/>
    <w:uiPriority w:val="99"/>
    <w:rsid w:val="00DE5375"/>
    <w:rPr>
      <w:rFonts w:ascii="Calibri" w:eastAsiaTheme="minorHAnsi" w:hAnsi="Calibri" w:cstheme="minorBidi"/>
      <w:sz w:val="22"/>
      <w:szCs w:val="21"/>
      <w:lang w:val="pl-PL" w:eastAsia="en-US"/>
    </w:rPr>
  </w:style>
  <w:style w:type="paragraph" w:customStyle="1" w:styleId="male0">
    <w:name w:val="male0"/>
    <w:basedOn w:val="Normalny"/>
    <w:uiPriority w:val="99"/>
    <w:rsid w:val="002D07F7"/>
    <w:pPr>
      <w:jc w:val="both"/>
    </w:pPr>
    <w:rPr>
      <w:rFonts w:ascii="Trebuchet MS" w:eastAsiaTheme="minorHAnsi" w:hAnsi="Trebuchet MS"/>
      <w:color w:val="000080"/>
      <w:sz w:val="20"/>
      <w:szCs w:val="20"/>
    </w:rPr>
  </w:style>
  <w:style w:type="character" w:customStyle="1" w:styleId="AkapitzlistZnak">
    <w:name w:val="Akapit z listą Znak"/>
    <w:aliases w:val="L1 Znak,Numerowanie Znak,Akapit z listą5 Znak"/>
    <w:basedOn w:val="Domylnaczcionkaakapitu"/>
    <w:link w:val="Akapitzlist"/>
    <w:uiPriority w:val="34"/>
    <w:locked/>
    <w:rsid w:val="000E32ED"/>
    <w:rPr>
      <w:rFonts w:ascii="Calibri" w:eastAsiaTheme="minorHAnsi" w:hAnsi="Calibri" w:cs="Calibri"/>
      <w:sz w:val="22"/>
      <w:szCs w:val="22"/>
      <w:lang w:val="pl-PL" w:eastAsia="en-US"/>
    </w:rPr>
  </w:style>
  <w:style w:type="paragraph" w:styleId="Tekstprzypisukocowego">
    <w:name w:val="endnote text"/>
    <w:basedOn w:val="Normalny"/>
    <w:link w:val="TekstprzypisukocowegoZnak"/>
    <w:uiPriority w:val="99"/>
    <w:semiHidden/>
    <w:unhideWhenUsed/>
    <w:rsid w:val="00CE0212"/>
    <w:rPr>
      <w:sz w:val="20"/>
      <w:szCs w:val="20"/>
    </w:rPr>
  </w:style>
  <w:style w:type="character" w:customStyle="1" w:styleId="TekstprzypisukocowegoZnak">
    <w:name w:val="Tekst przypisu końcowego Znak"/>
    <w:basedOn w:val="Domylnaczcionkaakapitu"/>
    <w:link w:val="Tekstprzypisukocowego"/>
    <w:uiPriority w:val="99"/>
    <w:semiHidden/>
    <w:rsid w:val="00CE0212"/>
    <w:rPr>
      <w:rFonts w:ascii="Arial" w:hAnsi="Arial"/>
      <w:lang w:val="pl-PL"/>
    </w:rPr>
  </w:style>
  <w:style w:type="character" w:styleId="Odwoanieprzypisukocowego">
    <w:name w:val="endnote reference"/>
    <w:basedOn w:val="Domylnaczcionkaakapitu"/>
    <w:uiPriority w:val="99"/>
    <w:semiHidden/>
    <w:unhideWhenUsed/>
    <w:rsid w:val="00CE0212"/>
    <w:rPr>
      <w:vertAlign w:val="superscript"/>
    </w:rPr>
  </w:style>
  <w:style w:type="character" w:customStyle="1" w:styleId="Nierozpoznanawzmianka1">
    <w:name w:val="Nierozpoznana wzmianka1"/>
    <w:basedOn w:val="Domylnaczcionkaakapitu"/>
    <w:uiPriority w:val="99"/>
    <w:semiHidden/>
    <w:unhideWhenUsed/>
    <w:rsid w:val="00DB7C56"/>
    <w:rPr>
      <w:color w:val="605E5C"/>
      <w:shd w:val="clear" w:color="auto" w:fill="E1DFDD"/>
    </w:rPr>
  </w:style>
  <w:style w:type="paragraph" w:customStyle="1" w:styleId="Pa15">
    <w:name w:val="Pa15"/>
    <w:basedOn w:val="Normalny"/>
    <w:uiPriority w:val="99"/>
    <w:rsid w:val="006E246F"/>
    <w:pPr>
      <w:autoSpaceDE w:val="0"/>
      <w:autoSpaceDN w:val="0"/>
      <w:spacing w:line="161" w:lineRule="atLeast"/>
    </w:pPr>
    <w:rPr>
      <w:rFonts w:ascii="Stone Sans ITC Pro Medium" w:eastAsiaTheme="minorHAnsi" w:hAnsi="Stone Sans ITC Pro Medium" w:cs="Calibri"/>
      <w:sz w:val="24"/>
      <w:lang w:eastAsia="en-US"/>
    </w:rPr>
  </w:style>
  <w:style w:type="character" w:customStyle="1" w:styleId="A2">
    <w:name w:val="A2"/>
    <w:basedOn w:val="Domylnaczcionkaakapitu"/>
    <w:uiPriority w:val="99"/>
    <w:rsid w:val="006E246F"/>
    <w:rPr>
      <w:rFonts w:ascii="Stone Sans ITC Pro Medium" w:hAnsi="Stone Sans ITC Pro Medium" w:hint="default"/>
      <w:color w:val="000000"/>
    </w:rPr>
  </w:style>
  <w:style w:type="paragraph" w:styleId="Poprawka">
    <w:name w:val="Revision"/>
    <w:hidden/>
    <w:uiPriority w:val="99"/>
    <w:semiHidden/>
    <w:rsid w:val="00D519EC"/>
    <w:rPr>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Tekstprzypisudolnego">
    <w:name w:val="footnote text"/>
    <w:basedOn w:val="Normalny"/>
    <w:link w:val="TekstprzypisudolnegoZnak"/>
    <w:uiPriority w:val="99"/>
    <w:semiHidden/>
    <w:unhideWhenUsed/>
    <w:rsid w:val="0062399C"/>
    <w:rPr>
      <w:sz w:val="20"/>
      <w:szCs w:val="20"/>
    </w:rPr>
  </w:style>
  <w:style w:type="character" w:customStyle="1" w:styleId="TekstprzypisudolnegoZnak">
    <w:name w:val="Tekst przypisu dolnego Znak"/>
    <w:basedOn w:val="Domylnaczcionkaakapitu"/>
    <w:link w:val="Tekstprzypisudolnego"/>
    <w:uiPriority w:val="99"/>
    <w:semiHidden/>
    <w:rsid w:val="0062399C"/>
    <w:rPr>
      <w:sz w:val="20"/>
      <w:szCs w:val="20"/>
    </w:rPr>
  </w:style>
  <w:style w:type="character" w:styleId="Odwoanieprzypisudolnego">
    <w:name w:val="footnote reference"/>
    <w:basedOn w:val="Domylnaczcionkaakapitu"/>
    <w:uiPriority w:val="99"/>
    <w:semiHidden/>
    <w:unhideWhenUsed/>
    <w:rsid w:val="0062399C"/>
    <w:rPr>
      <w:vertAlign w:val="superscript"/>
    </w:rPr>
  </w:style>
  <w:style w:type="character" w:styleId="Nierozpoznanawzmianka">
    <w:name w:val="Unresolved Mention"/>
    <w:basedOn w:val="Domylnaczcionkaakapitu"/>
    <w:uiPriority w:val="99"/>
    <w:semiHidden/>
    <w:unhideWhenUsed/>
    <w:rsid w:val="00367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5387">
      <w:bodyDiv w:val="1"/>
      <w:marLeft w:val="0"/>
      <w:marRight w:val="0"/>
      <w:marTop w:val="0"/>
      <w:marBottom w:val="0"/>
      <w:divBdr>
        <w:top w:val="none" w:sz="0" w:space="0" w:color="auto"/>
        <w:left w:val="none" w:sz="0" w:space="0" w:color="auto"/>
        <w:bottom w:val="none" w:sz="0" w:space="0" w:color="auto"/>
        <w:right w:val="none" w:sz="0" w:space="0" w:color="auto"/>
      </w:divBdr>
    </w:div>
    <w:div w:id="855197233">
      <w:bodyDiv w:val="1"/>
      <w:marLeft w:val="0"/>
      <w:marRight w:val="0"/>
      <w:marTop w:val="0"/>
      <w:marBottom w:val="0"/>
      <w:divBdr>
        <w:top w:val="none" w:sz="0" w:space="0" w:color="auto"/>
        <w:left w:val="none" w:sz="0" w:space="0" w:color="auto"/>
        <w:bottom w:val="none" w:sz="0" w:space="0" w:color="auto"/>
        <w:right w:val="none" w:sz="0" w:space="0" w:color="auto"/>
      </w:divBdr>
      <w:divsChild>
        <w:div w:id="2055081089">
          <w:marLeft w:val="0"/>
          <w:marRight w:val="0"/>
          <w:marTop w:val="0"/>
          <w:marBottom w:val="0"/>
          <w:divBdr>
            <w:top w:val="none" w:sz="0" w:space="0" w:color="auto"/>
            <w:left w:val="none" w:sz="0" w:space="0" w:color="auto"/>
            <w:bottom w:val="none" w:sz="0" w:space="0" w:color="auto"/>
            <w:right w:val="none" w:sz="0" w:space="0" w:color="auto"/>
          </w:divBdr>
        </w:div>
      </w:divsChild>
    </w:div>
    <w:div w:id="1032726997">
      <w:bodyDiv w:val="1"/>
      <w:marLeft w:val="0"/>
      <w:marRight w:val="0"/>
      <w:marTop w:val="0"/>
      <w:marBottom w:val="0"/>
      <w:divBdr>
        <w:top w:val="none" w:sz="0" w:space="0" w:color="auto"/>
        <w:left w:val="none" w:sz="0" w:space="0" w:color="auto"/>
        <w:bottom w:val="none" w:sz="0" w:space="0" w:color="auto"/>
        <w:right w:val="none" w:sz="0" w:space="0" w:color="auto"/>
      </w:divBdr>
    </w:div>
    <w:div w:id="1228488885">
      <w:bodyDiv w:val="1"/>
      <w:marLeft w:val="0"/>
      <w:marRight w:val="0"/>
      <w:marTop w:val="0"/>
      <w:marBottom w:val="0"/>
      <w:divBdr>
        <w:top w:val="none" w:sz="0" w:space="0" w:color="auto"/>
        <w:left w:val="none" w:sz="0" w:space="0" w:color="auto"/>
        <w:bottom w:val="none" w:sz="0" w:space="0" w:color="auto"/>
        <w:right w:val="none" w:sz="0" w:space="0" w:color="auto"/>
      </w:divBdr>
    </w:div>
    <w:div w:id="1571422657">
      <w:bodyDiv w:val="1"/>
      <w:marLeft w:val="0"/>
      <w:marRight w:val="0"/>
      <w:marTop w:val="0"/>
      <w:marBottom w:val="0"/>
      <w:divBdr>
        <w:top w:val="none" w:sz="0" w:space="0" w:color="auto"/>
        <w:left w:val="none" w:sz="0" w:space="0" w:color="auto"/>
        <w:bottom w:val="none" w:sz="0" w:space="0" w:color="auto"/>
        <w:right w:val="none" w:sz="0" w:space="0" w:color="auto"/>
      </w:divBdr>
    </w:div>
    <w:div w:id="1723409480">
      <w:bodyDiv w:val="1"/>
      <w:marLeft w:val="0"/>
      <w:marRight w:val="0"/>
      <w:marTop w:val="0"/>
      <w:marBottom w:val="0"/>
      <w:divBdr>
        <w:top w:val="none" w:sz="0" w:space="0" w:color="auto"/>
        <w:left w:val="none" w:sz="0" w:space="0" w:color="auto"/>
        <w:bottom w:val="none" w:sz="0" w:space="0" w:color="auto"/>
        <w:right w:val="none" w:sz="0" w:space="0" w:color="auto"/>
      </w:divBdr>
      <w:divsChild>
        <w:div w:id="8642945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ciej.krzysztoszek@uniqa.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qagroup.com/" TargetMode="External"/><Relationship Id="rId4" Type="http://schemas.openxmlformats.org/officeDocument/2006/relationships/styles" Target="styles.xml"/><Relationship Id="rId9" Type="http://schemas.openxmlformats.org/officeDocument/2006/relationships/hyperlink" Target="http://www.uniq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PpoH8T98GpwNEs6pU2HJdmdlOQ==">AMUW2mXLVcQqSL2OpHqQzllMsHHE5f/7NB+16xRKO3fS6NGPotHnxSDyMVd/14roQpbi5nxZbYmjsjFHE/6xMG12IquaMXqoME4CiPvpdT4gcLFtpInRpGgwO6Qy+9VhnDcTC7xu+MVsCLwsAQcfvEwaOYP0YsIOyXU6buPHUaWK+V6vi1u5gyXQpTemCzFtpd3w3dIPlrfexFqU/Hbkun6tFIqrc6SSf43Q5+re1jk+LKxnAF4K7+AkzhZ2dtzMowUf4E6RWfyz/eizP8wojks5ijEnhsGgpsKp7sfexK8wkh7SQdz5B6ak9S972nGO9DFF9PMhOIxjDS3RD9qE2uS7He5RTohWgYTOJ0HqJDmfCbqbSE6IpdFNdFWLgFMRkqpQksaA8n3iy0CBmkgcRw+/pcG3rYqi9Y6ob8t7aPg6xNUYTIo+MWERoXsfKBSXHL6a5VZeSBpNfQsq/kNG8nZ+yECGgdsK+/OzE7n7KYzYs5yOeEuiA/XeIIsbEh2l9ToZBMJXkbGD6JLZtckLAjd2vjQJmwxFaNIleQX9dULksv0aHDUt0uO2Rq5YUsHerXw6Lvbx+PoPun4Tbwqrk+D7MaEFl37u3W+wi2/VVOqcdhGDXVGWkTnAZhtIXt6kg1i0cTN03qZNcZgfQQh8x7s9kVE41RaDhbgE3eRU2OfcbCdfjbu1rKVdMxSpTCYlgfDbWAVd8C52PSJqWUpjOyNBmJna5Zq1ONRZx7EagFxiJGic3Zz8Hisqrzi7FAn8WzdO83o+L/79XgY7ap3uaI6ynBzBZwDutTI4lPM6HWXPN9kxkSKQECI6vdAusIJyMkFKLieksih2/DLNGJHzK9YRNv8jYYXtltJOAXtRe3c4E90XZd2w4fKHUOlIhTFvwnpYGrHiTy7OvA44eZFR9c2erhRsZrrthQRsdQn3a3XtqKuCMieCsbMz2xocrqNYKzGVqEQz2GNY0py8TjLxNcpsBH6tMokvZcu899go0ahQMjSf2ECPZn+UnLvPgrCeBg3uxOGTlHJqI+wUEnsAQEVq0qUUyRv/qi1cacx0V2CzQqze8Lev6uk1WbW++KQ1ipOMV1aI6I9TYd7MxmUx2n2ZZXs3pdX8u0zkBvsBL26cC9+uKzFkq8d+xftlw0VTLh08/eoRnc4R9SGKXLIWQk3tNzEhCvWKOzUwwmw8f+EaKnXn6yh5fhPinI1ezin9QozAmqxGYa2N6UMc+bPsUN9DDthQCkUWw+047UIYfanL7EenwhP//eUffbyKd96rDW8ru4LJaNUQwmrPLdqZMoZXIvImUUoWSqC4E+QaZAx2hca4j8oTidx9zbpq/HfDrWPC7HIxkwFPCBwEMjm8rr/DF/Yx5/oRzY6JXW9MgFXbzH+oQy2pqwiPM/5LH1ceboeBriw0m32GFn77Qf2wmmmRvaGiwHWRa4rlg/qre0f2EUI+8GijUWpo1CUap1S13ZTlMg9K0KDP5u3AX9wneLjtkw1auSVG6r5aA9JYcdDBfPYBdfpYvr1/ke988AbGpD/g9qzb1wz6B00kKhH0KCPJiFZPs/42xCSgFS4EWv4/gKpWTLe9vaBX6QT3q/akr29PpetzWZQsOjR8PQr1RxpCezROO3atFBWfoVuX0mexSDyhlSXil+GXAHbvIJ3XqAoHXgXL0XcGAPrn83V55PWXfJSs/z5LLqEbZpzDt9dVVbpAiJ7UQTn+Mr7zjT5ygSHHH9nruT2Hz9mYzvuXcAlWu5t6C6ZUMYAJs+QgZF1omceO/uBU3DvACku68qjYC8cgc4BB1R33YxquOz0fcB2griJoi1nCzu+rfsOUtAbergG/fjU+5f2ZHgmkQxsx04SvoMkoqi5GGYgtaLJSb+W5WLvECz0xzS8JO9ixRKavroOiblER4oC/HhCfX6kzO0yXYsw6cE2Wkwu/gcF2Nk8nWeteKsChG/ZT+QP+pzE0Z2N01SHvWloGW8E09B1rQlzs1fTF6ykIRNJynCtGh1GTESpm/csaLNLsUJpeWh6h+rdgPXzf/8KQ2jcm315lZFM2BafV2kparxjq+8HD0sDImavEAPQK9L2BDaZ+ZRaC73xDt8J7epfQ4cvDeB7ZYoT86Mc1i3sH5Eop1c/6bIwj2/Ib9gQJWoyK+pzqQb3pwkdXHcOci9AYEsfz47rLwey4K2g+9Jwxxo5RtFlx+jzPh4IoQz5mHDK3FJ+Hlvt+frcq8gHiF+38z2wCWs6HcoCsQASzzTuKRe7k7yXhdMpvt0ksyjRoLiy4COgPwexnr+c2ujoizHDAh6CSy4MDkKMWBgms12pPgWwkBcc58dPIDV5Zto3PFKPwZsZdOaQvftjbmZDp3T4HvRcxkyUUB0yvDoaXO20yVqWuWjxlgHcF0IXoQRUBCiA58hmfyplRQZztjKHWk4Fp4NBRVNAzSEOAg1687TiPCUZ9A1dqimhsL6JNvc2ybnfrv0IHhFr2VG9SK1QGYrVytGr83L216n2NC2sez9IoEeSAu4ko1OGG0yZxs6qPdx7XQ/ocdLblKguJgDI53TvxYCFf6du3w7UaK97G3dCwK5ax3grME+ympJTiHJgG5lba65bBjhOKZAsYtCk8NlohvVCyHOwKt40lvomWHWIWPk+jQTEqjQRcDRz5pZ+ReEpopRJsdmQjW3bGOs/h022W0Z1BZN8aaIXCNKa2X3fl+5WQU/mVdGJzxJW5h2eVw89OM3dROjUOh+xsc3UmaL/XF166JReLQai9ZjY+mHr+ngaaqOl1ZJRzeyMDYSHNF5o5zOfcnH5tFhNsnkXYUxD5lNkvnulSSLpPBv8n4Ifbo03zqJUj6QYEUpU1RKZqGrgy9p/NqTFskRiH1Ofi+16DIrXHOWnjJyD+akqCIatpqpRIHmDyQ9S59QyNZGyqOQ+AXiC63eAIzGVKnHC6+EKNO0qvd3zBiBOpoxNmoK6qjgUGkv8mP/KXaSWWfnIn+MYappkM3lMoRMsBI3jJIImIviU/XpDIIRQvkBksfnIPFwa9yT0qAnafKsPAQumghYW/SU6ZbyOgZU0ZD/1lmxGzE5Mzfboe7/qoNUow9nEYzgf/I/MN4z5xVEJgLE+UcZS1NaWGjlVWfEhzF3ixf9rXJf7NR6bS0Y9VUkmsiMJSEmpZuRyAou5wVkifvmopN2zZuJKXr51PYeuyCa/gK9pY1zbdgdW1MWgTvWjYKQ/XAXr9g+js1Tztb4/WTmFaNDURf3N1bMKpEF+Z3OJy0Iay9NGXF//aUW7d//3Z8YVoagAmHZ3Nw3Q1MGF2nMJe2lBhw/Ude2JhfnF6oM+lTmUHJ3B70Ryukz8Sr467Q9/e1NgDW7li0AmIsRSW9GwLXgHm6hvknVlgfo8z5FFBMcWw3MiQlAa4NXFXuKqvffQ1TtWOGaqpzGhBW3iG3CZ/2ctR54fg75jqyfUysPQq+54Tsj84tDJbgvWqqER+pSlB+uxmFLT4Sk2vbyfyb4m3uRdZH/MuBKcwAksNZleuy6uKBDTV1xIz9V9SpVHbONqfb4ngd1ubB8d0XMkhn65CubjXwS8nGyx9P+eApEgxVK/ZTk1h9WYwAvJD7Klz63hZJ4W4Hqbw6sGfJRue5jTOaNO09U5/MiIvXwlXdGaYzoJxvkawkw2XmylFNvf/0tHyTa+DE/bjcoNB80tggMqX/tXOdnuVEzr1ZgJztaDCNHZ8j9E0dMKoN4aecpnGqFMSfzZKbhhIcbXpL0PeW5Z+SLUrv0t76ZcqqNACBekxQGaiLQ43IF2g7ndzJMyPe0LBHSwNdLvX9r4Cf3ypw30Jgj78D15rNTy0etdzLH92D2d3Z07q4s8RfV3C7b+dwUj7EFRy/PsM4IXjl6l0QyvKC3HVMmPc+g6Dn3XYxLKwy520bhTvhqGWFv/0hHUIzs3+vUeBuqo4z6v7fIjOYLqQXGNDYe4QeNTlGKUNhVQEh0hQ4w9cHp65PcaPuwAGHPMVxeHgrH8OnPUpJ7FQZzvagdLOIQBankCyzGXeSowVafGC/gnJ4UI25+unjqM0oJbfcvJnESRpvRkjnWw5QQm3rMnlk491XmU1qItPd14rxRhHteyUuRfaB3f6qUKEKHp/+0o3mTy3QxEgsfwkk3+W//gYvwM9qUVosHRft3eg9DZtTB3FmT8LflLVlB2xyTrBaIumo2H8xfTVkEsq+2HnsIHbX04iKw1hE/laHfqxZYnK2P1f/fmBTMdEXvebBlMSf5MwaHuyDL7oScgMDwIKI5j2Iy8OYLwNTX+UinYxMuo=</go:docsCustomData>
</go:gDocsCustomXmlDataStorage>
</file>

<file path=customXml/itemProps1.xml><?xml version="1.0" encoding="utf-8"?>
<ds:datastoreItem xmlns:ds="http://schemas.openxmlformats.org/officeDocument/2006/customXml" ds:itemID="{E3D07680-89A8-4DA6-B20E-BDA88E3B7B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e2fa6e3-d331-4f59-93f9-b151041b23d0}" enabled="1" method="Privileged" siteId="{bd9f112b-82b0-45f6-b02e-1175bb945e33}" removed="0"/>
  <clbl:label id="{e926a907-a439-4552-97d4-cf3e4f94d4c9}" enabled="1" method="Standard" siteId="{72d4cc57-c098-4169-86a9-284d255e89f2}"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879</Words>
  <Characters>5278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KMIECIK Szymon</dc:creator>
  <cp:lastModifiedBy>Piotr KOZICKI</cp:lastModifiedBy>
  <cp:revision>7</cp:revision>
  <dcterms:created xsi:type="dcterms:W3CDTF">2026-04-13T10:09:00Z</dcterms:created>
  <dcterms:modified xsi:type="dcterms:W3CDTF">2026-04-15T12:20:00Z</dcterms:modified>
</cp:coreProperties>
</file>