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6F3FD" w14:textId="50B3D764" w:rsidR="00A92550" w:rsidRPr="00563C6B" w:rsidRDefault="00A92550" w:rsidP="00120C75">
      <w:pPr>
        <w:pStyle w:val="font-claude-response-body"/>
        <w:jc w:val="both"/>
        <w:rPr>
          <w:rFonts w:asciiTheme="minorHAnsi" w:hAnsiTheme="minorHAnsi"/>
          <w:sz w:val="28"/>
          <w:szCs w:val="28"/>
        </w:rPr>
      </w:pPr>
      <w:r w:rsidRPr="00563C6B">
        <w:rPr>
          <w:rStyle w:val="Pogrubienie"/>
          <w:rFonts w:asciiTheme="minorHAnsi" w:hAnsiTheme="minorHAnsi"/>
          <w:sz w:val="28"/>
          <w:szCs w:val="28"/>
        </w:rPr>
        <w:t xml:space="preserve">Ubezpieczyciele są gotowi </w:t>
      </w:r>
      <w:r w:rsidR="0016078F" w:rsidRPr="00563C6B">
        <w:rPr>
          <w:rStyle w:val="Pogrubienie"/>
          <w:rFonts w:asciiTheme="minorHAnsi" w:hAnsiTheme="minorHAnsi"/>
          <w:sz w:val="28"/>
          <w:szCs w:val="28"/>
        </w:rPr>
        <w:t xml:space="preserve">zaoferować </w:t>
      </w:r>
      <w:r w:rsidRPr="00563C6B">
        <w:rPr>
          <w:rStyle w:val="Pogrubienie"/>
          <w:rFonts w:asciiTheme="minorHAnsi" w:hAnsiTheme="minorHAnsi"/>
          <w:sz w:val="28"/>
          <w:szCs w:val="28"/>
        </w:rPr>
        <w:t>więcej za tę samą cenę</w:t>
      </w:r>
    </w:p>
    <w:p w14:paraId="7D9F87AD" w14:textId="136D3B14" w:rsidR="00A475D7" w:rsidRPr="00EB416A" w:rsidRDefault="00A475D7" w:rsidP="00A475D7">
      <w:pPr>
        <w:pStyle w:val="font-claude-response-body"/>
        <w:numPr>
          <w:ilvl w:val="0"/>
          <w:numId w:val="7"/>
        </w:numPr>
        <w:jc w:val="both"/>
        <w:rPr>
          <w:rFonts w:asciiTheme="minorHAnsi" w:hAnsiTheme="minorHAnsi"/>
          <w:b/>
          <w:bCs/>
        </w:rPr>
      </w:pPr>
      <w:r w:rsidRPr="00EB416A">
        <w:rPr>
          <w:rFonts w:asciiTheme="minorHAnsi" w:hAnsiTheme="minorHAnsi"/>
          <w:b/>
          <w:bCs/>
        </w:rPr>
        <w:t xml:space="preserve">Stawki ubezpieczeń </w:t>
      </w:r>
      <w:r w:rsidR="00D23301">
        <w:rPr>
          <w:rFonts w:asciiTheme="minorHAnsi" w:hAnsiTheme="minorHAnsi"/>
          <w:b/>
          <w:bCs/>
        </w:rPr>
        <w:t>dla firm</w:t>
      </w:r>
      <w:r w:rsidRPr="00EB416A">
        <w:rPr>
          <w:rFonts w:asciiTheme="minorHAnsi" w:hAnsiTheme="minorHAnsi"/>
          <w:b/>
          <w:bCs/>
        </w:rPr>
        <w:t xml:space="preserve"> spadają szósty kwartał z rzędu</w:t>
      </w:r>
      <w:r w:rsidR="00E33257">
        <w:rPr>
          <w:rFonts w:asciiTheme="minorHAnsi" w:hAnsiTheme="minorHAnsi"/>
          <w:b/>
          <w:bCs/>
        </w:rPr>
        <w:t xml:space="preserve">, wynika z </w:t>
      </w:r>
      <w:r w:rsidRPr="00EB416A">
        <w:rPr>
          <w:rFonts w:asciiTheme="minorHAnsi" w:hAnsiTheme="minorHAnsi"/>
          <w:b/>
          <w:bCs/>
        </w:rPr>
        <w:t xml:space="preserve">Marsh Global </w:t>
      </w:r>
      <w:proofErr w:type="spellStart"/>
      <w:r w:rsidRPr="00EB416A">
        <w:rPr>
          <w:rFonts w:asciiTheme="minorHAnsi" w:hAnsiTheme="minorHAnsi"/>
          <w:b/>
          <w:bCs/>
        </w:rPr>
        <w:t>Insurance</w:t>
      </w:r>
      <w:proofErr w:type="spellEnd"/>
      <w:r w:rsidRPr="00EB416A">
        <w:rPr>
          <w:rFonts w:asciiTheme="minorHAnsi" w:hAnsiTheme="minorHAnsi"/>
          <w:b/>
          <w:bCs/>
        </w:rPr>
        <w:t xml:space="preserve"> Market Index. </w:t>
      </w:r>
      <w:r w:rsidR="00E33257">
        <w:rPr>
          <w:rFonts w:asciiTheme="minorHAnsi" w:hAnsiTheme="minorHAnsi"/>
          <w:b/>
          <w:bCs/>
        </w:rPr>
        <w:t>Pod koniec zeszłego roku spadek wyniósł 6%</w:t>
      </w:r>
      <w:r w:rsidR="008908A7">
        <w:rPr>
          <w:rFonts w:asciiTheme="minorHAnsi" w:hAnsiTheme="minorHAnsi"/>
          <w:b/>
          <w:bCs/>
        </w:rPr>
        <w:t>.</w:t>
      </w:r>
    </w:p>
    <w:p w14:paraId="09800846" w14:textId="6624BF6A" w:rsidR="00DC4CD9" w:rsidRPr="00DC4CD9" w:rsidRDefault="00A475D7" w:rsidP="00923E0E">
      <w:pPr>
        <w:pStyle w:val="font-claude-response-body"/>
        <w:numPr>
          <w:ilvl w:val="0"/>
          <w:numId w:val="7"/>
        </w:numPr>
        <w:jc w:val="both"/>
        <w:rPr>
          <w:rFonts w:ascii="Aptos" w:hAnsi="Aptos"/>
          <w:b/>
          <w:bCs/>
        </w:rPr>
      </w:pPr>
      <w:r w:rsidRPr="00DC4CD9">
        <w:rPr>
          <w:rFonts w:asciiTheme="minorHAnsi" w:hAnsiTheme="minorHAnsi"/>
          <w:b/>
          <w:bCs/>
        </w:rPr>
        <w:t xml:space="preserve">Polscy ubezpieczyciele notują </w:t>
      </w:r>
      <w:r w:rsidR="00E33257" w:rsidRPr="00DC4CD9">
        <w:rPr>
          <w:rFonts w:asciiTheme="minorHAnsi" w:hAnsiTheme="minorHAnsi"/>
          <w:b/>
          <w:bCs/>
        </w:rPr>
        <w:t xml:space="preserve">jednak </w:t>
      </w:r>
      <w:r w:rsidRPr="00DC4CD9">
        <w:rPr>
          <w:rFonts w:asciiTheme="minorHAnsi" w:hAnsiTheme="minorHAnsi"/>
          <w:b/>
          <w:bCs/>
        </w:rPr>
        <w:t>rekordową rentowność</w:t>
      </w:r>
      <w:r w:rsidR="00E33257" w:rsidRPr="00DC4CD9">
        <w:rPr>
          <w:rFonts w:asciiTheme="minorHAnsi" w:hAnsiTheme="minorHAnsi"/>
          <w:b/>
          <w:bCs/>
        </w:rPr>
        <w:t xml:space="preserve">, co oznacza </w:t>
      </w:r>
      <w:r w:rsidR="00923E0E" w:rsidRPr="00DC4CD9">
        <w:rPr>
          <w:rFonts w:asciiTheme="minorHAnsi" w:hAnsiTheme="minorHAnsi"/>
          <w:b/>
          <w:bCs/>
        </w:rPr>
        <w:t xml:space="preserve">zwiększoną </w:t>
      </w:r>
      <w:r w:rsidRPr="00DC4CD9">
        <w:rPr>
          <w:rFonts w:asciiTheme="minorHAnsi" w:hAnsiTheme="minorHAnsi"/>
          <w:b/>
          <w:bCs/>
        </w:rPr>
        <w:t>pojemność</w:t>
      </w:r>
      <w:r w:rsidR="00923E0E" w:rsidRPr="00DC4CD9">
        <w:rPr>
          <w:rFonts w:asciiTheme="minorHAnsi" w:hAnsiTheme="minorHAnsi"/>
          <w:b/>
          <w:bCs/>
        </w:rPr>
        <w:t xml:space="preserve"> i apetyt towarzystw</w:t>
      </w:r>
      <w:r w:rsidRPr="00DC4CD9">
        <w:rPr>
          <w:rFonts w:asciiTheme="minorHAnsi" w:hAnsiTheme="minorHAnsi"/>
          <w:b/>
          <w:bCs/>
        </w:rPr>
        <w:t xml:space="preserve"> na ryzyko</w:t>
      </w:r>
      <w:r w:rsidR="00923E0E" w:rsidRPr="00DC4CD9">
        <w:rPr>
          <w:rFonts w:asciiTheme="minorHAnsi" w:hAnsiTheme="minorHAnsi"/>
          <w:b/>
          <w:bCs/>
        </w:rPr>
        <w:t>.</w:t>
      </w:r>
      <w:r w:rsidR="0016078F" w:rsidRPr="00DC4CD9">
        <w:rPr>
          <w:rFonts w:asciiTheme="minorHAnsi" w:hAnsiTheme="minorHAnsi"/>
          <w:b/>
          <w:bCs/>
        </w:rPr>
        <w:t xml:space="preserve"> </w:t>
      </w:r>
      <w:r w:rsidR="00DC4CD9" w:rsidRPr="00DC4CD9">
        <w:rPr>
          <w:rFonts w:ascii="Aptos" w:hAnsi="Aptos"/>
          <w:b/>
          <w:bCs/>
        </w:rPr>
        <w:t>Według danych PIU i</w:t>
      </w:r>
      <w:r w:rsidR="00D65A2B">
        <w:rPr>
          <w:rFonts w:ascii="Aptos" w:hAnsi="Aptos"/>
          <w:b/>
          <w:bCs/>
        </w:rPr>
        <w:t> </w:t>
      </w:r>
      <w:r w:rsidR="00DC4CD9" w:rsidRPr="00DC4CD9">
        <w:rPr>
          <w:rFonts w:ascii="Aptos" w:hAnsi="Aptos"/>
          <w:b/>
          <w:bCs/>
        </w:rPr>
        <w:t>KNF składka brutto w ubezpieczeniach mienia wyniosła 13,59 mld złotych.</w:t>
      </w:r>
    </w:p>
    <w:p w14:paraId="1020882C" w14:textId="25C173B1" w:rsidR="00923E0E" w:rsidRPr="00DC4CD9" w:rsidRDefault="00923E0E" w:rsidP="00923E0E">
      <w:pPr>
        <w:pStyle w:val="font-claude-response-body"/>
        <w:numPr>
          <w:ilvl w:val="0"/>
          <w:numId w:val="7"/>
        </w:numPr>
        <w:jc w:val="both"/>
        <w:rPr>
          <w:rFonts w:asciiTheme="minorHAnsi" w:hAnsiTheme="minorHAnsi"/>
        </w:rPr>
      </w:pPr>
      <w:r w:rsidRPr="00DC4CD9">
        <w:rPr>
          <w:rFonts w:asciiTheme="minorHAnsi" w:hAnsiTheme="minorHAnsi"/>
          <w:b/>
          <w:bCs/>
        </w:rPr>
        <w:t>W efekcie firmy negocjują znacznie szersze zakresy ochrony oraz wybierają wyższe sumy ubezpieczenia w ramach dotychczasowych budżetów.</w:t>
      </w:r>
    </w:p>
    <w:p w14:paraId="50E6C498" w14:textId="09E81319" w:rsidR="00A92550" w:rsidRPr="00120C75" w:rsidRDefault="00A92550" w:rsidP="00120C75">
      <w:pPr>
        <w:pStyle w:val="font-claude-response-body"/>
        <w:jc w:val="both"/>
        <w:rPr>
          <w:rFonts w:asciiTheme="minorHAnsi" w:hAnsiTheme="minorHAnsi"/>
        </w:rPr>
      </w:pPr>
      <w:r w:rsidRPr="00120C75">
        <w:rPr>
          <w:rFonts w:asciiTheme="minorHAnsi" w:hAnsiTheme="minorHAnsi"/>
        </w:rPr>
        <w:t xml:space="preserve">Globalny rynek ubezpieczeń majątkowych dla </w:t>
      </w:r>
      <w:r w:rsidR="00E33257">
        <w:rPr>
          <w:rFonts w:asciiTheme="minorHAnsi" w:hAnsiTheme="minorHAnsi"/>
        </w:rPr>
        <w:t>firm</w:t>
      </w:r>
      <w:r w:rsidRPr="00120C75">
        <w:rPr>
          <w:rFonts w:asciiTheme="minorHAnsi" w:hAnsiTheme="minorHAnsi"/>
        </w:rPr>
        <w:t xml:space="preserve"> </w:t>
      </w:r>
      <w:r w:rsidR="00711D54" w:rsidRPr="00120C75">
        <w:rPr>
          <w:rFonts w:asciiTheme="minorHAnsi" w:hAnsiTheme="minorHAnsi"/>
        </w:rPr>
        <w:t>po siedmiu latach nieprzerwanego wzrostu stawek</w:t>
      </w:r>
      <w:r w:rsidR="00711D54">
        <w:rPr>
          <w:rFonts w:asciiTheme="minorHAnsi" w:hAnsiTheme="minorHAnsi"/>
        </w:rPr>
        <w:t xml:space="preserve"> </w:t>
      </w:r>
      <w:r w:rsidRPr="00120C75">
        <w:rPr>
          <w:rFonts w:asciiTheme="minorHAnsi" w:hAnsiTheme="minorHAnsi"/>
        </w:rPr>
        <w:t>wszedł w fazę miękką</w:t>
      </w:r>
      <w:r w:rsidR="00E33257">
        <w:rPr>
          <w:rFonts w:asciiTheme="minorHAnsi" w:hAnsiTheme="minorHAnsi"/>
        </w:rPr>
        <w:t>, czyli konkurencyjnych cen</w:t>
      </w:r>
      <w:r w:rsidRPr="00120C75">
        <w:rPr>
          <w:rFonts w:asciiTheme="minorHAnsi" w:hAnsiTheme="minorHAnsi"/>
        </w:rPr>
        <w:t xml:space="preserve">. Według danych Marsh Global </w:t>
      </w:r>
      <w:proofErr w:type="spellStart"/>
      <w:r w:rsidRPr="00120C75">
        <w:rPr>
          <w:rFonts w:asciiTheme="minorHAnsi" w:hAnsiTheme="minorHAnsi"/>
        </w:rPr>
        <w:t>Insurance</w:t>
      </w:r>
      <w:proofErr w:type="spellEnd"/>
      <w:r w:rsidRPr="00120C75">
        <w:rPr>
          <w:rFonts w:asciiTheme="minorHAnsi" w:hAnsiTheme="minorHAnsi"/>
        </w:rPr>
        <w:t xml:space="preserve"> Market Index ceny ubezpieczeń komercyjnych spadały przez sześć kolejnych kwartałów, a w czwartym kwartale</w:t>
      </w:r>
      <w:r w:rsidR="00E33257">
        <w:rPr>
          <w:rFonts w:asciiTheme="minorHAnsi" w:hAnsiTheme="minorHAnsi"/>
        </w:rPr>
        <w:t xml:space="preserve"> 2025 r.</w:t>
      </w:r>
      <w:r w:rsidRPr="00120C75">
        <w:rPr>
          <w:rFonts w:asciiTheme="minorHAnsi" w:hAnsiTheme="minorHAnsi"/>
        </w:rPr>
        <w:t xml:space="preserve"> spadek w Europie wyniósł 6%. Dla polskich przedsiębiorców otwiera się </w:t>
      </w:r>
      <w:r w:rsidR="00E33257">
        <w:rPr>
          <w:rFonts w:asciiTheme="minorHAnsi" w:hAnsiTheme="minorHAnsi"/>
        </w:rPr>
        <w:t xml:space="preserve">więc </w:t>
      </w:r>
      <w:r w:rsidRPr="00120C75">
        <w:rPr>
          <w:rFonts w:asciiTheme="minorHAnsi" w:hAnsiTheme="minorHAnsi"/>
        </w:rPr>
        <w:t>okno negocjacyjne, jakiego nie było od lat.</w:t>
      </w:r>
    </w:p>
    <w:p w14:paraId="4010DAAD" w14:textId="77777777" w:rsidR="00A92550" w:rsidRPr="00120C75" w:rsidRDefault="00A92550" w:rsidP="00120C75">
      <w:pPr>
        <w:pStyle w:val="font-claude-response-body"/>
        <w:jc w:val="both"/>
        <w:rPr>
          <w:rFonts w:asciiTheme="minorHAnsi" w:hAnsiTheme="minorHAnsi"/>
        </w:rPr>
      </w:pPr>
      <w:r w:rsidRPr="00120C75">
        <w:rPr>
          <w:rStyle w:val="Pogrubienie"/>
          <w:rFonts w:asciiTheme="minorHAnsi" w:hAnsiTheme="minorHAnsi"/>
        </w:rPr>
        <w:t>Rentowność napędza apetyt na ryzyko</w:t>
      </w:r>
    </w:p>
    <w:p w14:paraId="1B163819" w14:textId="44506816" w:rsidR="00961434" w:rsidRPr="00777ECE" w:rsidRDefault="00961434" w:rsidP="00961434">
      <w:pPr>
        <w:jc w:val="both"/>
        <w:rPr>
          <w:rFonts w:ascii="Aptos" w:hAnsi="Aptos"/>
          <w:sz w:val="24"/>
          <w:szCs w:val="24"/>
        </w:rPr>
      </w:pPr>
      <w:r w:rsidRPr="00777ECE">
        <w:rPr>
          <w:rFonts w:ascii="Aptos" w:hAnsi="Aptos"/>
          <w:sz w:val="24"/>
          <w:szCs w:val="24"/>
        </w:rPr>
        <w:t xml:space="preserve">Mimo spadku stawek polski sektor ubezpieczeń majątkowych rośnie. Dane PIU </w:t>
      </w:r>
      <w:r w:rsidR="00A318FF">
        <w:rPr>
          <w:rFonts w:ascii="Aptos" w:hAnsi="Aptos"/>
          <w:sz w:val="24"/>
          <w:szCs w:val="24"/>
        </w:rPr>
        <w:t xml:space="preserve">i </w:t>
      </w:r>
      <w:r w:rsidRPr="00777ECE">
        <w:rPr>
          <w:rFonts w:ascii="Aptos" w:hAnsi="Aptos"/>
          <w:sz w:val="24"/>
          <w:szCs w:val="24"/>
        </w:rPr>
        <w:t xml:space="preserve">KNF za 2025 rok wskazują na wzrost składki przypisanej brutto </w:t>
      </w:r>
      <w:r w:rsidR="00A318FF">
        <w:rPr>
          <w:rFonts w:ascii="Aptos" w:hAnsi="Aptos"/>
          <w:sz w:val="24"/>
          <w:szCs w:val="24"/>
        </w:rPr>
        <w:t xml:space="preserve">w polisach majątkowych </w:t>
      </w:r>
      <w:r w:rsidRPr="00777ECE">
        <w:rPr>
          <w:rFonts w:ascii="Aptos" w:hAnsi="Aptos"/>
          <w:sz w:val="24"/>
          <w:szCs w:val="24"/>
        </w:rPr>
        <w:t xml:space="preserve">o 5,9% r/r – do 64,75 mld zł. Przypis w ubezpieczeniach mienia (grupy 8 i 9, czyli szkody rzeczowe spowodowane żywiołami – ogień, eksplozja, burza, obsunięcia ziemi – oraz pozostałe szkody rzeczowe, np. wywołane gradem, mrozem czy kradzieżą) osiągnął 13,59 mld zł (+4,4% r/r), przy czym dynamika była nierówna: grupa 8 (żywioły) urosła o 11,7%, podczas gdy grupa 9 (pozostałe szkody rzeczowe) skurczyła się o 3,1%. </w:t>
      </w:r>
    </w:p>
    <w:p w14:paraId="173F57E8" w14:textId="77777777" w:rsidR="00961434" w:rsidRPr="00777ECE" w:rsidRDefault="00961434" w:rsidP="00961434">
      <w:pPr>
        <w:jc w:val="both"/>
        <w:rPr>
          <w:rFonts w:ascii="Aptos" w:hAnsi="Aptos"/>
          <w:sz w:val="24"/>
          <w:szCs w:val="24"/>
        </w:rPr>
      </w:pPr>
    </w:p>
    <w:p w14:paraId="5137793B" w14:textId="587D72FA" w:rsidR="00DA5405" w:rsidRDefault="00961434" w:rsidP="00DA5405">
      <w:pPr>
        <w:jc w:val="both"/>
        <w:rPr>
          <w:rFonts w:ascii="Aptos" w:hAnsi="Aptos"/>
          <w:sz w:val="24"/>
          <w:szCs w:val="24"/>
        </w:rPr>
      </w:pPr>
      <w:r w:rsidRPr="00777ECE">
        <w:rPr>
          <w:rFonts w:ascii="Aptos" w:hAnsi="Aptos"/>
          <w:sz w:val="24"/>
          <w:szCs w:val="24"/>
        </w:rPr>
        <w:t xml:space="preserve">W sektorze przedsiębiorstw niefinansowych składka za grupy 8 i 9 lekko spadła (-1,0%, do 6,02 mld zł) – firmy płacą więc realnie mniej za ubezpieczenie mienia mimo rosnącej ekspozycji na ryzyko. Dane KNF potwierdzają też korzystną szkodowość – liczba zlikwidowanych szkód w grupie 8 spadła o 20,8%, a zdarzeń o 24,4% r/r. </w:t>
      </w:r>
    </w:p>
    <w:p w14:paraId="0AE1FE14" w14:textId="77777777" w:rsidR="00DA5405" w:rsidRPr="00777ECE" w:rsidRDefault="00DA5405" w:rsidP="00777ECE">
      <w:pPr>
        <w:jc w:val="both"/>
      </w:pPr>
    </w:p>
    <w:p w14:paraId="2029EE74" w14:textId="6C65ADF5" w:rsidR="00A92550" w:rsidRPr="00777ECE" w:rsidRDefault="00A92550" w:rsidP="00777ECE">
      <w:pPr>
        <w:jc w:val="both"/>
        <w:rPr>
          <w:rFonts w:asciiTheme="minorHAnsi" w:hAnsiTheme="minorHAnsi"/>
          <w:b/>
          <w:bCs/>
          <w:sz w:val="24"/>
          <w:szCs w:val="24"/>
        </w:rPr>
      </w:pPr>
      <w:r w:rsidRPr="00777ECE">
        <w:rPr>
          <w:rFonts w:asciiTheme="minorHAnsi" w:hAnsiTheme="minorHAnsi"/>
          <w:i/>
          <w:iCs/>
          <w:sz w:val="24"/>
          <w:szCs w:val="24"/>
        </w:rPr>
        <w:t xml:space="preserve">– </w:t>
      </w:r>
      <w:r w:rsidR="009867F1" w:rsidRPr="00777ECE">
        <w:rPr>
          <w:rFonts w:asciiTheme="minorHAnsi" w:hAnsiTheme="minorHAnsi"/>
          <w:i/>
          <w:iCs/>
          <w:sz w:val="24"/>
          <w:szCs w:val="24"/>
        </w:rPr>
        <w:t xml:space="preserve"> </w:t>
      </w:r>
      <w:r w:rsidRPr="00777ECE">
        <w:rPr>
          <w:rFonts w:asciiTheme="minorHAnsi" w:hAnsiTheme="minorHAnsi"/>
          <w:i/>
          <w:iCs/>
          <w:sz w:val="24"/>
          <w:szCs w:val="24"/>
        </w:rPr>
        <w:t>Polscy ubezpieczyciele mają dziś i pojemność, i apetyt na ryzyko korporacyjne. Warunki negocjacyjne są najlepsze od lat</w:t>
      </w:r>
      <w:r w:rsidR="006D70E8" w:rsidRPr="00777ECE">
        <w:rPr>
          <w:rFonts w:asciiTheme="minorHAnsi" w:hAnsiTheme="minorHAnsi"/>
          <w:sz w:val="24"/>
          <w:szCs w:val="24"/>
        </w:rPr>
        <w:t xml:space="preserve">. </w:t>
      </w:r>
      <w:r w:rsidR="006D70E8" w:rsidRPr="00777ECE">
        <w:rPr>
          <w:rFonts w:asciiTheme="minorHAnsi" w:hAnsiTheme="minorHAnsi"/>
          <w:i/>
          <w:iCs/>
          <w:sz w:val="24"/>
          <w:szCs w:val="24"/>
        </w:rPr>
        <w:t>Klienci korporacyjni coraz aktywniej korzystają z miękkiej fazy rynku. Najczęściej obserwowane działania to podnoszenie sum ubezpieczenia przy zachowaniu dotychczasowej składki, rozszerzanie zakresu ochrony o ryzyka wcześniej pomijane (m.in. ubezpieczenie od utraty zysku) oraz wykupowanie rozszerzeń znoszących wyłączenia odpowiedzialności. Rośnie też popularność umów dwu- i trzyletnich</w:t>
      </w:r>
      <w:r w:rsidR="006D70E8" w:rsidRPr="00777ECE">
        <w:rPr>
          <w:rFonts w:asciiTheme="minorHAnsi" w:hAnsiTheme="minorHAnsi"/>
          <w:sz w:val="24"/>
          <w:szCs w:val="24"/>
        </w:rPr>
        <w:t xml:space="preserve">, które pozwalają zakotwiczyć korzystne warunki przed ewentualnym odwróceniem cyklu rynkowego </w:t>
      </w:r>
      <w:r w:rsidRPr="00777ECE">
        <w:rPr>
          <w:rFonts w:asciiTheme="minorHAnsi" w:hAnsiTheme="minorHAnsi"/>
          <w:sz w:val="24"/>
          <w:szCs w:val="24"/>
        </w:rPr>
        <w:t xml:space="preserve">– mówi </w:t>
      </w:r>
      <w:r w:rsidRPr="00777ECE">
        <w:rPr>
          <w:rStyle w:val="Pogrubienie"/>
          <w:rFonts w:asciiTheme="minorHAnsi" w:hAnsiTheme="minorHAnsi"/>
          <w:b w:val="0"/>
          <w:bCs w:val="0"/>
          <w:sz w:val="24"/>
          <w:szCs w:val="24"/>
        </w:rPr>
        <w:t>Agata Kozieł, Dyrektor Działu Ubezpieczeń Korporacyjnych w SALTUS Ubezpieczenia</w:t>
      </w:r>
      <w:r w:rsidRPr="00777ECE">
        <w:rPr>
          <w:rFonts w:asciiTheme="minorHAnsi" w:hAnsiTheme="minorHAnsi"/>
          <w:b/>
          <w:bCs/>
          <w:sz w:val="24"/>
          <w:szCs w:val="24"/>
        </w:rPr>
        <w:t>.</w:t>
      </w:r>
    </w:p>
    <w:p w14:paraId="3543A481" w14:textId="77777777" w:rsidR="00DA5405" w:rsidRDefault="00DA5405" w:rsidP="00777ECE">
      <w:pPr>
        <w:rPr>
          <w:rFonts w:asciiTheme="minorHAnsi" w:hAnsiTheme="minorHAnsi"/>
          <w:b/>
          <w:bCs/>
        </w:rPr>
      </w:pPr>
    </w:p>
    <w:p w14:paraId="742EDA40" w14:textId="61C8FEBC" w:rsidR="00CA7A9D" w:rsidRPr="004D129F" w:rsidRDefault="00CA7A9D" w:rsidP="00CA7A9D">
      <w:pPr>
        <w:spacing w:after="16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eastAsia="Arial" w:hAnsiTheme="minorHAnsi" w:cs="Arial"/>
          <w:sz w:val="24"/>
          <w:szCs w:val="24"/>
        </w:rPr>
        <w:t>Należy też pamiętać, że f</w:t>
      </w:r>
      <w:r w:rsidRPr="004D129F">
        <w:rPr>
          <w:rFonts w:asciiTheme="minorHAnsi" w:eastAsia="Arial" w:hAnsiTheme="minorHAnsi" w:cs="Arial"/>
          <w:sz w:val="24"/>
          <w:szCs w:val="24"/>
        </w:rPr>
        <w:t>azy miękkie nie trwają wiecznie.</w:t>
      </w:r>
      <w:r>
        <w:rPr>
          <w:rFonts w:asciiTheme="minorHAnsi" w:eastAsia="Arial" w:hAnsiTheme="minorHAnsi" w:cs="Arial"/>
          <w:sz w:val="24"/>
          <w:szCs w:val="24"/>
        </w:rPr>
        <w:t xml:space="preserve"> Wystarczy j</w:t>
      </w:r>
      <w:r w:rsidRPr="004D129F">
        <w:rPr>
          <w:rFonts w:asciiTheme="minorHAnsi" w:eastAsia="Arial" w:hAnsiTheme="minorHAnsi" w:cs="Arial"/>
          <w:sz w:val="24"/>
          <w:szCs w:val="24"/>
        </w:rPr>
        <w:t>edno większe zdarzenie katastroficzne, zmiana otoczenia regulacyjnego, wzrost szkodowości – i</w:t>
      </w:r>
      <w:r>
        <w:rPr>
          <w:rFonts w:asciiTheme="minorHAnsi" w:eastAsia="Arial" w:hAnsiTheme="minorHAnsi" w:cs="Arial"/>
          <w:sz w:val="24"/>
          <w:szCs w:val="24"/>
        </w:rPr>
        <w:t> </w:t>
      </w:r>
      <w:r w:rsidRPr="004D129F">
        <w:rPr>
          <w:rFonts w:asciiTheme="minorHAnsi" w:eastAsia="Arial" w:hAnsiTheme="minorHAnsi" w:cs="Arial"/>
          <w:sz w:val="24"/>
          <w:szCs w:val="24"/>
        </w:rPr>
        <w:t>warunki się zacieśnią. Firmy, które dziś potraktują koniunkturę jako okazję do zbudowania solidnego programu ochrony, będą w lepszej pozycji niezależnie od tego, co przyniesie rynek. Te, które skupią się wyłącznie na cięciu kosztów składki – mogą pożałować tej decyzji przy pierwszej poważnej szkodzie.</w:t>
      </w:r>
    </w:p>
    <w:p w14:paraId="5E8FD1DF" w14:textId="77777777" w:rsidR="00A92550" w:rsidRPr="00120C75" w:rsidRDefault="00A92550" w:rsidP="00120C75">
      <w:pPr>
        <w:pStyle w:val="font-claude-response-body"/>
        <w:jc w:val="both"/>
        <w:rPr>
          <w:rFonts w:asciiTheme="minorHAnsi" w:hAnsiTheme="minorHAnsi"/>
        </w:rPr>
      </w:pPr>
      <w:r w:rsidRPr="00120C75">
        <w:rPr>
          <w:rStyle w:val="Pogrubienie"/>
          <w:rFonts w:asciiTheme="minorHAnsi" w:hAnsiTheme="minorHAnsi"/>
        </w:rPr>
        <w:lastRenderedPageBreak/>
        <w:t>Niedoubezpieczenie pozostaje wyzwaniem</w:t>
      </w:r>
    </w:p>
    <w:p w14:paraId="4E73524B" w14:textId="713E051C" w:rsidR="00A92550" w:rsidRDefault="00A92550" w:rsidP="00120C75">
      <w:pPr>
        <w:pStyle w:val="font-claude-response-body"/>
        <w:jc w:val="both"/>
        <w:rPr>
          <w:rFonts w:asciiTheme="minorHAnsi" w:hAnsiTheme="minorHAnsi"/>
        </w:rPr>
      </w:pPr>
      <w:r w:rsidRPr="00120C75">
        <w:rPr>
          <w:rFonts w:asciiTheme="minorHAnsi" w:hAnsiTheme="minorHAnsi"/>
        </w:rPr>
        <w:t xml:space="preserve">Mimo sprzyjających warunków cenowych </w:t>
      </w:r>
      <w:r w:rsidR="00923E0E">
        <w:rPr>
          <w:rFonts w:asciiTheme="minorHAnsi" w:hAnsiTheme="minorHAnsi"/>
        </w:rPr>
        <w:t>nie zniknął jeden istotny problem</w:t>
      </w:r>
      <w:r w:rsidRPr="00120C75">
        <w:rPr>
          <w:rFonts w:asciiTheme="minorHAnsi" w:hAnsiTheme="minorHAnsi"/>
        </w:rPr>
        <w:t xml:space="preserve"> polskiego rynku</w:t>
      </w:r>
      <w:r w:rsidR="00923E0E">
        <w:rPr>
          <w:rFonts w:asciiTheme="minorHAnsi" w:hAnsiTheme="minorHAnsi"/>
        </w:rPr>
        <w:t>, czyli</w:t>
      </w:r>
      <w:r w:rsidRPr="00120C75">
        <w:rPr>
          <w:rFonts w:asciiTheme="minorHAnsi" w:hAnsiTheme="minorHAnsi"/>
        </w:rPr>
        <w:t xml:space="preserve">   niedoubezpieczenie. Według szacunków PIU nawet 3 na 10 </w:t>
      </w:r>
      <w:r w:rsidR="000B59FE">
        <w:rPr>
          <w:rFonts w:asciiTheme="minorHAnsi" w:hAnsiTheme="minorHAnsi"/>
        </w:rPr>
        <w:t xml:space="preserve">wszystkich </w:t>
      </w:r>
      <w:r w:rsidRPr="00120C75">
        <w:rPr>
          <w:rFonts w:asciiTheme="minorHAnsi" w:hAnsiTheme="minorHAnsi"/>
        </w:rPr>
        <w:t>nieruchomości może nie być dostatecznie chronionych, a wartość niedoszacowania sięga średnio 3</w:t>
      </w:r>
      <w:r w:rsidR="000B59FE">
        <w:rPr>
          <w:rFonts w:asciiTheme="minorHAnsi" w:hAnsiTheme="minorHAnsi"/>
        </w:rPr>
        <w:t>1</w:t>
      </w:r>
      <w:r w:rsidRPr="00120C75">
        <w:rPr>
          <w:rFonts w:asciiTheme="minorHAnsi" w:hAnsiTheme="minorHAnsi"/>
        </w:rPr>
        <w:t xml:space="preserve">%. Dane KNF za 2024 rok pokazują skalę ryzyka – łączna wartość szkód katastroficznych wyniosła 3,84 mld zł (wzrost o 272% r/r), a wrześniowe powodzie na południu kraju wygenerowały straty szacowane na 13 mld zł. </w:t>
      </w:r>
      <w:r w:rsidR="00242A17">
        <w:rPr>
          <w:rFonts w:asciiTheme="minorHAnsi" w:hAnsiTheme="minorHAnsi"/>
        </w:rPr>
        <w:t xml:space="preserve">Powszechność tego problemu </w:t>
      </w:r>
      <w:r w:rsidR="00923E0E">
        <w:rPr>
          <w:rFonts w:asciiTheme="minorHAnsi" w:hAnsiTheme="minorHAnsi"/>
        </w:rPr>
        <w:t xml:space="preserve">pokazują też </w:t>
      </w:r>
      <w:r w:rsidR="00242A17">
        <w:rPr>
          <w:rFonts w:asciiTheme="minorHAnsi" w:hAnsiTheme="minorHAnsi"/>
        </w:rPr>
        <w:t>r</w:t>
      </w:r>
      <w:r w:rsidR="00923E0E">
        <w:rPr>
          <w:rFonts w:asciiTheme="minorHAnsi" w:hAnsiTheme="minorHAnsi"/>
        </w:rPr>
        <w:t>aporty międzynarodowe</w:t>
      </w:r>
      <w:r w:rsidR="00C13D1E">
        <w:rPr>
          <w:rFonts w:asciiTheme="minorHAnsi" w:hAnsiTheme="minorHAnsi"/>
        </w:rPr>
        <w:t xml:space="preserve">, </w:t>
      </w:r>
      <w:r w:rsidR="00923E0E">
        <w:rPr>
          <w:rFonts w:asciiTheme="minorHAnsi" w:hAnsiTheme="minorHAnsi"/>
        </w:rPr>
        <w:t xml:space="preserve">jak </w:t>
      </w:r>
      <w:proofErr w:type="spellStart"/>
      <w:r w:rsidRPr="00120C75">
        <w:rPr>
          <w:rFonts w:asciiTheme="minorHAnsi" w:hAnsiTheme="minorHAnsi"/>
        </w:rPr>
        <w:t>Aon</w:t>
      </w:r>
      <w:proofErr w:type="spellEnd"/>
      <w:r w:rsidRPr="00120C75">
        <w:rPr>
          <w:rFonts w:asciiTheme="minorHAnsi" w:hAnsiTheme="minorHAnsi"/>
        </w:rPr>
        <w:t xml:space="preserve"> </w:t>
      </w:r>
      <w:proofErr w:type="spellStart"/>
      <w:r w:rsidRPr="00120C75">
        <w:rPr>
          <w:rFonts w:asciiTheme="minorHAnsi" w:hAnsiTheme="minorHAnsi"/>
        </w:rPr>
        <w:t>Climate</w:t>
      </w:r>
      <w:proofErr w:type="spellEnd"/>
      <w:r w:rsidRPr="00120C75">
        <w:rPr>
          <w:rFonts w:asciiTheme="minorHAnsi" w:hAnsiTheme="minorHAnsi"/>
        </w:rPr>
        <w:t xml:space="preserve"> and </w:t>
      </w:r>
      <w:proofErr w:type="spellStart"/>
      <w:r w:rsidRPr="00120C75">
        <w:rPr>
          <w:rFonts w:asciiTheme="minorHAnsi" w:hAnsiTheme="minorHAnsi"/>
        </w:rPr>
        <w:t>Catastrophe</w:t>
      </w:r>
      <w:proofErr w:type="spellEnd"/>
      <w:r w:rsidRPr="00120C75">
        <w:rPr>
          <w:rFonts w:asciiTheme="minorHAnsi" w:hAnsiTheme="minorHAnsi"/>
        </w:rPr>
        <w:t xml:space="preserve"> </w:t>
      </w:r>
      <w:proofErr w:type="spellStart"/>
      <w:r w:rsidRPr="00120C75">
        <w:rPr>
          <w:rFonts w:asciiTheme="minorHAnsi" w:hAnsiTheme="minorHAnsi"/>
        </w:rPr>
        <w:t>Insight</w:t>
      </w:r>
      <w:proofErr w:type="spellEnd"/>
      <w:r w:rsidR="00D03D5D">
        <w:rPr>
          <w:rFonts w:asciiTheme="minorHAnsi" w:hAnsiTheme="minorHAnsi"/>
        </w:rPr>
        <w:t xml:space="preserve">. </w:t>
      </w:r>
      <w:r w:rsidR="00C13D1E">
        <w:rPr>
          <w:rFonts w:asciiTheme="minorHAnsi" w:hAnsiTheme="minorHAnsi"/>
        </w:rPr>
        <w:t>P</w:t>
      </w:r>
      <w:r w:rsidRPr="00120C75">
        <w:rPr>
          <w:rFonts w:asciiTheme="minorHAnsi" w:hAnsiTheme="minorHAnsi"/>
        </w:rPr>
        <w:t>otwierdza</w:t>
      </w:r>
      <w:r w:rsidR="00C13D1E">
        <w:rPr>
          <w:rFonts w:asciiTheme="minorHAnsi" w:hAnsiTheme="minorHAnsi"/>
        </w:rPr>
        <w:t xml:space="preserve"> on</w:t>
      </w:r>
      <w:r w:rsidRPr="00120C75">
        <w:rPr>
          <w:rFonts w:asciiTheme="minorHAnsi" w:hAnsiTheme="minorHAnsi"/>
        </w:rPr>
        <w:t>, że ubezpieczenia pokryły zaledwie 30% szkód naturalnych w Polsce</w:t>
      </w:r>
      <w:r w:rsidR="00923E0E">
        <w:rPr>
          <w:rFonts w:asciiTheme="minorHAnsi" w:hAnsiTheme="minorHAnsi"/>
        </w:rPr>
        <w:t>, a</w:t>
      </w:r>
      <w:r w:rsidRPr="00120C75">
        <w:rPr>
          <w:rFonts w:asciiTheme="minorHAnsi" w:hAnsiTheme="minorHAnsi"/>
        </w:rPr>
        <w:t xml:space="preserve"> luka ochronna sięg</w:t>
      </w:r>
      <w:r w:rsidR="00923E0E">
        <w:rPr>
          <w:rFonts w:asciiTheme="minorHAnsi" w:hAnsiTheme="minorHAnsi"/>
        </w:rPr>
        <w:t>a</w:t>
      </w:r>
      <w:r w:rsidRPr="00120C75">
        <w:rPr>
          <w:rFonts w:asciiTheme="minorHAnsi" w:hAnsiTheme="minorHAnsi"/>
        </w:rPr>
        <w:t xml:space="preserve"> 70%.</w:t>
      </w:r>
    </w:p>
    <w:p w14:paraId="40212CA8" w14:textId="6E7B510E" w:rsidR="00A92550" w:rsidRPr="00120C75" w:rsidRDefault="00241DA8" w:rsidP="00241DA8">
      <w:pPr>
        <w:pStyle w:val="pf0"/>
        <w:jc w:val="both"/>
        <w:rPr>
          <w:rFonts w:asciiTheme="minorHAnsi" w:hAnsiTheme="minorHAnsi"/>
        </w:rPr>
      </w:pPr>
      <w:r w:rsidRPr="009867F1">
        <w:rPr>
          <w:rFonts w:asciiTheme="minorHAnsi" w:hAnsiTheme="minorHAnsi"/>
          <w:i/>
          <w:iCs/>
        </w:rPr>
        <w:t>–</w:t>
      </w:r>
      <w:r w:rsidR="002C43CD">
        <w:rPr>
          <w:rStyle w:val="cf01"/>
          <w:rFonts w:ascii="Aptos" w:hAnsi="Aptos"/>
          <w:i/>
          <w:iCs/>
          <w:sz w:val="24"/>
          <w:szCs w:val="24"/>
        </w:rPr>
        <w:t xml:space="preserve"> </w:t>
      </w:r>
      <w:r w:rsidR="002C43CD" w:rsidRPr="00241DA8">
        <w:rPr>
          <w:rStyle w:val="cf01"/>
          <w:rFonts w:ascii="Aptos" w:hAnsi="Aptos"/>
          <w:i/>
          <w:iCs/>
          <w:sz w:val="24"/>
          <w:szCs w:val="24"/>
        </w:rPr>
        <w:t>2026</w:t>
      </w:r>
      <w:r>
        <w:rPr>
          <w:rStyle w:val="cf01"/>
          <w:rFonts w:ascii="Aptos" w:hAnsi="Aptos"/>
          <w:i/>
          <w:iCs/>
          <w:sz w:val="24"/>
          <w:szCs w:val="24"/>
        </w:rPr>
        <w:t xml:space="preserve"> </w:t>
      </w:r>
      <w:r w:rsidR="002C43CD">
        <w:rPr>
          <w:rStyle w:val="cf01"/>
          <w:rFonts w:ascii="Aptos" w:hAnsi="Aptos"/>
          <w:i/>
          <w:iCs/>
          <w:sz w:val="24"/>
          <w:szCs w:val="24"/>
        </w:rPr>
        <w:t xml:space="preserve">rok </w:t>
      </w:r>
      <w:r w:rsidR="002C43CD" w:rsidRPr="00241DA8">
        <w:rPr>
          <w:rStyle w:val="cf01"/>
          <w:rFonts w:ascii="Aptos" w:hAnsi="Aptos"/>
          <w:i/>
          <w:iCs/>
          <w:sz w:val="24"/>
          <w:szCs w:val="24"/>
        </w:rPr>
        <w:t xml:space="preserve">to optymalny moment na audyt posiadanej ochrony z uwagi na korzystne ceny. Należy go jednak przeprowadzić rozsądnie, żeby nie wpaść w pułapkę niedoubezpieczenia. Weryfikację i ewentualne zmiany warto przeprowadzić wspólnie z brokerem ubezpieczeniowym. </w:t>
      </w:r>
      <w:r w:rsidR="00131D03">
        <w:rPr>
          <w:rStyle w:val="cf01"/>
          <w:rFonts w:ascii="Aptos" w:hAnsi="Aptos"/>
          <w:i/>
          <w:iCs/>
          <w:sz w:val="24"/>
          <w:szCs w:val="24"/>
        </w:rPr>
        <w:t>W</w:t>
      </w:r>
      <w:r w:rsidR="002C43CD" w:rsidRPr="00241DA8">
        <w:rPr>
          <w:rStyle w:val="cf01"/>
          <w:rFonts w:ascii="Aptos" w:hAnsi="Aptos"/>
          <w:i/>
          <w:iCs/>
          <w:sz w:val="24"/>
          <w:szCs w:val="24"/>
        </w:rPr>
        <w:t xml:space="preserve">iedza i doświadczenie, a także znajomość konkretnych branż i firm, pozwalają </w:t>
      </w:r>
      <w:r w:rsidR="00131D03">
        <w:rPr>
          <w:rStyle w:val="cf01"/>
          <w:rFonts w:ascii="Aptos" w:hAnsi="Aptos"/>
          <w:i/>
          <w:iCs/>
          <w:sz w:val="24"/>
          <w:szCs w:val="24"/>
        </w:rPr>
        <w:t xml:space="preserve">mu </w:t>
      </w:r>
      <w:r w:rsidR="002C43CD" w:rsidRPr="00241DA8">
        <w:rPr>
          <w:rStyle w:val="cf01"/>
          <w:rFonts w:ascii="Aptos" w:hAnsi="Aptos"/>
          <w:i/>
          <w:iCs/>
          <w:sz w:val="24"/>
          <w:szCs w:val="24"/>
        </w:rPr>
        <w:t>najlepiej zidentyfikować miejsca wrażliwe na kryzys</w:t>
      </w:r>
      <w:r w:rsidR="0070710B">
        <w:rPr>
          <w:rStyle w:val="cf01"/>
          <w:rFonts w:ascii="Aptos" w:hAnsi="Aptos"/>
          <w:i/>
          <w:iCs/>
          <w:sz w:val="24"/>
          <w:szCs w:val="24"/>
        </w:rPr>
        <w:t xml:space="preserve"> oraz</w:t>
      </w:r>
      <w:r w:rsidR="002C43CD" w:rsidRPr="00241DA8">
        <w:rPr>
          <w:rStyle w:val="cf01"/>
          <w:rFonts w:ascii="Aptos" w:hAnsi="Aptos"/>
          <w:i/>
          <w:iCs/>
          <w:sz w:val="24"/>
          <w:szCs w:val="24"/>
        </w:rPr>
        <w:t xml:space="preserve"> wynegocjować korzystne warunki, które zabezpieczą firmę kompleksowo. Przy odnawianiu polisy nie można też pominąć aktualizacji wartości odtworzeniowej mienia i klauzul inflacyjnych czy </w:t>
      </w:r>
      <w:proofErr w:type="spellStart"/>
      <w:r w:rsidR="002C43CD" w:rsidRPr="00241DA8">
        <w:rPr>
          <w:rStyle w:val="cf01"/>
          <w:rFonts w:ascii="Aptos" w:hAnsi="Aptos"/>
          <w:i/>
          <w:iCs/>
          <w:sz w:val="24"/>
          <w:szCs w:val="24"/>
        </w:rPr>
        <w:t>leeway</w:t>
      </w:r>
      <w:proofErr w:type="spellEnd"/>
      <w:r w:rsidR="002C43CD" w:rsidRPr="00241DA8">
        <w:rPr>
          <w:rStyle w:val="cf01"/>
          <w:rFonts w:ascii="Aptos" w:hAnsi="Aptos"/>
          <w:i/>
          <w:iCs/>
          <w:sz w:val="24"/>
          <w:szCs w:val="24"/>
        </w:rPr>
        <w:t>, które minimalizują ryzyko niedoszacowania wartości mienia. To ryzyko, na które odpowiedzialny biznes nie może sobie dziś pozwolić</w:t>
      </w:r>
      <w:r>
        <w:rPr>
          <w:rStyle w:val="cf01"/>
          <w:rFonts w:ascii="Aptos" w:hAnsi="Aptos"/>
          <w:i/>
          <w:iCs/>
          <w:sz w:val="24"/>
          <w:szCs w:val="24"/>
        </w:rPr>
        <w:t xml:space="preserve"> </w:t>
      </w:r>
      <w:r w:rsidR="00A92550" w:rsidRPr="00120C75">
        <w:rPr>
          <w:rFonts w:asciiTheme="minorHAnsi" w:hAnsiTheme="minorHAnsi"/>
        </w:rPr>
        <w:t>– dodaje Agata Kozieł</w:t>
      </w:r>
      <w:r w:rsidR="000E685F">
        <w:rPr>
          <w:rFonts w:asciiTheme="minorHAnsi" w:hAnsiTheme="minorHAnsi"/>
        </w:rPr>
        <w:t xml:space="preserve"> z </w:t>
      </w:r>
      <w:r w:rsidR="000E685F" w:rsidRPr="009867F1">
        <w:rPr>
          <w:rStyle w:val="Pogrubienie"/>
          <w:rFonts w:asciiTheme="minorHAnsi" w:hAnsiTheme="minorHAnsi"/>
          <w:b w:val="0"/>
          <w:bCs w:val="0"/>
        </w:rPr>
        <w:t>SALTUS Ubezpieczenia</w:t>
      </w:r>
      <w:r w:rsidR="00A92550" w:rsidRPr="00120C75">
        <w:rPr>
          <w:rFonts w:asciiTheme="minorHAnsi" w:hAnsiTheme="minorHAnsi"/>
        </w:rPr>
        <w:t>.</w:t>
      </w:r>
    </w:p>
    <w:p w14:paraId="78E2E59F" w14:textId="795EC420" w:rsidR="007E2B13" w:rsidRDefault="007E2B13" w:rsidP="00120C75">
      <w:pPr>
        <w:jc w:val="both"/>
        <w:rPr>
          <w:rFonts w:asciiTheme="minorHAnsi" w:eastAsia="Arial" w:hAnsiTheme="minorHAnsi"/>
        </w:rPr>
      </w:pPr>
    </w:p>
    <w:p w14:paraId="474A30A4" w14:textId="77777777" w:rsidR="007952D7" w:rsidRPr="00120C75" w:rsidRDefault="007952D7" w:rsidP="00563C6B">
      <w:pPr>
        <w:pStyle w:val="pf0"/>
        <w:rPr>
          <w:rFonts w:asciiTheme="minorHAnsi" w:eastAsia="Arial" w:hAnsiTheme="minorHAnsi"/>
        </w:rPr>
      </w:pPr>
    </w:p>
    <w:sectPr w:rsidR="007952D7" w:rsidRPr="00120C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02811" w14:textId="77777777" w:rsidR="00AD4661" w:rsidRDefault="00AD4661" w:rsidP="009610DA">
      <w:r>
        <w:separator/>
      </w:r>
    </w:p>
  </w:endnote>
  <w:endnote w:type="continuationSeparator" w:id="0">
    <w:p w14:paraId="4442CE64" w14:textId="77777777" w:rsidR="00AD4661" w:rsidRDefault="00AD4661" w:rsidP="00961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E39DE" w14:textId="77777777" w:rsidR="00AD4661" w:rsidRDefault="00AD4661" w:rsidP="009610DA">
      <w:r>
        <w:separator/>
      </w:r>
    </w:p>
  </w:footnote>
  <w:footnote w:type="continuationSeparator" w:id="0">
    <w:p w14:paraId="1592C519" w14:textId="77777777" w:rsidR="00AD4661" w:rsidRDefault="00AD4661" w:rsidP="009610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6695A"/>
    <w:multiLevelType w:val="hybridMultilevel"/>
    <w:tmpl w:val="CF8CE1D2"/>
    <w:lvl w:ilvl="0" w:tplc="BD54D45C">
      <w:start w:val="1"/>
      <w:numFmt w:val="bullet"/>
      <w:lvlText w:val="●"/>
      <w:lvlJc w:val="left"/>
      <w:pPr>
        <w:ind w:left="720" w:hanging="360"/>
      </w:pPr>
    </w:lvl>
    <w:lvl w:ilvl="1" w:tplc="5944E522">
      <w:start w:val="1"/>
      <w:numFmt w:val="bullet"/>
      <w:lvlText w:val="○"/>
      <w:lvlJc w:val="left"/>
      <w:pPr>
        <w:ind w:left="1440" w:hanging="360"/>
      </w:pPr>
    </w:lvl>
    <w:lvl w:ilvl="2" w:tplc="F34073AE">
      <w:start w:val="1"/>
      <w:numFmt w:val="bullet"/>
      <w:lvlText w:val="■"/>
      <w:lvlJc w:val="left"/>
      <w:pPr>
        <w:ind w:left="2160" w:hanging="360"/>
      </w:pPr>
    </w:lvl>
    <w:lvl w:ilvl="3" w:tplc="67D49046">
      <w:start w:val="1"/>
      <w:numFmt w:val="bullet"/>
      <w:lvlText w:val="●"/>
      <w:lvlJc w:val="left"/>
      <w:pPr>
        <w:ind w:left="2880" w:hanging="360"/>
      </w:pPr>
    </w:lvl>
    <w:lvl w:ilvl="4" w:tplc="553A0F76">
      <w:start w:val="1"/>
      <w:numFmt w:val="bullet"/>
      <w:lvlText w:val="○"/>
      <w:lvlJc w:val="left"/>
      <w:pPr>
        <w:ind w:left="3600" w:hanging="360"/>
      </w:pPr>
    </w:lvl>
    <w:lvl w:ilvl="5" w:tplc="A6AE0B26">
      <w:start w:val="1"/>
      <w:numFmt w:val="bullet"/>
      <w:lvlText w:val="■"/>
      <w:lvlJc w:val="left"/>
      <w:pPr>
        <w:ind w:left="4320" w:hanging="360"/>
      </w:pPr>
    </w:lvl>
    <w:lvl w:ilvl="6" w:tplc="EEE681AA">
      <w:start w:val="1"/>
      <w:numFmt w:val="bullet"/>
      <w:lvlText w:val="●"/>
      <w:lvlJc w:val="left"/>
      <w:pPr>
        <w:ind w:left="5040" w:hanging="360"/>
      </w:pPr>
    </w:lvl>
    <w:lvl w:ilvl="7" w:tplc="DDC6B280">
      <w:start w:val="1"/>
      <w:numFmt w:val="bullet"/>
      <w:lvlText w:val="●"/>
      <w:lvlJc w:val="left"/>
      <w:pPr>
        <w:ind w:left="5760" w:hanging="360"/>
      </w:pPr>
    </w:lvl>
    <w:lvl w:ilvl="8" w:tplc="7C72A4E4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23CF6AC3"/>
    <w:multiLevelType w:val="hybridMultilevel"/>
    <w:tmpl w:val="F5847A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620A7D"/>
    <w:multiLevelType w:val="hybridMultilevel"/>
    <w:tmpl w:val="1E5861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A16252"/>
    <w:multiLevelType w:val="hybridMultilevel"/>
    <w:tmpl w:val="77241834"/>
    <w:lvl w:ilvl="0" w:tplc="C898FBA6">
      <w:start w:val="1"/>
      <w:numFmt w:val="decimal"/>
      <w:lvlText w:val="%1."/>
      <w:lvlJc w:val="left"/>
      <w:pPr>
        <w:ind w:left="720" w:hanging="360"/>
      </w:pPr>
    </w:lvl>
    <w:lvl w:ilvl="1" w:tplc="CA5CCAE8">
      <w:start w:val="1"/>
      <w:numFmt w:val="decimal"/>
      <w:lvlText w:val="%2."/>
      <w:lvlJc w:val="left"/>
      <w:pPr>
        <w:ind w:left="720" w:hanging="360"/>
      </w:pPr>
    </w:lvl>
    <w:lvl w:ilvl="2" w:tplc="9FDAD5B8">
      <w:start w:val="1"/>
      <w:numFmt w:val="decimal"/>
      <w:lvlText w:val="%3."/>
      <w:lvlJc w:val="left"/>
      <w:pPr>
        <w:ind w:left="720" w:hanging="360"/>
      </w:pPr>
    </w:lvl>
    <w:lvl w:ilvl="3" w:tplc="71540876">
      <w:start w:val="1"/>
      <w:numFmt w:val="decimal"/>
      <w:lvlText w:val="%4."/>
      <w:lvlJc w:val="left"/>
      <w:pPr>
        <w:ind w:left="720" w:hanging="360"/>
      </w:pPr>
    </w:lvl>
    <w:lvl w:ilvl="4" w:tplc="1AD25D44">
      <w:start w:val="1"/>
      <w:numFmt w:val="decimal"/>
      <w:lvlText w:val="%5."/>
      <w:lvlJc w:val="left"/>
      <w:pPr>
        <w:ind w:left="720" w:hanging="360"/>
      </w:pPr>
    </w:lvl>
    <w:lvl w:ilvl="5" w:tplc="95740F38">
      <w:start w:val="1"/>
      <w:numFmt w:val="decimal"/>
      <w:lvlText w:val="%6."/>
      <w:lvlJc w:val="left"/>
      <w:pPr>
        <w:ind w:left="720" w:hanging="360"/>
      </w:pPr>
    </w:lvl>
    <w:lvl w:ilvl="6" w:tplc="1752F2D6">
      <w:start w:val="1"/>
      <w:numFmt w:val="decimal"/>
      <w:lvlText w:val="%7."/>
      <w:lvlJc w:val="left"/>
      <w:pPr>
        <w:ind w:left="720" w:hanging="360"/>
      </w:pPr>
    </w:lvl>
    <w:lvl w:ilvl="7" w:tplc="A810F2C2">
      <w:start w:val="1"/>
      <w:numFmt w:val="decimal"/>
      <w:lvlText w:val="%8."/>
      <w:lvlJc w:val="left"/>
      <w:pPr>
        <w:ind w:left="720" w:hanging="360"/>
      </w:pPr>
    </w:lvl>
    <w:lvl w:ilvl="8" w:tplc="7BB0A2E4">
      <w:start w:val="1"/>
      <w:numFmt w:val="decimal"/>
      <w:lvlText w:val="%9."/>
      <w:lvlJc w:val="left"/>
      <w:pPr>
        <w:ind w:left="720" w:hanging="360"/>
      </w:pPr>
    </w:lvl>
  </w:abstractNum>
  <w:abstractNum w:abstractNumId="4" w15:restartNumberingAfterBreak="0">
    <w:nsid w:val="6224590D"/>
    <w:multiLevelType w:val="multilevel"/>
    <w:tmpl w:val="0B645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FF6C02"/>
    <w:multiLevelType w:val="multilevel"/>
    <w:tmpl w:val="BFCC9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1C1A9F"/>
    <w:multiLevelType w:val="multilevel"/>
    <w:tmpl w:val="FA6A3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BB2053"/>
    <w:multiLevelType w:val="multilevel"/>
    <w:tmpl w:val="A28AF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CA34B79"/>
    <w:multiLevelType w:val="hybridMultilevel"/>
    <w:tmpl w:val="40964F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8523099">
    <w:abstractNumId w:val="0"/>
    <w:lvlOverride w:ilvl="0">
      <w:startOverride w:val="1"/>
    </w:lvlOverride>
  </w:num>
  <w:num w:numId="2" w16cid:durableId="632515680">
    <w:abstractNumId w:val="6"/>
  </w:num>
  <w:num w:numId="3" w16cid:durableId="1808425949">
    <w:abstractNumId w:val="4"/>
  </w:num>
  <w:num w:numId="4" w16cid:durableId="268708362">
    <w:abstractNumId w:val="5"/>
  </w:num>
  <w:num w:numId="5" w16cid:durableId="1515264512">
    <w:abstractNumId w:val="1"/>
  </w:num>
  <w:num w:numId="6" w16cid:durableId="1901332091">
    <w:abstractNumId w:val="7"/>
  </w:num>
  <w:num w:numId="7" w16cid:durableId="846556046">
    <w:abstractNumId w:val="8"/>
  </w:num>
  <w:num w:numId="8" w16cid:durableId="1253735797">
    <w:abstractNumId w:val="2"/>
  </w:num>
  <w:num w:numId="9" w16cid:durableId="13070550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66B"/>
    <w:rsid w:val="00010795"/>
    <w:rsid w:val="000177C9"/>
    <w:rsid w:val="00025510"/>
    <w:rsid w:val="0003417D"/>
    <w:rsid w:val="000355F6"/>
    <w:rsid w:val="00061C44"/>
    <w:rsid w:val="00064C2E"/>
    <w:rsid w:val="000673B4"/>
    <w:rsid w:val="00067D87"/>
    <w:rsid w:val="0007298B"/>
    <w:rsid w:val="00074FAE"/>
    <w:rsid w:val="00084E3F"/>
    <w:rsid w:val="000A7A75"/>
    <w:rsid w:val="000B266B"/>
    <w:rsid w:val="000B59FE"/>
    <w:rsid w:val="000C16A4"/>
    <w:rsid w:val="000D44CD"/>
    <w:rsid w:val="000D676E"/>
    <w:rsid w:val="000E19FB"/>
    <w:rsid w:val="000E2CDF"/>
    <w:rsid w:val="000E685F"/>
    <w:rsid w:val="000F0A20"/>
    <w:rsid w:val="000F172C"/>
    <w:rsid w:val="000F4AE3"/>
    <w:rsid w:val="000F4D11"/>
    <w:rsid w:val="001071A3"/>
    <w:rsid w:val="00120C75"/>
    <w:rsid w:val="00131D03"/>
    <w:rsid w:val="00155588"/>
    <w:rsid w:val="00157B28"/>
    <w:rsid w:val="0016078F"/>
    <w:rsid w:val="00161D9F"/>
    <w:rsid w:val="00170144"/>
    <w:rsid w:val="00183C17"/>
    <w:rsid w:val="00197C29"/>
    <w:rsid w:val="001B6482"/>
    <w:rsid w:val="001E281F"/>
    <w:rsid w:val="001E7D86"/>
    <w:rsid w:val="001F7F27"/>
    <w:rsid w:val="00230233"/>
    <w:rsid w:val="00241DA8"/>
    <w:rsid w:val="00242A17"/>
    <w:rsid w:val="00247652"/>
    <w:rsid w:val="002510ED"/>
    <w:rsid w:val="002556D2"/>
    <w:rsid w:val="0026067A"/>
    <w:rsid w:val="00293952"/>
    <w:rsid w:val="00297A83"/>
    <w:rsid w:val="002C43CD"/>
    <w:rsid w:val="002D4B73"/>
    <w:rsid w:val="002E4E98"/>
    <w:rsid w:val="002F0FC2"/>
    <w:rsid w:val="002F216F"/>
    <w:rsid w:val="003116E0"/>
    <w:rsid w:val="00314C57"/>
    <w:rsid w:val="00315F0A"/>
    <w:rsid w:val="00317393"/>
    <w:rsid w:val="00352823"/>
    <w:rsid w:val="003C6189"/>
    <w:rsid w:val="003D5398"/>
    <w:rsid w:val="003D5D4C"/>
    <w:rsid w:val="004132C5"/>
    <w:rsid w:val="00416379"/>
    <w:rsid w:val="00453C28"/>
    <w:rsid w:val="00454ABA"/>
    <w:rsid w:val="00462773"/>
    <w:rsid w:val="00483D4A"/>
    <w:rsid w:val="004935C8"/>
    <w:rsid w:val="004B3B1F"/>
    <w:rsid w:val="004D129F"/>
    <w:rsid w:val="004F5AE4"/>
    <w:rsid w:val="00504B38"/>
    <w:rsid w:val="005514D0"/>
    <w:rsid w:val="00561055"/>
    <w:rsid w:val="00561FE1"/>
    <w:rsid w:val="00563C6B"/>
    <w:rsid w:val="0056488F"/>
    <w:rsid w:val="00572690"/>
    <w:rsid w:val="00577F17"/>
    <w:rsid w:val="005D55D3"/>
    <w:rsid w:val="005E6BD9"/>
    <w:rsid w:val="00615FE5"/>
    <w:rsid w:val="00617921"/>
    <w:rsid w:val="00627A63"/>
    <w:rsid w:val="00632A85"/>
    <w:rsid w:val="00646EC0"/>
    <w:rsid w:val="006718E5"/>
    <w:rsid w:val="00677CCF"/>
    <w:rsid w:val="00696F8F"/>
    <w:rsid w:val="006B61F1"/>
    <w:rsid w:val="006D1B65"/>
    <w:rsid w:val="006D237B"/>
    <w:rsid w:val="006D662F"/>
    <w:rsid w:val="006D70E8"/>
    <w:rsid w:val="006E6FA8"/>
    <w:rsid w:val="0070710B"/>
    <w:rsid w:val="00711D54"/>
    <w:rsid w:val="007151EA"/>
    <w:rsid w:val="00763022"/>
    <w:rsid w:val="00765C22"/>
    <w:rsid w:val="00774453"/>
    <w:rsid w:val="00777ECE"/>
    <w:rsid w:val="00783256"/>
    <w:rsid w:val="00791979"/>
    <w:rsid w:val="007952D7"/>
    <w:rsid w:val="007A53E2"/>
    <w:rsid w:val="007B42FD"/>
    <w:rsid w:val="007D189C"/>
    <w:rsid w:val="007E2B13"/>
    <w:rsid w:val="007E410E"/>
    <w:rsid w:val="007E651E"/>
    <w:rsid w:val="008042CE"/>
    <w:rsid w:val="00813B1E"/>
    <w:rsid w:val="00824C2B"/>
    <w:rsid w:val="008352EB"/>
    <w:rsid w:val="00837200"/>
    <w:rsid w:val="00867216"/>
    <w:rsid w:val="00867F8F"/>
    <w:rsid w:val="008746DA"/>
    <w:rsid w:val="0087477C"/>
    <w:rsid w:val="00881C47"/>
    <w:rsid w:val="008841C9"/>
    <w:rsid w:val="008908A7"/>
    <w:rsid w:val="008B0AA6"/>
    <w:rsid w:val="008B3943"/>
    <w:rsid w:val="008C5CB7"/>
    <w:rsid w:val="008D2C08"/>
    <w:rsid w:val="008F5C50"/>
    <w:rsid w:val="00911DEA"/>
    <w:rsid w:val="00914AB9"/>
    <w:rsid w:val="009216EC"/>
    <w:rsid w:val="00923E0E"/>
    <w:rsid w:val="009341E6"/>
    <w:rsid w:val="0094082D"/>
    <w:rsid w:val="0094479E"/>
    <w:rsid w:val="00956ADE"/>
    <w:rsid w:val="00960CA4"/>
    <w:rsid w:val="009610DA"/>
    <w:rsid w:val="00961434"/>
    <w:rsid w:val="00961AE4"/>
    <w:rsid w:val="00964F9A"/>
    <w:rsid w:val="009867F1"/>
    <w:rsid w:val="00995169"/>
    <w:rsid w:val="009971B7"/>
    <w:rsid w:val="009A36A7"/>
    <w:rsid w:val="009B6036"/>
    <w:rsid w:val="009B7C53"/>
    <w:rsid w:val="009C6468"/>
    <w:rsid w:val="009E7587"/>
    <w:rsid w:val="00A13598"/>
    <w:rsid w:val="00A2580B"/>
    <w:rsid w:val="00A306F4"/>
    <w:rsid w:val="00A318FF"/>
    <w:rsid w:val="00A328BB"/>
    <w:rsid w:val="00A475D7"/>
    <w:rsid w:val="00A5008A"/>
    <w:rsid w:val="00A82C6C"/>
    <w:rsid w:val="00A92550"/>
    <w:rsid w:val="00A93A1C"/>
    <w:rsid w:val="00AB0E48"/>
    <w:rsid w:val="00AD4661"/>
    <w:rsid w:val="00AF557D"/>
    <w:rsid w:val="00AF5943"/>
    <w:rsid w:val="00B1357B"/>
    <w:rsid w:val="00B323CD"/>
    <w:rsid w:val="00B32E94"/>
    <w:rsid w:val="00B434B5"/>
    <w:rsid w:val="00BA38FD"/>
    <w:rsid w:val="00BB5D99"/>
    <w:rsid w:val="00BE0528"/>
    <w:rsid w:val="00BE14E1"/>
    <w:rsid w:val="00BF3576"/>
    <w:rsid w:val="00BF72B4"/>
    <w:rsid w:val="00C13D1E"/>
    <w:rsid w:val="00C20046"/>
    <w:rsid w:val="00C211A5"/>
    <w:rsid w:val="00C32914"/>
    <w:rsid w:val="00C4529F"/>
    <w:rsid w:val="00C56FB8"/>
    <w:rsid w:val="00C72769"/>
    <w:rsid w:val="00C75172"/>
    <w:rsid w:val="00C82206"/>
    <w:rsid w:val="00C97C0F"/>
    <w:rsid w:val="00CA7A9D"/>
    <w:rsid w:val="00CC3AC7"/>
    <w:rsid w:val="00CE32EF"/>
    <w:rsid w:val="00D03D5D"/>
    <w:rsid w:val="00D10AAC"/>
    <w:rsid w:val="00D12600"/>
    <w:rsid w:val="00D23301"/>
    <w:rsid w:val="00D44E48"/>
    <w:rsid w:val="00D47318"/>
    <w:rsid w:val="00D54E7C"/>
    <w:rsid w:val="00D65A2B"/>
    <w:rsid w:val="00DA0D66"/>
    <w:rsid w:val="00DA5405"/>
    <w:rsid w:val="00DA754D"/>
    <w:rsid w:val="00DC4CD9"/>
    <w:rsid w:val="00DE4E77"/>
    <w:rsid w:val="00E00885"/>
    <w:rsid w:val="00E13BF8"/>
    <w:rsid w:val="00E222E8"/>
    <w:rsid w:val="00E33257"/>
    <w:rsid w:val="00E40139"/>
    <w:rsid w:val="00E504AE"/>
    <w:rsid w:val="00E62611"/>
    <w:rsid w:val="00E87999"/>
    <w:rsid w:val="00E90D0A"/>
    <w:rsid w:val="00E9145D"/>
    <w:rsid w:val="00E9686E"/>
    <w:rsid w:val="00EA2E7A"/>
    <w:rsid w:val="00EA6524"/>
    <w:rsid w:val="00EB416A"/>
    <w:rsid w:val="00EB79E7"/>
    <w:rsid w:val="00EC1FD6"/>
    <w:rsid w:val="00EC4696"/>
    <w:rsid w:val="00EE36F0"/>
    <w:rsid w:val="00EF4A0E"/>
    <w:rsid w:val="00F12D5C"/>
    <w:rsid w:val="00F33194"/>
    <w:rsid w:val="00F35394"/>
    <w:rsid w:val="00F42C10"/>
    <w:rsid w:val="00F4370C"/>
    <w:rsid w:val="00F90582"/>
    <w:rsid w:val="00F928AC"/>
    <w:rsid w:val="00F93C08"/>
    <w:rsid w:val="00FA3A49"/>
    <w:rsid w:val="00FB1F51"/>
    <w:rsid w:val="00FE3A71"/>
    <w:rsid w:val="00FF6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3F2DB"/>
  <w15:docId w15:val="{BCAE102F-B2D4-46C4-AD40-99F07B494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Nagwe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Nagwe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Nagwe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gwe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gwe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rPr>
      <w:sz w:val="56"/>
      <w:szCs w:val="56"/>
    </w:rPr>
  </w:style>
  <w:style w:type="paragraph" w:customStyle="1" w:styleId="Pogrubienie1">
    <w:name w:val="Pogrubienie1"/>
    <w:qFormat/>
    <w:rPr>
      <w:b/>
      <w:bCs/>
    </w:rPr>
  </w:style>
  <w:style w:type="paragraph" w:styleId="Akapitzlist">
    <w:name w:val="List Paragraph"/>
    <w:qFormat/>
  </w:style>
  <w:style w:type="character" w:styleId="Hipercze">
    <w:name w:val="Hyperlink"/>
    <w:uiPriority w:val="99"/>
    <w:unhideWhenUsed/>
    <w:rPr>
      <w:color w:val="0563C1"/>
      <w:u w:val="single"/>
    </w:rPr>
  </w:style>
  <w:style w:type="character" w:styleId="Odwoanieprzypisudolnego">
    <w:name w:val="footnote reference"/>
    <w:uiPriority w:val="99"/>
    <w:semiHidden/>
    <w:unhideWhenUsed/>
    <w:rPr>
      <w:vertAlign w:val="superscript"/>
    </w:rPr>
  </w:style>
  <w:style w:type="paragraph" w:styleId="Tekstprzypisudolnego">
    <w:name w:val="footnote text"/>
    <w:link w:val="TekstprzypisudolnegoZnak"/>
    <w:uiPriority w:val="99"/>
    <w:semiHidden/>
    <w:unhideWhenUsed/>
  </w:style>
  <w:style w:type="character" w:customStyle="1" w:styleId="TekstprzypisudolnegoZnak">
    <w:name w:val="Tekst przypisu dolnego Znak"/>
    <w:link w:val="Tekstprzypisudolnego"/>
    <w:uiPriority w:val="99"/>
    <w:semiHidden/>
    <w:unhideWhenUsed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Pr>
      <w:vertAlign w:val="superscript"/>
    </w:rPr>
  </w:style>
  <w:style w:type="paragraph" w:styleId="Tekstprzypisukocowego">
    <w:name w:val="endnote text"/>
    <w:link w:val="TekstprzypisukocowegoZnak"/>
    <w:uiPriority w:val="99"/>
    <w:semiHidden/>
    <w:unhideWhenUsed/>
  </w:style>
  <w:style w:type="character" w:customStyle="1" w:styleId="TekstprzypisukocowegoZnak">
    <w:name w:val="Tekst przypisu końcowego Znak"/>
    <w:link w:val="Tekstprzypisukocowego"/>
    <w:uiPriority w:val="99"/>
    <w:semiHidden/>
    <w:unhideWhenUsed/>
    <w:rPr>
      <w:sz w:val="20"/>
      <w:szCs w:val="20"/>
    </w:rPr>
  </w:style>
  <w:style w:type="paragraph" w:customStyle="1" w:styleId="font-claude-response-body">
    <w:name w:val="font-claude-response-body"/>
    <w:basedOn w:val="Normalny"/>
    <w:rsid w:val="00315F0A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315F0A"/>
    <w:rPr>
      <w:b/>
      <w:bCs/>
    </w:rPr>
  </w:style>
  <w:style w:type="paragraph" w:customStyle="1" w:styleId="whitespace-normal">
    <w:name w:val="whitespace-normal"/>
    <w:basedOn w:val="Normalny"/>
    <w:rsid w:val="00315F0A"/>
    <w:pPr>
      <w:spacing w:before="100" w:beforeAutospacing="1" w:after="100" w:afterAutospacing="1"/>
    </w:pPr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331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33194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F33194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31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3194"/>
    <w:rPr>
      <w:b/>
      <w:bCs/>
    </w:rPr>
  </w:style>
  <w:style w:type="paragraph" w:styleId="Poprawka">
    <w:name w:val="Revision"/>
    <w:hidden/>
    <w:uiPriority w:val="99"/>
    <w:semiHidden/>
    <w:rsid w:val="00911DEA"/>
  </w:style>
  <w:style w:type="paragraph" w:customStyle="1" w:styleId="pf0">
    <w:name w:val="pf0"/>
    <w:basedOn w:val="Normalny"/>
    <w:rsid w:val="00E504AE"/>
    <w:pPr>
      <w:spacing w:before="100" w:beforeAutospacing="1" w:after="100" w:afterAutospacing="1"/>
    </w:pPr>
    <w:rPr>
      <w:sz w:val="24"/>
      <w:szCs w:val="24"/>
    </w:rPr>
  </w:style>
  <w:style w:type="character" w:customStyle="1" w:styleId="cf01">
    <w:name w:val="cf01"/>
    <w:basedOn w:val="Domylnaczcionkaakapitu"/>
    <w:rsid w:val="00E504AE"/>
    <w:rPr>
      <w:rFonts w:ascii="Segoe UI" w:hAnsi="Segoe UI" w:cs="Segoe UI" w:hint="default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A92550"/>
    <w:rPr>
      <w:i/>
      <w:iCs/>
    </w:rPr>
  </w:style>
  <w:style w:type="paragraph" w:styleId="NormalnyWeb">
    <w:name w:val="Normal (Web)"/>
    <w:basedOn w:val="Normalny"/>
    <w:uiPriority w:val="99"/>
    <w:unhideWhenUsed/>
    <w:rsid w:val="00B1357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D50012-7645-4450-BB86-58D441F08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652</Words>
  <Characters>3914</Characters>
  <Application>Microsoft Office Word</Application>
  <DocSecurity>4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MK</cp:lastModifiedBy>
  <cp:revision>2</cp:revision>
  <dcterms:created xsi:type="dcterms:W3CDTF">2026-04-16T08:25:00Z</dcterms:created>
  <dcterms:modified xsi:type="dcterms:W3CDTF">2026-04-16T08:25:00Z</dcterms:modified>
</cp:coreProperties>
</file>