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C5E6E" w14:textId="1D0D2BF8" w:rsidR="00A96EA8" w:rsidRDefault="00A96EA8" w:rsidP="00A96EA8">
      <w:pPr>
        <w:jc w:val="right"/>
        <w:rPr>
          <w:rFonts w:ascii="Arial" w:hAnsi="Arial" w:cs="Arial"/>
          <w:b/>
          <w:bCs/>
        </w:rPr>
      </w:pPr>
      <w:r w:rsidRPr="00A96EA8">
        <w:rPr>
          <w:rFonts w:ascii="Arial" w:hAnsi="Arial" w:cs="Arial"/>
          <w:b/>
          <w:bCs/>
        </w:rPr>
        <w:t xml:space="preserve">Warszawa, </w:t>
      </w:r>
      <w:r w:rsidR="0030244B">
        <w:rPr>
          <w:rFonts w:ascii="Arial" w:hAnsi="Arial" w:cs="Arial"/>
          <w:b/>
          <w:bCs/>
        </w:rPr>
        <w:t>21</w:t>
      </w:r>
      <w:r w:rsidR="0030244B" w:rsidRPr="00A96EA8">
        <w:rPr>
          <w:rFonts w:ascii="Arial" w:hAnsi="Arial" w:cs="Arial"/>
          <w:b/>
          <w:bCs/>
        </w:rPr>
        <w:t xml:space="preserve"> </w:t>
      </w:r>
      <w:r w:rsidRPr="00A96EA8">
        <w:rPr>
          <w:rFonts w:ascii="Arial" w:hAnsi="Arial" w:cs="Arial"/>
          <w:b/>
          <w:bCs/>
        </w:rPr>
        <w:t>kwietnia 2026 roku</w:t>
      </w:r>
    </w:p>
    <w:p w14:paraId="2B0029A7" w14:textId="77777777" w:rsidR="00D14560" w:rsidRPr="00A96EA8" w:rsidRDefault="00D14560" w:rsidP="00A96EA8">
      <w:pPr>
        <w:jc w:val="right"/>
        <w:rPr>
          <w:rFonts w:ascii="Arial" w:hAnsi="Arial" w:cs="Arial"/>
          <w:b/>
          <w:bCs/>
        </w:rPr>
      </w:pPr>
    </w:p>
    <w:p w14:paraId="367DBBE2" w14:textId="77777777" w:rsidR="0004577E" w:rsidRPr="0004577E" w:rsidRDefault="0004577E" w:rsidP="0004577E">
      <w:pPr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  <w:r w:rsidRPr="0004577E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>Dystrybucja w punkcie zwrotnym transformacji</w:t>
      </w:r>
    </w:p>
    <w:p w14:paraId="37EBF5A2" w14:textId="77777777" w:rsidR="0011283A" w:rsidRPr="0011283A" w:rsidRDefault="0004577E" w:rsidP="0011283A">
      <w:pPr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04577E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Transformacja energetyczna wchodzi w etap, w którym kluczową rolę zaczyna odgrywać infrastruktura dystrybucyjna. </w:t>
      </w:r>
      <w:r w:rsidR="0011283A" w:rsidRPr="0011283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To właśnie na poziomie sieci dystrybucyjnych koncentrują się dziś wyzwania związane z bezpieczeństwem dostaw, integracją nowych źródeł energii oraz rosnącą potrzebą elastyczności systemu</w:t>
      </w:r>
      <w:r w:rsidR="0011283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. </w:t>
      </w:r>
      <w:r w:rsidR="0011283A" w:rsidRPr="0011283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Tendencje te wyraźnie widać również w działalności Stoen Operator. Stabilność i zdolność systemu do adaptacji stają się jednym z głównych tematów rozmów o przyszłości energetyki.</w:t>
      </w:r>
    </w:p>
    <w:p w14:paraId="0AD6B03A" w14:textId="77777777" w:rsidR="0004577E" w:rsidRPr="0004577E" w:rsidRDefault="0004577E" w:rsidP="0004577E">
      <w:pPr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4577E">
        <w:rPr>
          <w:rFonts w:ascii="Arial" w:eastAsia="Times New Roman" w:hAnsi="Arial" w:cs="Arial"/>
          <w:kern w:val="0"/>
          <w:lang w:eastAsia="pl-PL"/>
          <w14:ligatures w14:val="none"/>
        </w:rPr>
        <w:t>Zagadnienia te będą obecne podczas XVIII Europejskiego Kongresu Gospodarczego w Katowicach, jednego z najważniejszych forów wymiany opinii w Europie Środkowej. W dyskusjach poświęconych transformacji energetycznej udział wezmą Robert Stelmaszczyk, prezes zarządu, oraz Wojciech Graczyk, członek zarządu Stoen Operator.</w:t>
      </w:r>
    </w:p>
    <w:p w14:paraId="693364BA" w14:textId="77777777" w:rsidR="0004577E" w:rsidRPr="0004577E" w:rsidRDefault="0004577E" w:rsidP="0004577E">
      <w:pPr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04577E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Złożoność zmian i nowe uwarunkowania systemu</w:t>
      </w:r>
    </w:p>
    <w:p w14:paraId="013AD270" w14:textId="3289D832" w:rsidR="0011283A" w:rsidRPr="0011283A" w:rsidRDefault="0011283A" w:rsidP="0011283A">
      <w:pPr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283A">
        <w:rPr>
          <w:rFonts w:ascii="Arial" w:eastAsia="Times New Roman" w:hAnsi="Arial" w:cs="Arial"/>
          <w:kern w:val="0"/>
          <w:lang w:eastAsia="pl-PL"/>
          <w14:ligatures w14:val="none"/>
        </w:rPr>
        <w:t>Zmiany w sektorze energetycznym zachodzą równolegle na wielu płaszczyznach.</w:t>
      </w:r>
      <w:r w:rsidR="0004577E" w:rsidRPr="0004577E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11283A">
        <w:rPr>
          <w:rFonts w:ascii="Arial" w:eastAsia="Times New Roman" w:hAnsi="Arial" w:cs="Arial"/>
          <w:kern w:val="0"/>
          <w:lang w:eastAsia="pl-PL"/>
          <w14:ligatures w14:val="none"/>
        </w:rPr>
        <w:t>Dynamicznie rozwijają się odnawialne źródła energii, rośnie znaczenie technologii magazynowania, a odbiorcy coraz częściej stają się aktywnymi uczestnikami rynku. Ich decyzje mają dziś realny wpływ na funkcjonowanie całego systemu elektroenergetycznego.</w:t>
      </w:r>
    </w:p>
    <w:p w14:paraId="1A301C2F" w14:textId="77777777" w:rsidR="0011283A" w:rsidRPr="0011283A" w:rsidRDefault="0011283A" w:rsidP="0011283A">
      <w:pPr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283A">
        <w:rPr>
          <w:rFonts w:ascii="Arial" w:eastAsia="Times New Roman" w:hAnsi="Arial" w:cs="Arial"/>
          <w:kern w:val="0"/>
          <w:lang w:eastAsia="pl-PL"/>
          <w14:ligatures w14:val="none"/>
        </w:rPr>
        <w:t>W tym kontekście dystrybucja przestaje być jedynie zapleczem technicznym. Staje się kluczowym elementem dalszego rozwoju sektora, wpływając na jego odporność na zmienne warunki rynkowe i technologiczne.</w:t>
      </w:r>
    </w:p>
    <w:p w14:paraId="0602EE36" w14:textId="2D019153" w:rsidR="0004577E" w:rsidRPr="0004577E" w:rsidRDefault="0004577E" w:rsidP="0004577E">
      <w:pPr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04577E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Bezpieczeństwo dostaw w </w:t>
      </w: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nowym modelu produkcji</w:t>
      </w:r>
    </w:p>
    <w:p w14:paraId="0C7DF3CD" w14:textId="77777777" w:rsidR="00132ADA" w:rsidRPr="00132ADA" w:rsidRDefault="00132ADA" w:rsidP="00132ADA">
      <w:pPr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32ADA">
        <w:rPr>
          <w:rFonts w:ascii="Arial" w:eastAsia="Times New Roman" w:hAnsi="Arial" w:cs="Arial"/>
          <w:kern w:val="0"/>
          <w:lang w:eastAsia="pl-PL"/>
          <w14:ligatures w14:val="none"/>
        </w:rPr>
        <w:t>Jednym z najważniejszych tematów branżowej debaty pozostaje relacja między rosnącym udziałem źródeł rozproszonych a stabilnością dostaw energii. Panel „</w:t>
      </w:r>
      <w:proofErr w:type="spellStart"/>
      <w:r w:rsidRPr="00132ADA">
        <w:rPr>
          <w:rFonts w:ascii="Arial" w:eastAsia="Times New Roman" w:hAnsi="Arial" w:cs="Arial"/>
          <w:kern w:val="0"/>
          <w:lang w:eastAsia="pl-PL"/>
          <w14:ligatures w14:val="none"/>
        </w:rPr>
        <w:t>Miks</w:t>
      </w:r>
      <w:proofErr w:type="spellEnd"/>
      <w:r w:rsidRPr="00132ADA">
        <w:rPr>
          <w:rFonts w:ascii="Arial" w:eastAsia="Times New Roman" w:hAnsi="Arial" w:cs="Arial"/>
          <w:kern w:val="0"/>
          <w:lang w:eastAsia="pl-PL"/>
          <w14:ligatures w14:val="none"/>
        </w:rPr>
        <w:t xml:space="preserve"> energii, system, bezpieczeństwo”, w którym wystąpi Robert Stelmaszczyk, stworzy przestrzeń do rozmów o wyzwaniach stojących przed systemem elektroenergetycznym w warunkach rosnącej zmienności po stronie wytwarzania.</w:t>
      </w:r>
    </w:p>
    <w:p w14:paraId="56FEB2DF" w14:textId="77777777" w:rsidR="00132ADA" w:rsidRPr="00132ADA" w:rsidRDefault="00132ADA" w:rsidP="00132ADA">
      <w:pPr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32ADA">
        <w:rPr>
          <w:rFonts w:ascii="Arial" w:eastAsia="Times New Roman" w:hAnsi="Arial" w:cs="Arial"/>
          <w:kern w:val="0"/>
          <w:lang w:eastAsia="pl-PL"/>
          <w14:ligatures w14:val="none"/>
        </w:rPr>
        <w:t>Uczestnicy dyskusji skupią się na konieczności dostosowania infrastruktury do nowych modeli produkcji energii oraz na długofalowych uwarunkowaniach bezpieczeństwa systemu. W tle pojawią się również oczekiwania odbiorców dotyczące niezawodności i jakości dostaw.</w:t>
      </w:r>
    </w:p>
    <w:p w14:paraId="00127B7D" w14:textId="77777777" w:rsidR="0004577E" w:rsidRPr="0004577E" w:rsidRDefault="0004577E" w:rsidP="0004577E">
      <w:pPr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04577E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Inwestycje, elastyczność i planowanie rozwoju</w:t>
      </w:r>
    </w:p>
    <w:p w14:paraId="59A66A3E" w14:textId="195B8530" w:rsidR="00132ADA" w:rsidRPr="00132ADA" w:rsidRDefault="00132ADA" w:rsidP="00132ADA">
      <w:pPr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32ADA">
        <w:rPr>
          <w:rFonts w:ascii="Arial" w:eastAsia="Times New Roman" w:hAnsi="Arial" w:cs="Arial"/>
          <w:kern w:val="0"/>
          <w:lang w:eastAsia="pl-PL"/>
          <w14:ligatures w14:val="none"/>
        </w:rPr>
        <w:t xml:space="preserve">Inwestycje w infrastrukturę dystrybucyjną stają się jednym z kluczowych warunków powodzenia transformacji energetycznej. </w:t>
      </w:r>
      <w:r w:rsidR="0030244B">
        <w:rPr>
          <w:rFonts w:ascii="Arial" w:eastAsia="Times New Roman" w:hAnsi="Arial" w:cs="Arial"/>
          <w:kern w:val="0"/>
          <w:lang w:eastAsia="pl-PL"/>
          <w14:ligatures w14:val="none"/>
        </w:rPr>
        <w:t>W dyskusji dotyczącej tego tematu</w:t>
      </w:r>
      <w:r w:rsidRPr="00132ADA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30244B">
        <w:rPr>
          <w:rFonts w:ascii="Arial" w:eastAsia="Times New Roman" w:hAnsi="Arial" w:cs="Arial"/>
          <w:kern w:val="0"/>
          <w:lang w:eastAsia="pl-PL"/>
          <w14:ligatures w14:val="none"/>
        </w:rPr>
        <w:t>weźmie udział</w:t>
      </w:r>
      <w:r w:rsidRPr="00132ADA">
        <w:rPr>
          <w:rFonts w:ascii="Arial" w:eastAsia="Times New Roman" w:hAnsi="Arial" w:cs="Arial"/>
          <w:kern w:val="0"/>
          <w:lang w:eastAsia="pl-PL"/>
          <w14:ligatures w14:val="none"/>
        </w:rPr>
        <w:t xml:space="preserve"> Wojciech Graczyk</w:t>
      </w:r>
      <w:r w:rsidR="0030244B">
        <w:rPr>
          <w:rFonts w:ascii="Arial" w:eastAsia="Times New Roman" w:hAnsi="Arial" w:cs="Arial"/>
          <w:kern w:val="0"/>
          <w:lang w:eastAsia="pl-PL"/>
          <w14:ligatures w14:val="none"/>
        </w:rPr>
        <w:t xml:space="preserve">. Panel </w:t>
      </w:r>
      <w:r w:rsidRPr="00132ADA">
        <w:rPr>
          <w:rFonts w:ascii="Arial" w:eastAsia="Times New Roman" w:hAnsi="Arial" w:cs="Arial"/>
          <w:kern w:val="0"/>
          <w:lang w:eastAsia="pl-PL"/>
          <w14:ligatures w14:val="none"/>
        </w:rPr>
        <w:t>będzie poświęcony kierunkom rozwoju sieci oraz budowaniu elastyczności i odporności systemu na rosnącą złożoność.</w:t>
      </w:r>
    </w:p>
    <w:p w14:paraId="1622F774" w14:textId="6B20D068" w:rsidR="0004577E" w:rsidRPr="0004577E" w:rsidRDefault="0004577E" w:rsidP="0004577E">
      <w:pPr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4577E">
        <w:rPr>
          <w:rFonts w:ascii="Arial" w:eastAsia="Times New Roman" w:hAnsi="Arial" w:cs="Arial"/>
          <w:kern w:val="0"/>
          <w:lang w:eastAsia="pl-PL"/>
          <w14:ligatures w14:val="none"/>
        </w:rPr>
        <w:t xml:space="preserve">Dyskusja dotyczyć będzie efektywnego wykorzystania istniejących zasobów. </w:t>
      </w:r>
      <w:r w:rsidR="004623ED">
        <w:rPr>
          <w:rFonts w:ascii="Arial" w:eastAsia="Times New Roman" w:hAnsi="Arial" w:cs="Arial"/>
          <w:kern w:val="0"/>
          <w:lang w:eastAsia="pl-PL"/>
          <w14:ligatures w14:val="none"/>
        </w:rPr>
        <w:t xml:space="preserve">Podczas rozmów ma szansę pojawić się aspekt nierozerwalnie związany z realizacją inwestycji, czyli lokalne uwarunkowania. W </w:t>
      </w:r>
      <w:r w:rsidR="00132ADA">
        <w:rPr>
          <w:rFonts w:ascii="Arial" w:eastAsia="Times New Roman" w:hAnsi="Arial" w:cs="Arial"/>
          <w:kern w:val="0"/>
          <w:lang w:eastAsia="pl-PL"/>
          <w14:ligatures w14:val="none"/>
        </w:rPr>
        <w:t xml:space="preserve">kontekście </w:t>
      </w:r>
      <w:r w:rsidR="004623ED">
        <w:rPr>
          <w:rFonts w:ascii="Arial" w:eastAsia="Times New Roman" w:hAnsi="Arial" w:cs="Arial"/>
          <w:kern w:val="0"/>
          <w:lang w:eastAsia="pl-PL"/>
          <w14:ligatures w14:val="none"/>
        </w:rPr>
        <w:t xml:space="preserve">obecnej sytuacji polityczno-gospodarczej </w:t>
      </w:r>
      <w:proofErr w:type="spellStart"/>
      <w:r w:rsidR="004623ED">
        <w:rPr>
          <w:rFonts w:ascii="Arial" w:eastAsia="Times New Roman" w:hAnsi="Arial" w:cs="Arial"/>
          <w:kern w:val="0"/>
          <w:lang w:eastAsia="pl-PL"/>
          <w14:ligatures w14:val="none"/>
        </w:rPr>
        <w:t>paneliści</w:t>
      </w:r>
      <w:proofErr w:type="spellEnd"/>
      <w:r w:rsidR="004623ED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132ADA">
        <w:rPr>
          <w:rFonts w:ascii="Arial" w:eastAsia="Times New Roman" w:hAnsi="Arial" w:cs="Arial"/>
          <w:kern w:val="0"/>
          <w:lang w:eastAsia="pl-PL"/>
          <w14:ligatures w14:val="none"/>
        </w:rPr>
        <w:t>na pewno odniosą się również do</w:t>
      </w:r>
      <w:r w:rsidR="004623ED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04577E">
        <w:rPr>
          <w:rFonts w:ascii="Arial" w:eastAsia="Times New Roman" w:hAnsi="Arial" w:cs="Arial"/>
          <w:kern w:val="0"/>
          <w:lang w:eastAsia="pl-PL"/>
          <w14:ligatures w14:val="none"/>
        </w:rPr>
        <w:t>przygotowa</w:t>
      </w:r>
      <w:r w:rsidR="00132ADA">
        <w:rPr>
          <w:rFonts w:ascii="Arial" w:eastAsia="Times New Roman" w:hAnsi="Arial" w:cs="Arial"/>
          <w:kern w:val="0"/>
          <w:lang w:eastAsia="pl-PL"/>
          <w14:ligatures w14:val="none"/>
        </w:rPr>
        <w:t>nia</w:t>
      </w:r>
      <w:r w:rsidRPr="0004577E">
        <w:rPr>
          <w:rFonts w:ascii="Arial" w:eastAsia="Times New Roman" w:hAnsi="Arial" w:cs="Arial"/>
          <w:kern w:val="0"/>
          <w:lang w:eastAsia="pl-PL"/>
          <w14:ligatures w14:val="none"/>
        </w:rPr>
        <w:t xml:space="preserve"> infrastruktury na przyszłe scenariusze rynku energii.</w:t>
      </w:r>
    </w:p>
    <w:p w14:paraId="567BE54C" w14:textId="13DBC8C5" w:rsidR="0004577E" w:rsidRPr="0004577E" w:rsidRDefault="0004577E" w:rsidP="0004577E">
      <w:pPr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Stolica</w:t>
      </w:r>
      <w:r w:rsidRPr="0004577E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jako punkt odniesienia</w:t>
      </w:r>
    </w:p>
    <w:p w14:paraId="064622F7" w14:textId="77777777" w:rsidR="00132ADA" w:rsidRPr="00132ADA" w:rsidRDefault="00132ADA" w:rsidP="00132ADA">
      <w:pPr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32ADA">
        <w:rPr>
          <w:rFonts w:ascii="Arial" w:eastAsia="Times New Roman" w:hAnsi="Arial" w:cs="Arial"/>
          <w:kern w:val="0"/>
          <w:lang w:eastAsia="pl-PL"/>
          <w14:ligatures w14:val="none"/>
        </w:rPr>
        <w:t xml:space="preserve">Doświadczenia dużych aglomeracji pokazują, że to właśnie w miastach kumulują się najważniejsze wyzwania transformacji energetycznej. Ograniczona przestrzeń, wysoka </w:t>
      </w:r>
      <w:r w:rsidRPr="00132ADA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koncentracja odbiorców oraz szybkie tempo zmian technologicznych zwiększają złożoność systemu i podnoszą oczekiwania wobec niezawodności dostaw.</w:t>
      </w:r>
    </w:p>
    <w:p w14:paraId="4BB808D0" w14:textId="77777777" w:rsidR="00132ADA" w:rsidRPr="00132ADA" w:rsidRDefault="00132ADA" w:rsidP="00132ADA">
      <w:pPr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32ADA">
        <w:rPr>
          <w:rFonts w:ascii="Arial" w:eastAsia="Times New Roman" w:hAnsi="Arial" w:cs="Arial"/>
          <w:kern w:val="0"/>
          <w:lang w:eastAsia="pl-PL"/>
          <w14:ligatures w14:val="none"/>
        </w:rPr>
        <w:t>Warszawa jest dobrym przykładem takiego środowiska. Praca w warunkach dużej skali i wysokiej dynamiki zmian sprawia, że doświadczenie Stoen Operator wykracza poza wymiar lokalny. Zarządzanie systemem o takiej złożoności pozwala spółce lepiej rozumieć wyzwania całego sektora i wnosić istotny wkład do krajowej oraz międzynarodowej debaty energetycznej – również na forum Europejskiego Kongresu Gospodarczego.</w:t>
      </w:r>
    </w:p>
    <w:p w14:paraId="2FD09783" w14:textId="77777777" w:rsidR="0011283A" w:rsidRDefault="0011283A" w:rsidP="00C7698A">
      <w:pPr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5CB25C2" w14:textId="7FD785E8" w:rsidR="001A053C" w:rsidRPr="00C7698A" w:rsidRDefault="001A053C" w:rsidP="0011283A">
      <w:pPr>
        <w:rPr>
          <w:rFonts w:ascii="Arial" w:hAnsi="Arial" w:cs="Arial"/>
          <w:sz w:val="24"/>
          <w:szCs w:val="24"/>
        </w:rPr>
      </w:pPr>
    </w:p>
    <w:sectPr w:rsidR="001A053C" w:rsidRPr="00C7698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6E1F1" w14:textId="77777777" w:rsidR="008A3E26" w:rsidRDefault="008A3E26" w:rsidP="00A96EA8">
      <w:pPr>
        <w:spacing w:after="0" w:line="240" w:lineRule="auto"/>
      </w:pPr>
      <w:r>
        <w:separator/>
      </w:r>
    </w:p>
  </w:endnote>
  <w:endnote w:type="continuationSeparator" w:id="0">
    <w:p w14:paraId="2C9AA2F1" w14:textId="77777777" w:rsidR="008A3E26" w:rsidRDefault="008A3E26" w:rsidP="00A96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A266D" w14:textId="77777777" w:rsidR="008A3E26" w:rsidRDefault="008A3E26" w:rsidP="00A96EA8">
      <w:pPr>
        <w:spacing w:after="0" w:line="240" w:lineRule="auto"/>
      </w:pPr>
      <w:r>
        <w:separator/>
      </w:r>
    </w:p>
  </w:footnote>
  <w:footnote w:type="continuationSeparator" w:id="0">
    <w:p w14:paraId="6145241E" w14:textId="77777777" w:rsidR="008A3E26" w:rsidRDefault="008A3E26" w:rsidP="00A96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E9073" w14:textId="1A91D3E5" w:rsidR="00A96EA8" w:rsidRDefault="00A96EA8">
    <w:pPr>
      <w:pStyle w:val="Nagwek"/>
    </w:pPr>
    <w:r>
      <w:rPr>
        <w:noProof/>
        <w:color w:val="000000"/>
      </w:rPr>
      <w:drawing>
        <wp:inline distT="0" distB="0" distL="0" distR="0" wp14:anchorId="677AB27C" wp14:editId="691E2506">
          <wp:extent cx="1623726" cy="319114"/>
          <wp:effectExtent l="0" t="0" r="0" b="0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3726" cy="3191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A7"/>
    <w:rsid w:val="0004577E"/>
    <w:rsid w:val="00060DFC"/>
    <w:rsid w:val="00085CAE"/>
    <w:rsid w:val="0011283A"/>
    <w:rsid w:val="00132ADA"/>
    <w:rsid w:val="00185DEF"/>
    <w:rsid w:val="001A053C"/>
    <w:rsid w:val="00291A37"/>
    <w:rsid w:val="0030244B"/>
    <w:rsid w:val="00321E4B"/>
    <w:rsid w:val="003773F3"/>
    <w:rsid w:val="00377658"/>
    <w:rsid w:val="004213D0"/>
    <w:rsid w:val="004623ED"/>
    <w:rsid w:val="004B4984"/>
    <w:rsid w:val="007B1B5C"/>
    <w:rsid w:val="008A3E26"/>
    <w:rsid w:val="009212C6"/>
    <w:rsid w:val="009A1CD8"/>
    <w:rsid w:val="00A96EA8"/>
    <w:rsid w:val="00AB1C7E"/>
    <w:rsid w:val="00AB49A7"/>
    <w:rsid w:val="00C7698A"/>
    <w:rsid w:val="00D14560"/>
    <w:rsid w:val="00D5112F"/>
    <w:rsid w:val="00E3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E36E2"/>
  <w15:chartTrackingRefBased/>
  <w15:docId w15:val="{0F8F148C-89E3-46C3-914C-1D36C97DC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4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4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49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49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49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49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49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49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49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49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49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49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49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49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49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49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49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49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49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4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49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4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4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49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49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49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49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49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49A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6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6EA8"/>
  </w:style>
  <w:style w:type="paragraph" w:styleId="Stopka">
    <w:name w:val="footer"/>
    <w:basedOn w:val="Normalny"/>
    <w:link w:val="StopkaZnak"/>
    <w:uiPriority w:val="99"/>
    <w:unhideWhenUsed/>
    <w:rsid w:val="00A96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6EA8"/>
  </w:style>
  <w:style w:type="paragraph" w:styleId="Poprawka">
    <w:name w:val="Revision"/>
    <w:hidden/>
    <w:uiPriority w:val="99"/>
    <w:semiHidden/>
    <w:rsid w:val="001128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EDB95D3A81CC4B9D0A6E3C8F3AB5D0" ma:contentTypeVersion="16" ma:contentTypeDescription="Utwórz nowy dokument." ma:contentTypeScope="" ma:versionID="7b7971f1c6b511d2e67578d4524a4f6e">
  <xsd:schema xmlns:xsd="http://www.w3.org/2001/XMLSchema" xmlns:xs="http://www.w3.org/2001/XMLSchema" xmlns:p="http://schemas.microsoft.com/office/2006/metadata/properties" xmlns:ns2="af4d4d3f-de7d-41d3-a24e-fad2a4ae4921" xmlns:ns3="eb585914-d546-41d5-863f-24e9809e7239" targetNamespace="http://schemas.microsoft.com/office/2006/metadata/properties" ma:root="true" ma:fieldsID="26a8a7b0b3f54681e165364dc154cc16" ns2:_="" ns3:_="">
    <xsd:import namespace="af4d4d3f-de7d-41d3-a24e-fad2a4ae4921"/>
    <xsd:import namespace="eb585914-d546-41d5-863f-24e9809e72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d4d3f-de7d-41d3-a24e-fad2a4ae4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5914-d546-41d5-863f-24e9809e72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515ab87-a3c6-4158-8867-36bbac7f67c9}" ma:internalName="TaxCatchAll" ma:showField="CatchAllData" ma:web="eb585914-d546-41d5-863f-24e9809e7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4d4d3f-de7d-41d3-a24e-fad2a4ae4921">
      <Terms xmlns="http://schemas.microsoft.com/office/infopath/2007/PartnerControls"/>
    </lcf76f155ced4ddcb4097134ff3c332f>
    <TaxCatchAll xmlns="eb585914-d546-41d5-863f-24e9809e7239" xsi:nil="true"/>
  </documentManagement>
</p:properties>
</file>

<file path=customXml/itemProps1.xml><?xml version="1.0" encoding="utf-8"?>
<ds:datastoreItem xmlns:ds="http://schemas.openxmlformats.org/officeDocument/2006/customXml" ds:itemID="{B7EA42C2-39A5-49AC-809F-F301482D6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d4d3f-de7d-41d3-a24e-fad2a4ae4921"/>
    <ds:schemaRef ds:uri="eb585914-d546-41d5-863f-24e9809e7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93CB37-A7DC-450B-8FA2-27F0B7EC56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74FA49-B50D-432D-91BF-9AEED8714FB9}">
  <ds:schemaRefs>
    <ds:schemaRef ds:uri="http://schemas.microsoft.com/office/2006/metadata/properties"/>
    <ds:schemaRef ds:uri="http://schemas.microsoft.com/office/infopath/2007/PartnerControls"/>
    <ds:schemaRef ds:uri="af4d4d3f-de7d-41d3-a24e-fad2a4ae4921"/>
    <ds:schemaRef ds:uri="eb585914-d546-41d5-863f-24e9809e7239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434</Words>
  <Characters>3162</Characters>
  <Application>Microsoft Office Word</Application>
  <DocSecurity>0</DocSecurity>
  <Lines>50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Wojdak</dc:creator>
  <cp:keywords/>
  <dc:description/>
  <cp:lastModifiedBy>Roza Lorenc</cp:lastModifiedBy>
  <cp:revision>4</cp:revision>
  <dcterms:created xsi:type="dcterms:W3CDTF">2026-04-20T12:13:00Z</dcterms:created>
  <dcterms:modified xsi:type="dcterms:W3CDTF">2026-04-20T12:19:00Z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43b072f0-0f82-4aac-be1e-8abeffc32f66">
    <vt:bool>false</vt:bool>
  </property>
  <property fmtid="{D5CDD505-2E9C-101B-9397-08002B2CF9AE}" pid="3" name="MediaServiceImageTags">
    <vt:lpwstr/>
  </property>
  <property fmtid="{D5CDD505-2E9C-101B-9397-08002B2CF9AE}" pid="4" name="ContentTypeId">
    <vt:lpwstr>0x01010052EDB95D3A81CC4B9D0A6E3C8F3AB5D0</vt:lpwstr>
  </property>
</Properties>
</file>