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19D9" w14:textId="5C2BF6D8" w:rsidR="00FC3E76" w:rsidRPr="00FC3E76" w:rsidRDefault="00FC3E76" w:rsidP="00FC3E76">
      <w:pPr>
        <w:spacing w:after="160" w:line="278" w:lineRule="auto"/>
        <w:jc w:val="right"/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</w:pPr>
      <w:r w:rsidRPr="00FC3E76"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  <w:t xml:space="preserve">Materiał prasowy, </w:t>
      </w:r>
      <w:r w:rsidR="00E72B60"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  <w:t>22</w:t>
      </w:r>
      <w:r w:rsidRPr="00FC3E76"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  <w:t>.04.2</w:t>
      </w:r>
      <w:r w:rsidR="00E72B60"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  <w:t>02</w:t>
      </w:r>
      <w:r w:rsidRPr="00FC3E76">
        <w:rPr>
          <w:rFonts w:ascii="Intrum Sans" w:eastAsiaTheme="minorHAnsi" w:hAnsi="Intrum Sans" w:cstheme="minorBidi"/>
          <w:kern w:val="2"/>
          <w:sz w:val="18"/>
          <w:szCs w:val="18"/>
          <w:lang w:eastAsia="en-US"/>
          <w14:ligatures w14:val="standardContextual"/>
        </w:rPr>
        <w:t>6</w:t>
      </w:r>
    </w:p>
    <w:p w14:paraId="09D5E104" w14:textId="77777777" w:rsidR="00FC3E76" w:rsidRDefault="00FC3E76" w:rsidP="00FC3E76">
      <w:pPr>
        <w:rPr>
          <w:rFonts w:ascii="Intrum Sans" w:hAnsi="Intrum Sans"/>
          <w:b/>
          <w:bCs/>
          <w:sz w:val="20"/>
          <w:szCs w:val="20"/>
        </w:rPr>
      </w:pPr>
    </w:p>
    <w:p w14:paraId="18AA9F43" w14:textId="428C5395" w:rsidR="00C203BF" w:rsidRPr="00FC3E76" w:rsidRDefault="00C203BF" w:rsidP="00FC3E76">
      <w:pPr>
        <w:rPr>
          <w:rFonts w:ascii="Intrum Sans" w:hAnsi="Intrum Sans"/>
          <w:b/>
          <w:bCs/>
        </w:rPr>
      </w:pPr>
      <w:r w:rsidRPr="00FC3E76">
        <w:rPr>
          <w:rFonts w:ascii="Intrum Sans" w:hAnsi="Intrum Sans"/>
          <w:b/>
          <w:bCs/>
        </w:rPr>
        <w:t>Tam gdzie nie sięga</w:t>
      </w:r>
      <w:r w:rsidR="003A0FE1" w:rsidRPr="00FC3E76">
        <w:rPr>
          <w:rFonts w:ascii="Intrum Sans" w:hAnsi="Intrum Sans"/>
          <w:b/>
          <w:bCs/>
        </w:rPr>
        <w:t>ła</w:t>
      </w:r>
      <w:r w:rsidRPr="00FC3E76">
        <w:rPr>
          <w:rFonts w:ascii="Intrum Sans" w:hAnsi="Intrum Sans"/>
          <w:b/>
          <w:bCs/>
        </w:rPr>
        <w:t xml:space="preserve"> tradycyjna windykacja</w:t>
      </w:r>
      <w:r w:rsidR="003A0FE1" w:rsidRPr="00FC3E76">
        <w:rPr>
          <w:rFonts w:ascii="Intrum Sans" w:hAnsi="Intrum Sans"/>
          <w:b/>
          <w:bCs/>
        </w:rPr>
        <w:t>.</w:t>
      </w:r>
      <w:r w:rsidR="00FC3E76" w:rsidRPr="00FC3E76">
        <w:rPr>
          <w:rFonts w:ascii="Intrum Sans" w:hAnsi="Intrum Sans"/>
          <w:b/>
          <w:bCs/>
        </w:rPr>
        <w:t xml:space="preserve"> </w:t>
      </w:r>
      <w:r w:rsidRPr="00FC3E76">
        <w:rPr>
          <w:rFonts w:ascii="Intrum Sans" w:hAnsi="Intrum Sans"/>
          <w:b/>
          <w:bCs/>
        </w:rPr>
        <w:t xml:space="preserve">Cyfrowe narzędzia zmotywowały </w:t>
      </w:r>
      <w:r w:rsidR="003A0FE1" w:rsidRPr="00FC3E76">
        <w:rPr>
          <w:rFonts w:ascii="Intrum Sans" w:hAnsi="Intrum Sans"/>
          <w:b/>
          <w:bCs/>
        </w:rPr>
        <w:t xml:space="preserve">tysiące </w:t>
      </w:r>
      <w:r w:rsidR="009042BB">
        <w:rPr>
          <w:rFonts w:ascii="Intrum Sans" w:hAnsi="Intrum Sans"/>
          <w:b/>
          <w:bCs/>
        </w:rPr>
        <w:t>osób zadłużonych</w:t>
      </w:r>
      <w:r w:rsidR="0004185C">
        <w:rPr>
          <w:rFonts w:ascii="Intrum Sans" w:hAnsi="Intrum Sans"/>
          <w:b/>
          <w:bCs/>
        </w:rPr>
        <w:t xml:space="preserve"> </w:t>
      </w:r>
      <w:r w:rsidRPr="00FC3E76">
        <w:rPr>
          <w:rFonts w:ascii="Intrum Sans" w:hAnsi="Intrum Sans"/>
          <w:b/>
          <w:bCs/>
        </w:rPr>
        <w:t>do spłaty zaległych zobowiązań</w:t>
      </w:r>
    </w:p>
    <w:p w14:paraId="6794C158" w14:textId="77777777" w:rsidR="00FC3E76" w:rsidRPr="00FC3E76" w:rsidRDefault="00FC3E76" w:rsidP="00FC3E76">
      <w:pPr>
        <w:rPr>
          <w:rFonts w:ascii="Intrum Sans" w:hAnsi="Intrum Sans"/>
          <w:b/>
          <w:bCs/>
          <w:sz w:val="20"/>
          <w:szCs w:val="20"/>
        </w:rPr>
      </w:pPr>
    </w:p>
    <w:p w14:paraId="1940992E" w14:textId="3A89E15B" w:rsidR="00C13F24" w:rsidRPr="00FC3E76" w:rsidRDefault="00264E0B" w:rsidP="34EF102C">
      <w:pPr>
        <w:spacing w:after="200" w:line="276" w:lineRule="auto"/>
        <w:rPr>
          <w:rFonts w:ascii="Intrum Sans" w:hAnsi="Intrum Sans"/>
          <w:b/>
          <w:bCs/>
          <w:sz w:val="20"/>
          <w:szCs w:val="20"/>
        </w:rPr>
      </w:pPr>
      <w:r w:rsidRPr="00FC3E76">
        <w:rPr>
          <w:rFonts w:ascii="Intrum Sans" w:hAnsi="Intrum Sans"/>
          <w:b/>
          <w:bCs/>
          <w:sz w:val="20"/>
          <w:szCs w:val="20"/>
        </w:rPr>
        <w:t>Polacy należą do europejskich liderów cyfryzacji finansów. Ponad 31 mln osób regularnie loguje się do bankowości elektronicznej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1"/>
      </w:r>
      <w:r w:rsidRPr="00FC3E76">
        <w:rPr>
          <w:rFonts w:ascii="Intrum Sans" w:hAnsi="Intrum Sans"/>
          <w:b/>
          <w:bCs/>
          <w:sz w:val="20"/>
          <w:szCs w:val="20"/>
        </w:rPr>
        <w:t>, a 9 na 10 dorosłych internautów robi zakupy online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2"/>
      </w:r>
      <w:r w:rsidRPr="00FC3E76">
        <w:rPr>
          <w:rFonts w:ascii="Intrum Sans" w:hAnsi="Intrum Sans"/>
          <w:b/>
          <w:bCs/>
          <w:sz w:val="20"/>
          <w:szCs w:val="20"/>
        </w:rPr>
        <w:t>. W tej rzeczywistości naturalnym krokiem staje się przeniesienie do sieci kolejnych obszarów zarządzania finansami</w:t>
      </w:r>
      <w:r w:rsidR="009554A0" w:rsidRPr="00FC3E76">
        <w:rPr>
          <w:rFonts w:ascii="Intrum Sans" w:hAnsi="Intrum Sans"/>
          <w:b/>
          <w:bCs/>
          <w:sz w:val="20"/>
          <w:szCs w:val="20"/>
        </w:rPr>
        <w:t>,</w:t>
      </w:r>
      <w:r w:rsidRPr="00FC3E76">
        <w:rPr>
          <w:rFonts w:ascii="Intrum Sans" w:hAnsi="Intrum Sans"/>
          <w:b/>
          <w:bCs/>
          <w:sz w:val="20"/>
          <w:szCs w:val="20"/>
        </w:rPr>
        <w:t xml:space="preserve"> w tym spłaty zaległych zobowiązań. Dane z portalu Intrum, potwierdzają, że ten kierunek odpowiada na realne potrzeby: aż 73 proc. osób dokonujących płatności online to </w:t>
      </w:r>
      <w:r w:rsidR="009042BB">
        <w:rPr>
          <w:rFonts w:ascii="Intrum Sans" w:hAnsi="Intrum Sans"/>
          <w:b/>
          <w:bCs/>
          <w:sz w:val="20"/>
          <w:szCs w:val="20"/>
        </w:rPr>
        <w:t>C</w:t>
      </w:r>
      <w:r w:rsidRPr="00FC3E76">
        <w:rPr>
          <w:rFonts w:ascii="Intrum Sans" w:hAnsi="Intrum Sans"/>
          <w:b/>
          <w:bCs/>
          <w:sz w:val="20"/>
          <w:szCs w:val="20"/>
        </w:rPr>
        <w:t>i, z którymi wcześniej nie udało się nawiązać kontaktu tradycyjnymi kanałami.</w:t>
      </w:r>
    </w:p>
    <w:p w14:paraId="5E41350D" w14:textId="77777777" w:rsidR="00C13F24" w:rsidRPr="00FC3E76" w:rsidRDefault="00264E0B" w:rsidP="009554A0">
      <w:pPr>
        <w:pStyle w:val="Nagwek2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Społeczeństwo, które żyje online</w:t>
      </w:r>
    </w:p>
    <w:p w14:paraId="069D2E89" w14:textId="29966B14" w:rsidR="00C13F24" w:rsidRPr="00FC3E76" w:rsidRDefault="00771CA1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W </w:t>
      </w:r>
      <w:r w:rsidR="00264E0B" w:rsidRPr="00FC3E76">
        <w:rPr>
          <w:rFonts w:ascii="Intrum Sans" w:hAnsi="Intrum Sans"/>
          <w:sz w:val="20"/>
          <w:szCs w:val="20"/>
        </w:rPr>
        <w:t>IV kwartale 2025 roku liczba klientów indywidualnych logujących się co najmniej raz na kwartał do bankowości elektronicznej przekroczyła 31 mln</w:t>
      </w:r>
      <w:r w:rsidR="009554A0" w:rsidRPr="00FC3E76">
        <w:rPr>
          <w:rFonts w:ascii="Intrum Sans" w:hAnsi="Intrum Sans"/>
          <w:sz w:val="20"/>
          <w:szCs w:val="20"/>
        </w:rPr>
        <w:t xml:space="preserve">, </w:t>
      </w:r>
      <w:r w:rsidR="00264E0B" w:rsidRPr="00FC3E76">
        <w:rPr>
          <w:rFonts w:ascii="Intrum Sans" w:hAnsi="Intrum Sans"/>
          <w:sz w:val="20"/>
          <w:szCs w:val="20"/>
        </w:rPr>
        <w:t>o 5 proc. więcej niż rok wcześniej</w:t>
      </w:r>
      <w:r w:rsidRPr="00FC3E76">
        <w:rPr>
          <w:rFonts w:ascii="Intrum Sans" w:hAnsi="Intrum Sans"/>
          <w:sz w:val="20"/>
          <w:szCs w:val="20"/>
        </w:rPr>
        <w:t xml:space="preserve">. </w:t>
      </w:r>
      <w:r w:rsidR="002440E3" w:rsidRPr="00FC3E76">
        <w:rPr>
          <w:rFonts w:ascii="Intrum Sans" w:hAnsi="Intrum Sans"/>
          <w:sz w:val="20"/>
          <w:szCs w:val="20"/>
        </w:rPr>
        <w:t>Ponadto l</w:t>
      </w:r>
      <w:r w:rsidR="00264E0B" w:rsidRPr="00FC3E76">
        <w:rPr>
          <w:rFonts w:ascii="Intrum Sans" w:hAnsi="Intrum Sans"/>
          <w:sz w:val="20"/>
          <w:szCs w:val="20"/>
        </w:rPr>
        <w:t>iczba aktywnych użytkowników bankowych aplikacji mobilnych sięgnęła 27 mln, co oznacza wzrost o 14 proc. rok do roku</w:t>
      </w:r>
      <w:r w:rsidR="00264E0B" w:rsidRPr="00FC3E76">
        <w:rPr>
          <w:rStyle w:val="Odwoanieprzypisudolnego"/>
          <w:rFonts w:ascii="Intrum Sans" w:hAnsi="Intrum Sans"/>
          <w:sz w:val="20"/>
          <w:szCs w:val="20"/>
        </w:rPr>
        <w:footnoteReference w:id="3"/>
      </w:r>
      <w:r w:rsidR="00264E0B" w:rsidRPr="00FC3E76">
        <w:rPr>
          <w:rFonts w:ascii="Intrum Sans" w:hAnsi="Intrum Sans"/>
          <w:sz w:val="20"/>
          <w:szCs w:val="20"/>
        </w:rPr>
        <w:t xml:space="preserve">. </w:t>
      </w:r>
      <w:r w:rsidR="002440E3" w:rsidRPr="00FC3E76">
        <w:rPr>
          <w:rFonts w:ascii="Intrum Sans" w:hAnsi="Intrum Sans"/>
          <w:sz w:val="20"/>
          <w:szCs w:val="20"/>
        </w:rPr>
        <w:t xml:space="preserve">To wszystko sprawia, że kanał </w:t>
      </w:r>
      <w:r w:rsidR="00264E0B" w:rsidRPr="00FC3E76">
        <w:rPr>
          <w:rFonts w:ascii="Intrum Sans" w:hAnsi="Intrum Sans"/>
          <w:sz w:val="20"/>
          <w:szCs w:val="20"/>
        </w:rPr>
        <w:t>mobilny staje się dominującym sposobem kontaktu Polaków z bankiem</w:t>
      </w:r>
      <w:r w:rsidR="002440E3" w:rsidRPr="00FC3E76">
        <w:rPr>
          <w:rFonts w:ascii="Intrum Sans" w:hAnsi="Intrum Sans"/>
          <w:sz w:val="20"/>
          <w:szCs w:val="20"/>
        </w:rPr>
        <w:t>, a cyfryzacja finansów jest faktem, a nie przewidywaniem przyszłości.</w:t>
      </w:r>
    </w:p>
    <w:p w14:paraId="570EE614" w14:textId="53275549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Preferencje cyfrowe widać również w podejściu do płatności. 61 proc. polskich konsumentów deklaruje, że płaci gotówką tylko wtedy, gdy nie ma innej opcji – to wzrost o 29 punktów procentowych względem 2022 roku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4"/>
      </w:r>
      <w:r w:rsidRPr="00FC3E76">
        <w:rPr>
          <w:rFonts w:ascii="Intrum Sans" w:hAnsi="Intrum Sans"/>
          <w:sz w:val="20"/>
          <w:szCs w:val="20"/>
        </w:rPr>
        <w:t>. Europejska średnia wynosi 46 proc., co oznacza, że Polska wyraźnie przoduje w odchodzeniu od gotówki.</w:t>
      </w:r>
    </w:p>
    <w:p w14:paraId="719D82D3" w14:textId="6FD248BD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Równolegle rośnie udział zakupów dokonywanych przez </w:t>
      </w:r>
      <w:r w:rsidR="009554A0" w:rsidRPr="00FC3E76">
        <w:rPr>
          <w:rFonts w:ascii="Intrum Sans" w:hAnsi="Intrum Sans"/>
          <w:sz w:val="20"/>
          <w:szCs w:val="20"/>
        </w:rPr>
        <w:t>Internet</w:t>
      </w:r>
      <w:r w:rsidRPr="00FC3E76">
        <w:rPr>
          <w:rFonts w:ascii="Intrum Sans" w:hAnsi="Intrum Sans"/>
          <w:sz w:val="20"/>
          <w:szCs w:val="20"/>
        </w:rPr>
        <w:t xml:space="preserve">. </w:t>
      </w:r>
      <w:r w:rsidR="000A4DC2" w:rsidRPr="00FC3E76">
        <w:rPr>
          <w:rFonts w:ascii="Intrum Sans" w:hAnsi="Intrum Sans"/>
          <w:sz w:val="20"/>
          <w:szCs w:val="20"/>
        </w:rPr>
        <w:t>O</w:t>
      </w:r>
      <w:r w:rsidRPr="00FC3E76">
        <w:rPr>
          <w:rFonts w:ascii="Intrum Sans" w:hAnsi="Intrum Sans"/>
          <w:sz w:val="20"/>
          <w:szCs w:val="20"/>
        </w:rPr>
        <w:t>dsetek dorosłych internautów kupujących online utrzymuje się na poziomie ok. 90 proc.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5"/>
      </w:r>
      <w:r w:rsidRPr="00FC3E76">
        <w:rPr>
          <w:rFonts w:ascii="Intrum Sans" w:hAnsi="Intrum Sans"/>
          <w:sz w:val="20"/>
          <w:szCs w:val="20"/>
        </w:rPr>
        <w:t>. O wyborze formy płatności decyduje przede wszystkim wygoda (70 proc. wskazań) i szybkość (68 proc.)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6"/>
      </w:r>
      <w:r w:rsidRPr="00FC3E76">
        <w:rPr>
          <w:rFonts w:ascii="Intrum Sans" w:hAnsi="Intrum Sans"/>
          <w:sz w:val="20"/>
          <w:szCs w:val="20"/>
        </w:rPr>
        <w:t>.</w:t>
      </w:r>
    </w:p>
    <w:p w14:paraId="42B0D8A1" w14:textId="77777777" w:rsidR="00C13F24" w:rsidRPr="00FC3E76" w:rsidRDefault="00264E0B" w:rsidP="009554A0">
      <w:pPr>
        <w:pStyle w:val="Nagwek2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Nie tylko zakupy – cyfryzacja spraw urzędowych</w:t>
      </w:r>
    </w:p>
    <w:p w14:paraId="15737B9F" w14:textId="649551FB" w:rsidR="00C13F24" w:rsidRPr="00FC3E76" w:rsidRDefault="00EA2FC0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Polacy przenoszą do internetu nie tylko zakupy, lecz także sprawy urzędowe. Trend płatności online obejmuje dziś również zobowiązania wobec administracji publicznej, z którymi styczność ma praktycznie każdy z nas. Dobrym przykładem jest system ePłatności, zintegrowany z aplikacją mObywatel, umożliwiający szybkie i wygodne regulowanie należności urzędowych.</w:t>
      </w:r>
      <w:r w:rsidR="00FC3E76">
        <w:rPr>
          <w:rFonts w:ascii="Intrum Sans" w:hAnsi="Intrum Sans"/>
          <w:sz w:val="20"/>
          <w:szCs w:val="20"/>
        </w:rPr>
        <w:t xml:space="preserve"> </w:t>
      </w:r>
      <w:r w:rsidR="00264E0B" w:rsidRPr="00FC3E76">
        <w:rPr>
          <w:rFonts w:ascii="Intrum Sans" w:hAnsi="Intrum Sans"/>
          <w:sz w:val="20"/>
          <w:szCs w:val="20"/>
        </w:rPr>
        <w:t>Od sierpnia 2023 roku do końca 2025 roku użytkownicy zrealizowali w nim 566 tys. transakcji BLIKIEM o łącznej wartości blisko 56 mln zł</w:t>
      </w:r>
      <w:r w:rsidR="00264E0B" w:rsidRPr="00FC3E76">
        <w:rPr>
          <w:rStyle w:val="Odwoanieprzypisudolnego"/>
          <w:rFonts w:ascii="Intrum Sans" w:hAnsi="Intrum Sans"/>
          <w:sz w:val="20"/>
          <w:szCs w:val="20"/>
        </w:rPr>
        <w:footnoteReference w:id="7"/>
      </w:r>
      <w:r w:rsidR="00264E0B" w:rsidRPr="00FC3E76">
        <w:rPr>
          <w:rFonts w:ascii="Intrum Sans" w:hAnsi="Intrum Sans"/>
          <w:sz w:val="20"/>
          <w:szCs w:val="20"/>
        </w:rPr>
        <w:t>. Sam 2025 rok przyniósł 447 tys. płatności na kwotę ponad 44 mln zł</w:t>
      </w:r>
      <w:r w:rsidR="009554A0" w:rsidRPr="00FC3E76">
        <w:rPr>
          <w:rFonts w:ascii="Intrum Sans" w:hAnsi="Intrum Sans"/>
          <w:sz w:val="20"/>
          <w:szCs w:val="20"/>
        </w:rPr>
        <w:t xml:space="preserve">, </w:t>
      </w:r>
      <w:r w:rsidR="00264E0B" w:rsidRPr="00FC3E76">
        <w:rPr>
          <w:rFonts w:ascii="Intrum Sans" w:hAnsi="Intrum Sans"/>
          <w:sz w:val="20"/>
          <w:szCs w:val="20"/>
        </w:rPr>
        <w:t>czterokrotnie więcej niż rok wcześniej</w:t>
      </w:r>
      <w:r w:rsidR="00264E0B" w:rsidRPr="00FC3E76">
        <w:rPr>
          <w:rStyle w:val="Odwoanieprzypisudolnego"/>
          <w:rFonts w:ascii="Intrum Sans" w:hAnsi="Intrum Sans"/>
          <w:sz w:val="20"/>
          <w:szCs w:val="20"/>
        </w:rPr>
        <w:footnoteReference w:id="8"/>
      </w:r>
      <w:r w:rsidR="00264E0B" w:rsidRPr="00FC3E76">
        <w:rPr>
          <w:rFonts w:ascii="Intrum Sans" w:hAnsi="Intrum Sans"/>
          <w:sz w:val="20"/>
          <w:szCs w:val="20"/>
        </w:rPr>
        <w:t>. Usługa działa już w ponad 190 urzędach i jest dostępna dla prawie 9,6 mln mieszkańców polskich gmin.</w:t>
      </w:r>
    </w:p>
    <w:p w14:paraId="0A5A4228" w14:textId="56972DAF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Dane te wskazują na jednoznaczny trend: konsumenci oczekują, że każdą sprawę finansową – od opłaty za śmieci po spłatę zobowiązań – załatwią online, szybko i bez zbędnych formalności.</w:t>
      </w:r>
    </w:p>
    <w:p w14:paraId="43A89F45" w14:textId="68D67309" w:rsidR="00C13F24" w:rsidRPr="00FC3E76" w:rsidRDefault="00264E0B" w:rsidP="009554A0">
      <w:pPr>
        <w:pStyle w:val="Nagwek2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Windykacja odpowiada na cyfrowe </w:t>
      </w:r>
      <w:r w:rsidR="00167D40" w:rsidRPr="00FC3E76">
        <w:rPr>
          <w:rFonts w:ascii="Intrum Sans" w:hAnsi="Intrum Sans"/>
          <w:sz w:val="20"/>
          <w:szCs w:val="20"/>
        </w:rPr>
        <w:t>potrzeby</w:t>
      </w:r>
    </w:p>
    <w:p w14:paraId="36F2F062" w14:textId="4F76F0D6" w:rsidR="00C13F24" w:rsidRPr="00FC3E76" w:rsidRDefault="00EA2FC0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lastRenderedPageBreak/>
        <w:t>Ten</w:t>
      </w:r>
      <w:r w:rsidR="00264E0B" w:rsidRPr="00FC3E76">
        <w:rPr>
          <w:rFonts w:ascii="Intrum Sans" w:hAnsi="Intrum Sans"/>
          <w:sz w:val="20"/>
          <w:szCs w:val="20"/>
        </w:rPr>
        <w:t xml:space="preserve"> trend </w:t>
      </w:r>
      <w:r w:rsidR="00683198" w:rsidRPr="00FC3E76">
        <w:rPr>
          <w:rFonts w:ascii="Intrum Sans" w:hAnsi="Intrum Sans"/>
          <w:sz w:val="20"/>
          <w:szCs w:val="20"/>
        </w:rPr>
        <w:t xml:space="preserve">przenosi się również do firm zarządzających należnościami. </w:t>
      </w:r>
      <w:r w:rsidR="00167D40" w:rsidRPr="00FC3E76">
        <w:rPr>
          <w:rFonts w:ascii="Intrum Sans" w:hAnsi="Intrum Sans"/>
          <w:sz w:val="20"/>
          <w:szCs w:val="20"/>
        </w:rPr>
        <w:t>T</w:t>
      </w:r>
      <w:r w:rsidR="00683198" w:rsidRPr="00FC3E76">
        <w:rPr>
          <w:rFonts w:ascii="Intrum Sans" w:hAnsi="Intrum Sans"/>
          <w:sz w:val="20"/>
          <w:szCs w:val="20"/>
        </w:rPr>
        <w:t xml:space="preserve">worzą </w:t>
      </w:r>
      <w:r w:rsidR="00167D40" w:rsidRPr="00FC3E76">
        <w:rPr>
          <w:rFonts w:ascii="Intrum Sans" w:hAnsi="Intrum Sans"/>
          <w:sz w:val="20"/>
          <w:szCs w:val="20"/>
        </w:rPr>
        <w:t xml:space="preserve">one </w:t>
      </w:r>
      <w:r w:rsidR="00683198" w:rsidRPr="00FC3E76">
        <w:rPr>
          <w:rFonts w:ascii="Intrum Sans" w:hAnsi="Intrum Sans"/>
          <w:sz w:val="20"/>
          <w:szCs w:val="20"/>
        </w:rPr>
        <w:t>portale</w:t>
      </w:r>
      <w:r w:rsidRPr="00FC3E76">
        <w:rPr>
          <w:rFonts w:ascii="Intrum Sans" w:hAnsi="Intrum Sans"/>
          <w:sz w:val="20"/>
          <w:szCs w:val="20"/>
        </w:rPr>
        <w:t>,</w:t>
      </w:r>
      <w:r w:rsidR="00683198" w:rsidRPr="00FC3E76">
        <w:rPr>
          <w:rFonts w:ascii="Intrum Sans" w:hAnsi="Intrum Sans"/>
          <w:sz w:val="20"/>
          <w:szCs w:val="20"/>
        </w:rPr>
        <w:t xml:space="preserve"> na których</w:t>
      </w:r>
      <w:r w:rsidR="00264E0B" w:rsidRPr="00FC3E76">
        <w:rPr>
          <w:rFonts w:ascii="Intrum Sans" w:hAnsi="Intrum Sans"/>
          <w:sz w:val="20"/>
          <w:szCs w:val="20"/>
        </w:rPr>
        <w:t xml:space="preserve"> osoby posiadające zaległe zobowiązania mogą sprawdzić status swoich spraw, ustalić harmonogram spłaty </w:t>
      </w:r>
      <w:r w:rsidR="00683198" w:rsidRPr="00FC3E76">
        <w:rPr>
          <w:rFonts w:ascii="Intrum Sans" w:hAnsi="Intrum Sans"/>
          <w:sz w:val="20"/>
          <w:szCs w:val="20"/>
        </w:rPr>
        <w:t xml:space="preserve">czy </w:t>
      </w:r>
      <w:r w:rsidR="00264E0B" w:rsidRPr="00FC3E76">
        <w:rPr>
          <w:rFonts w:ascii="Intrum Sans" w:hAnsi="Intrum Sans"/>
          <w:sz w:val="20"/>
          <w:szCs w:val="20"/>
        </w:rPr>
        <w:t>dokonać płatności bez konieczności kontaktu telefonicznego czy wizyty w biurze.</w:t>
      </w:r>
    </w:p>
    <w:p w14:paraId="20FCC309" w14:textId="168238A3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i/>
          <w:iCs/>
          <w:sz w:val="20"/>
          <w:szCs w:val="20"/>
        </w:rPr>
        <w:t>– Uruchomienie portalu Intrum było odpowiedzią na zmieniające się oczekiwania konsumentów, którzy chcą załatwiać sprawy finansowe w środowisku cyfrowym – szybko, dyskretnie i o dowolnej porze. Dane potwierdzają, że ten kierunek był słuszny: 73 proc. płatności online realizowanych za pośrednictwem portalu pochodzi od nowych płatników, czyli osób, z którymi wcześniej nie mieliśmy kontaktu żadnym innym kanałem. Kolejne 8 proc. to osoby, które nie dokonały żadnej wpłaty od ponad roku. Portal dociera tam, gdzie tradycyjne formy komunikacji okazywały się nieskuteczne</w:t>
      </w:r>
      <w:r w:rsidRPr="00FC3E76">
        <w:rPr>
          <w:rFonts w:ascii="Intrum Sans" w:hAnsi="Intrum Sans"/>
          <w:sz w:val="20"/>
          <w:szCs w:val="20"/>
        </w:rPr>
        <w:t xml:space="preserve"> – mówi </w:t>
      </w:r>
      <w:r w:rsidR="00FC3E76" w:rsidRPr="00FC3E76">
        <w:rPr>
          <w:rFonts w:ascii="Intrum Sans" w:hAnsi="Intrum Sans"/>
          <w:b/>
          <w:bCs/>
          <w:sz w:val="20"/>
          <w:szCs w:val="20"/>
        </w:rPr>
        <w:t>Agnieszka Siemieniuk</w:t>
      </w:r>
      <w:r w:rsidRPr="00FC3E76">
        <w:rPr>
          <w:rFonts w:ascii="Intrum Sans" w:hAnsi="Intrum Sans"/>
          <w:sz w:val="20"/>
          <w:szCs w:val="20"/>
        </w:rPr>
        <w:t xml:space="preserve">, </w:t>
      </w:r>
      <w:r w:rsidRPr="00FC3E76">
        <w:rPr>
          <w:rFonts w:ascii="Intrum Sans" w:hAnsi="Intrum Sans"/>
          <w:b/>
          <w:bCs/>
          <w:sz w:val="20"/>
          <w:szCs w:val="20"/>
        </w:rPr>
        <w:t>ekspertka Intrum.</w:t>
      </w:r>
    </w:p>
    <w:p w14:paraId="328FF264" w14:textId="77777777" w:rsid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Użytkownicy </w:t>
      </w:r>
      <w:r w:rsidR="00167D40" w:rsidRPr="00FC3E76">
        <w:rPr>
          <w:rFonts w:ascii="Intrum Sans" w:hAnsi="Intrum Sans"/>
          <w:sz w:val="20"/>
          <w:szCs w:val="20"/>
        </w:rPr>
        <w:t>serwisu</w:t>
      </w:r>
      <w:r w:rsidR="00EA2FC0" w:rsidRPr="00FC3E76">
        <w:rPr>
          <w:rFonts w:ascii="Intrum Sans" w:hAnsi="Intrum Sans"/>
          <w:sz w:val="20"/>
          <w:szCs w:val="20"/>
        </w:rPr>
        <w:t xml:space="preserve"> </w:t>
      </w:r>
      <w:r w:rsidRPr="00FC3E76">
        <w:rPr>
          <w:rFonts w:ascii="Intrum Sans" w:hAnsi="Intrum Sans"/>
          <w:sz w:val="20"/>
          <w:szCs w:val="20"/>
        </w:rPr>
        <w:t>najchętniej korzystają z możliwości płatności online</w:t>
      </w:r>
      <w:r w:rsidR="00167D40" w:rsidRPr="00FC3E76">
        <w:rPr>
          <w:rFonts w:ascii="Intrum Sans" w:hAnsi="Intrum Sans"/>
          <w:sz w:val="20"/>
          <w:szCs w:val="20"/>
        </w:rPr>
        <w:t>.</w:t>
      </w:r>
      <w:r w:rsidRPr="00FC3E76">
        <w:rPr>
          <w:rFonts w:ascii="Intrum Sans" w:hAnsi="Intrum Sans"/>
          <w:sz w:val="20"/>
          <w:szCs w:val="20"/>
        </w:rPr>
        <w:t xml:space="preserve"> </w:t>
      </w:r>
      <w:r w:rsidR="00167D40" w:rsidRPr="00FC3E76">
        <w:rPr>
          <w:rFonts w:ascii="Intrum Sans" w:hAnsi="Intrum Sans"/>
          <w:sz w:val="20"/>
          <w:szCs w:val="20"/>
        </w:rPr>
        <w:t>Zdecydowanym faworytem wśród dostępnych metod jest BLIK, który odpowiada za aż 95 proc. wszystkich transakcji realizowanych w portalu</w:t>
      </w:r>
      <w:r w:rsidR="00167D40" w:rsidRPr="00FC3E76">
        <w:rPr>
          <w:rStyle w:val="Odwoanieprzypisudolnego"/>
          <w:rFonts w:ascii="Intrum Sans" w:hAnsi="Intrum Sans"/>
          <w:sz w:val="20"/>
          <w:szCs w:val="20"/>
        </w:rPr>
        <w:footnoteReference w:id="9"/>
      </w:r>
      <w:r w:rsidR="00167D40" w:rsidRPr="00FC3E76">
        <w:rPr>
          <w:rFonts w:ascii="Intrum Sans" w:hAnsi="Intrum Sans"/>
          <w:sz w:val="20"/>
          <w:szCs w:val="20"/>
        </w:rPr>
        <w:t>. To odzwierciedla ogólnopolski trend: BLIK jest najchętniej wybieraną formą płatności internetowych, z której korzysta 60 proc. kupujących online</w:t>
      </w:r>
      <w:r w:rsidR="00167D40" w:rsidRPr="00FC3E76">
        <w:rPr>
          <w:rStyle w:val="Odwoanieprzypisudolnego"/>
          <w:rFonts w:ascii="Intrum Sans" w:hAnsi="Intrum Sans"/>
          <w:sz w:val="20"/>
          <w:szCs w:val="20"/>
        </w:rPr>
        <w:footnoteReference w:id="10"/>
      </w:r>
      <w:r w:rsidR="00167D40" w:rsidRPr="00FC3E76">
        <w:rPr>
          <w:rFonts w:ascii="Intrum Sans" w:hAnsi="Intrum Sans"/>
          <w:sz w:val="20"/>
          <w:szCs w:val="20"/>
        </w:rPr>
        <w:t xml:space="preserve">. </w:t>
      </w:r>
    </w:p>
    <w:p w14:paraId="1BD2E52C" w14:textId="1357FC0C" w:rsidR="00C13F24" w:rsidRPr="00FC3E76" w:rsidRDefault="00167D40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Popularnymi funkcjonalnościami są także możliwość </w:t>
      </w:r>
      <w:r w:rsidR="00264E0B" w:rsidRPr="00FC3E76">
        <w:rPr>
          <w:rFonts w:ascii="Intrum Sans" w:hAnsi="Intrum Sans"/>
          <w:sz w:val="20"/>
          <w:szCs w:val="20"/>
        </w:rPr>
        <w:t>ustalania harmonogramu spłaty</w:t>
      </w:r>
      <w:r w:rsidRPr="00FC3E76">
        <w:rPr>
          <w:rFonts w:ascii="Intrum Sans" w:hAnsi="Intrum Sans"/>
          <w:sz w:val="20"/>
          <w:szCs w:val="20"/>
        </w:rPr>
        <w:t xml:space="preserve">, </w:t>
      </w:r>
      <w:r w:rsidR="00264E0B" w:rsidRPr="00FC3E76">
        <w:rPr>
          <w:rFonts w:ascii="Intrum Sans" w:hAnsi="Intrum Sans"/>
          <w:sz w:val="20"/>
          <w:szCs w:val="20"/>
        </w:rPr>
        <w:t>spraw</w:t>
      </w:r>
      <w:r w:rsidRPr="00FC3E76">
        <w:rPr>
          <w:rFonts w:ascii="Intrum Sans" w:hAnsi="Intrum Sans"/>
          <w:sz w:val="20"/>
          <w:szCs w:val="20"/>
        </w:rPr>
        <w:t>dzanie</w:t>
      </w:r>
      <w:r w:rsidR="00264E0B" w:rsidRPr="00FC3E76">
        <w:rPr>
          <w:rFonts w:ascii="Intrum Sans" w:hAnsi="Intrum Sans"/>
          <w:sz w:val="20"/>
          <w:szCs w:val="20"/>
        </w:rPr>
        <w:t xml:space="preserve"> </w:t>
      </w:r>
      <w:r w:rsidR="009042BB">
        <w:rPr>
          <w:rFonts w:ascii="Intrum Sans" w:hAnsi="Intrum Sans"/>
          <w:sz w:val="20"/>
          <w:szCs w:val="20"/>
        </w:rPr>
        <w:t>podstawy</w:t>
      </w:r>
      <w:r w:rsidR="009042BB" w:rsidRPr="00FC3E76">
        <w:rPr>
          <w:rFonts w:ascii="Intrum Sans" w:hAnsi="Intrum Sans"/>
          <w:sz w:val="20"/>
          <w:szCs w:val="20"/>
        </w:rPr>
        <w:t xml:space="preserve"> </w:t>
      </w:r>
      <w:r w:rsidR="00264E0B" w:rsidRPr="00FC3E76">
        <w:rPr>
          <w:rFonts w:ascii="Intrum Sans" w:hAnsi="Intrum Sans"/>
          <w:sz w:val="20"/>
          <w:szCs w:val="20"/>
        </w:rPr>
        <w:t>zadłużenia i po</w:t>
      </w:r>
      <w:r w:rsidRPr="00FC3E76">
        <w:rPr>
          <w:rFonts w:ascii="Intrum Sans" w:hAnsi="Intrum Sans"/>
          <w:sz w:val="20"/>
          <w:szCs w:val="20"/>
        </w:rPr>
        <w:t>bieranie</w:t>
      </w:r>
      <w:r w:rsidR="00264E0B" w:rsidRPr="00FC3E76">
        <w:rPr>
          <w:rFonts w:ascii="Intrum Sans" w:hAnsi="Intrum Sans"/>
          <w:sz w:val="20"/>
          <w:szCs w:val="20"/>
        </w:rPr>
        <w:t xml:space="preserve"> raport</w:t>
      </w:r>
      <w:r w:rsidRPr="00FC3E76">
        <w:rPr>
          <w:rFonts w:ascii="Intrum Sans" w:hAnsi="Intrum Sans"/>
          <w:sz w:val="20"/>
          <w:szCs w:val="20"/>
        </w:rPr>
        <w:t>ów</w:t>
      </w:r>
      <w:r w:rsidR="00264E0B" w:rsidRPr="00FC3E76">
        <w:rPr>
          <w:rFonts w:ascii="Intrum Sans" w:hAnsi="Intrum Sans"/>
          <w:sz w:val="20"/>
          <w:szCs w:val="20"/>
        </w:rPr>
        <w:t xml:space="preserve"> podsumowujący</w:t>
      </w:r>
      <w:r w:rsidRPr="00FC3E76">
        <w:rPr>
          <w:rFonts w:ascii="Intrum Sans" w:hAnsi="Intrum Sans"/>
          <w:sz w:val="20"/>
          <w:szCs w:val="20"/>
        </w:rPr>
        <w:t>ch.</w:t>
      </w:r>
    </w:p>
    <w:p w14:paraId="04AE859B" w14:textId="316D07F1" w:rsidR="00C13F24" w:rsidRPr="00FC3E76" w:rsidRDefault="00EA2FC0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 xml:space="preserve">Zaletą takich portali i aplikacji jest fakt, że </w:t>
      </w:r>
      <w:r w:rsidR="00264E0B" w:rsidRPr="00FC3E76">
        <w:rPr>
          <w:rFonts w:ascii="Intrum Sans" w:hAnsi="Intrum Sans"/>
          <w:sz w:val="20"/>
          <w:szCs w:val="20"/>
        </w:rPr>
        <w:t>działa</w:t>
      </w:r>
      <w:r w:rsidRPr="00FC3E76">
        <w:rPr>
          <w:rFonts w:ascii="Intrum Sans" w:hAnsi="Intrum Sans"/>
          <w:sz w:val="20"/>
          <w:szCs w:val="20"/>
        </w:rPr>
        <w:t>ją</w:t>
      </w:r>
      <w:r w:rsidR="00264E0B" w:rsidRPr="00FC3E76">
        <w:rPr>
          <w:rFonts w:ascii="Intrum Sans" w:hAnsi="Intrum Sans"/>
          <w:sz w:val="20"/>
          <w:szCs w:val="20"/>
        </w:rPr>
        <w:t xml:space="preserve"> całodobowo, a wpłat</w:t>
      </w:r>
      <w:r w:rsidRPr="00FC3E76">
        <w:rPr>
          <w:rFonts w:ascii="Intrum Sans" w:hAnsi="Intrum Sans"/>
          <w:sz w:val="20"/>
          <w:szCs w:val="20"/>
        </w:rPr>
        <w:t xml:space="preserve"> można doko</w:t>
      </w:r>
      <w:r w:rsidR="31AF740F" w:rsidRPr="00FC3E76">
        <w:rPr>
          <w:rFonts w:ascii="Intrum Sans" w:hAnsi="Intrum Sans"/>
          <w:sz w:val="20"/>
          <w:szCs w:val="20"/>
        </w:rPr>
        <w:t>n</w:t>
      </w:r>
      <w:r w:rsidRPr="00FC3E76">
        <w:rPr>
          <w:rFonts w:ascii="Intrum Sans" w:hAnsi="Intrum Sans"/>
          <w:sz w:val="20"/>
          <w:szCs w:val="20"/>
        </w:rPr>
        <w:t>ywać</w:t>
      </w:r>
      <w:r w:rsidR="00264E0B" w:rsidRPr="00FC3E76">
        <w:rPr>
          <w:rFonts w:ascii="Intrum Sans" w:hAnsi="Intrum Sans"/>
          <w:sz w:val="20"/>
          <w:szCs w:val="20"/>
        </w:rPr>
        <w:t xml:space="preserve"> we wszystkie dni tygodnia, również w weekendy i </w:t>
      </w:r>
      <w:r w:rsidRPr="00FC3E76">
        <w:rPr>
          <w:rFonts w:ascii="Intrum Sans" w:hAnsi="Intrum Sans"/>
          <w:sz w:val="20"/>
          <w:szCs w:val="20"/>
        </w:rPr>
        <w:t xml:space="preserve">w </w:t>
      </w:r>
      <w:r w:rsidR="00264E0B" w:rsidRPr="00FC3E76">
        <w:rPr>
          <w:rFonts w:ascii="Intrum Sans" w:hAnsi="Intrum Sans"/>
          <w:sz w:val="20"/>
          <w:szCs w:val="20"/>
        </w:rPr>
        <w:t xml:space="preserve">godzinach wieczornych. Dla </w:t>
      </w:r>
      <w:r w:rsidR="009042BB">
        <w:rPr>
          <w:rFonts w:ascii="Intrum Sans" w:hAnsi="Intrum Sans"/>
          <w:sz w:val="20"/>
          <w:szCs w:val="20"/>
        </w:rPr>
        <w:t>użytkownika</w:t>
      </w:r>
      <w:r w:rsidR="009042BB" w:rsidRPr="00FC3E76">
        <w:rPr>
          <w:rFonts w:ascii="Intrum Sans" w:hAnsi="Intrum Sans"/>
          <w:sz w:val="20"/>
          <w:szCs w:val="20"/>
        </w:rPr>
        <w:t xml:space="preserve"> </w:t>
      </w:r>
      <w:r w:rsidR="00264E0B" w:rsidRPr="00FC3E76">
        <w:rPr>
          <w:rFonts w:ascii="Intrum Sans" w:hAnsi="Intrum Sans"/>
          <w:sz w:val="20"/>
          <w:szCs w:val="20"/>
        </w:rPr>
        <w:t>oznacza to możliwość uregulowania zobowiązania w momencie, który jest dla niego najwygodniejszy i bez konieczności rozmowy z konsultantem.</w:t>
      </w:r>
    </w:p>
    <w:p w14:paraId="36483CC3" w14:textId="77777777" w:rsidR="00C13F24" w:rsidRPr="00FC3E76" w:rsidRDefault="00264E0B" w:rsidP="009554A0">
      <w:pPr>
        <w:pStyle w:val="Nagwek2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Bezpieczeństwo jako fundament zaufania</w:t>
      </w:r>
    </w:p>
    <w:p w14:paraId="0C4FDA30" w14:textId="2072F682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Przeniesienie zarządzania zobowiązaniami do kanału online wymaga zapewnienia najwyższych standardów bezpieczeństwa</w:t>
      </w:r>
      <w:r w:rsidR="009554A0" w:rsidRPr="00FC3E76">
        <w:rPr>
          <w:rFonts w:ascii="Intrum Sans" w:hAnsi="Intrum Sans"/>
          <w:sz w:val="20"/>
          <w:szCs w:val="20"/>
        </w:rPr>
        <w:t>. T</w:t>
      </w:r>
      <w:r w:rsidRPr="00FC3E76">
        <w:rPr>
          <w:rFonts w:ascii="Intrum Sans" w:hAnsi="Intrum Sans"/>
          <w:sz w:val="20"/>
          <w:szCs w:val="20"/>
        </w:rPr>
        <w:t>ym bardziej, że rośnie skala cyberzagrożeń. Z danych CERT Polska wynika, że w 2025 roku zgłoszono ponad 658 tys. potencjalnych zagrożeń w sieci, a liczba potwierdzonych incydentów wzrosła o 152 proc. rok do roku</w:t>
      </w:r>
      <w:r w:rsidRPr="00FC3E76">
        <w:rPr>
          <w:rStyle w:val="Odwoanieprzypisudolnego"/>
          <w:rFonts w:ascii="Intrum Sans" w:hAnsi="Intrum Sans"/>
          <w:sz w:val="20"/>
          <w:szCs w:val="20"/>
        </w:rPr>
        <w:footnoteReference w:id="11"/>
      </w:r>
      <w:r w:rsidRPr="00FC3E76">
        <w:rPr>
          <w:rFonts w:ascii="Intrum Sans" w:hAnsi="Intrum Sans"/>
          <w:sz w:val="20"/>
          <w:szCs w:val="20"/>
        </w:rPr>
        <w:t>.</w:t>
      </w:r>
    </w:p>
    <w:p w14:paraId="6E7212A4" w14:textId="2D46323E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i/>
          <w:iCs/>
          <w:sz w:val="20"/>
          <w:szCs w:val="20"/>
        </w:rPr>
        <w:t>– Bezpieczeństwo danych i transakcji to dla nas kwestia fundamentalna. Portal Intrum stosuje silną autentykację już przy pierwszym logowaniu – użytkownik weryfikuje swoją tożsamość za pośrednictwem bankowości elektronicznej w systemie mojeID lub aplikacji mObywatel. Przy kolejnych logowaniach obowiązuje weryfikacja dwuskładnikowa: hasło oraz jednorazowy kod SMS wysyłany na numer telefonu użytkownika. Chcemy, aby osoby korzystające z portalu miały pewność, że ich dane są odpowiednio chronione</w:t>
      </w:r>
      <w:r w:rsidRPr="00FC3E76">
        <w:rPr>
          <w:rFonts w:ascii="Intrum Sans" w:hAnsi="Intrum Sans"/>
          <w:sz w:val="20"/>
          <w:szCs w:val="20"/>
        </w:rPr>
        <w:t xml:space="preserve"> – </w:t>
      </w:r>
      <w:r w:rsidR="009554A0" w:rsidRPr="00FC3E76">
        <w:rPr>
          <w:rFonts w:ascii="Intrum Sans" w:hAnsi="Intrum Sans"/>
          <w:b/>
          <w:bCs/>
          <w:sz w:val="20"/>
          <w:szCs w:val="20"/>
        </w:rPr>
        <w:t>dodaje</w:t>
      </w:r>
      <w:r w:rsidRPr="00FC3E76">
        <w:rPr>
          <w:rFonts w:ascii="Intrum Sans" w:hAnsi="Intrum Sans"/>
          <w:b/>
          <w:bCs/>
          <w:sz w:val="20"/>
          <w:szCs w:val="20"/>
        </w:rPr>
        <w:t xml:space="preserve"> </w:t>
      </w:r>
      <w:r w:rsidR="00FC3E76" w:rsidRPr="00FC3E76">
        <w:rPr>
          <w:rFonts w:ascii="Intrum Sans" w:hAnsi="Intrum Sans"/>
          <w:b/>
          <w:bCs/>
          <w:sz w:val="20"/>
          <w:szCs w:val="20"/>
        </w:rPr>
        <w:t>Agnieszka Siemieniuk</w:t>
      </w:r>
      <w:r w:rsidRPr="00FC3E76">
        <w:rPr>
          <w:rFonts w:ascii="Intrum Sans" w:hAnsi="Intrum Sans"/>
          <w:b/>
          <w:bCs/>
          <w:sz w:val="20"/>
          <w:szCs w:val="20"/>
        </w:rPr>
        <w:t>, ekspertka Intrum.</w:t>
      </w:r>
    </w:p>
    <w:p w14:paraId="2942080E" w14:textId="6D0ADDDE" w:rsidR="00C13F24" w:rsidRPr="00FC3E76" w:rsidRDefault="00264E0B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sz w:val="20"/>
          <w:szCs w:val="20"/>
        </w:rPr>
        <w:t>System mojeID, dostarczany przez Krajową Izbę Rozliczeniową, opiera się na bankowych mechanizmach uwierzytelnienia, z kolei mObywatel korzysta z danych rejestrów państwowych – PESEL i Rejestru Dowodów Osobistych – oraz certyfikatów kryptograficznych.</w:t>
      </w:r>
      <w:r w:rsidR="00060F63" w:rsidRPr="00FC3E76">
        <w:rPr>
          <w:rFonts w:ascii="Intrum Sans" w:hAnsi="Intrum Sans"/>
          <w:sz w:val="20"/>
          <w:szCs w:val="20"/>
        </w:rPr>
        <w:t xml:space="preserve"> </w:t>
      </w:r>
      <w:r w:rsidRPr="00FC3E76">
        <w:rPr>
          <w:rFonts w:ascii="Intrum Sans" w:hAnsi="Intrum Sans"/>
          <w:sz w:val="20"/>
          <w:szCs w:val="20"/>
        </w:rPr>
        <w:t xml:space="preserve">Obie metody zapewniają poziom ochrony porównywalny ze standardami stosowanymi w bankowości elektronicznej. </w:t>
      </w:r>
    </w:p>
    <w:p w14:paraId="56BF6A07" w14:textId="3ED66924" w:rsidR="0038548E" w:rsidRDefault="0038548E" w:rsidP="0038548E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38548E">
        <w:rPr>
          <w:rFonts w:ascii="Intrum Sans" w:hAnsi="Intrum Sans"/>
          <w:sz w:val="20"/>
          <w:szCs w:val="20"/>
        </w:rPr>
        <w:t xml:space="preserve">Rosnące wykorzystanie cyfrowych kanałów w zarządzaniu zobowiązaniami pokazuje, że kluczowe znaczenie coraz częściej ma nie intensywność kontaktu, lecz jego forma. Dane wskazują, że przewidywalne, cyfrowe środowisko sprzyja podejmowaniu decyzji finansowych także w obszarach dotąd uznawanych za trudne lub wrażliwe. To sygnał, że cyfryzacja finansów przestaje dotyczyć wyłącznie wygody, a coraz częściej wpływa na realne zachowania </w:t>
      </w:r>
      <w:r w:rsidR="009042BB">
        <w:rPr>
          <w:rFonts w:ascii="Intrum Sans" w:hAnsi="Intrum Sans"/>
          <w:sz w:val="20"/>
          <w:szCs w:val="20"/>
        </w:rPr>
        <w:t>użytkowników</w:t>
      </w:r>
      <w:r w:rsidRPr="0038548E">
        <w:rPr>
          <w:rFonts w:ascii="Intrum Sans" w:hAnsi="Intrum Sans"/>
          <w:sz w:val="20"/>
          <w:szCs w:val="20"/>
        </w:rPr>
        <w:t>.</w:t>
      </w:r>
    </w:p>
    <w:p w14:paraId="75595F0A" w14:textId="77777777" w:rsidR="00FC3E76" w:rsidRDefault="00FC3E76" w:rsidP="0038548E">
      <w:pPr>
        <w:spacing w:after="200" w:line="276" w:lineRule="auto"/>
        <w:rPr>
          <w:rFonts w:ascii="Intrum Sans" w:hAnsi="Intrum Sans"/>
          <w:sz w:val="20"/>
          <w:szCs w:val="20"/>
        </w:rPr>
      </w:pPr>
    </w:p>
    <w:p w14:paraId="4EE510C9" w14:textId="77777777" w:rsidR="00FC3E76" w:rsidRPr="00FC3E76" w:rsidRDefault="00FC3E76" w:rsidP="00FC3E76">
      <w:pPr>
        <w:spacing w:after="200" w:line="276" w:lineRule="auto"/>
        <w:rPr>
          <w:rFonts w:ascii="Intrum Sans" w:hAnsi="Intrum Sans"/>
          <w:b/>
          <w:bCs/>
          <w:sz w:val="20"/>
          <w:szCs w:val="20"/>
        </w:rPr>
      </w:pPr>
      <w:r w:rsidRPr="00FC3E76">
        <w:rPr>
          <w:rFonts w:ascii="Intrum Sans" w:hAnsi="Intrum Sans"/>
          <w:b/>
          <w:bCs/>
          <w:sz w:val="20"/>
          <w:szCs w:val="20"/>
        </w:rPr>
        <w:t xml:space="preserve">Więcej informacji: </w:t>
      </w:r>
    </w:p>
    <w:p w14:paraId="386AA3ED" w14:textId="77777777" w:rsidR="00FC3E76" w:rsidRPr="00FC3E76" w:rsidRDefault="00FC3E76" w:rsidP="00FC3E76">
      <w:pPr>
        <w:spacing w:after="200" w:line="276" w:lineRule="auto"/>
        <w:rPr>
          <w:rFonts w:ascii="Intrum Sans" w:hAnsi="Intrum Sans"/>
          <w:sz w:val="20"/>
          <w:szCs w:val="20"/>
        </w:rPr>
      </w:pPr>
      <w:r w:rsidRPr="00FC3E76">
        <w:rPr>
          <w:rFonts w:ascii="Intrum Sans" w:hAnsi="Intrum Sans"/>
          <w:b/>
          <w:bCs/>
          <w:sz w:val="20"/>
          <w:szCs w:val="20"/>
        </w:rPr>
        <w:t>Katarzyna Bil </w:t>
      </w:r>
      <w:r w:rsidRPr="00FC3E76">
        <w:rPr>
          <w:rFonts w:ascii="Intrum Sans" w:hAnsi="Intrum Sans"/>
          <w:b/>
          <w:bCs/>
          <w:sz w:val="20"/>
          <w:szCs w:val="20"/>
        </w:rPr>
        <w:br/>
      </w:r>
      <w:r w:rsidRPr="00FC3E76">
        <w:rPr>
          <w:rFonts w:ascii="Intrum Sans" w:hAnsi="Intrum Sans"/>
          <w:sz w:val="20"/>
          <w:szCs w:val="20"/>
        </w:rPr>
        <w:t>k.bil@lightscape.pl</w:t>
      </w:r>
      <w:r w:rsidRPr="00FC3E76">
        <w:rPr>
          <w:rFonts w:ascii="Intrum Sans" w:hAnsi="Intrum Sans"/>
          <w:b/>
          <w:bCs/>
          <w:sz w:val="20"/>
          <w:szCs w:val="20"/>
        </w:rPr>
        <w:br/>
      </w:r>
      <w:r w:rsidRPr="00FC3E76">
        <w:rPr>
          <w:rFonts w:ascii="Intrum Sans" w:hAnsi="Intrum Sans"/>
          <w:sz w:val="20"/>
          <w:szCs w:val="20"/>
        </w:rPr>
        <w:t>tel. 731 439</w:t>
      </w:r>
      <w:r w:rsidRPr="00FC3E76">
        <w:rPr>
          <w:rFonts w:ascii="Cambria Math" w:hAnsi="Cambria Math" w:cs="Cambria Math"/>
          <w:sz w:val="20"/>
          <w:szCs w:val="20"/>
        </w:rPr>
        <w:t> </w:t>
      </w:r>
      <w:r w:rsidRPr="00FC3E76">
        <w:rPr>
          <w:rFonts w:ascii="Intrum Sans" w:hAnsi="Intrum Sans"/>
          <w:sz w:val="20"/>
          <w:szCs w:val="20"/>
        </w:rPr>
        <w:t>999 </w:t>
      </w:r>
    </w:p>
    <w:p w14:paraId="44C1DDD7" w14:textId="77777777" w:rsidR="00FC3E76" w:rsidRPr="00FC3E76" w:rsidRDefault="00FC3E76" w:rsidP="00FC3E76">
      <w:pPr>
        <w:spacing w:after="200" w:line="276" w:lineRule="auto"/>
        <w:rPr>
          <w:rFonts w:ascii="Intrum Sans" w:hAnsi="Intrum Sans"/>
          <w:sz w:val="20"/>
          <w:szCs w:val="20"/>
          <w:lang w:val="fr-FR"/>
        </w:rPr>
      </w:pPr>
      <w:r w:rsidRPr="00FC3E76">
        <w:rPr>
          <w:rFonts w:ascii="Intrum Sans" w:hAnsi="Intrum Sans"/>
          <w:b/>
          <w:bCs/>
          <w:sz w:val="20"/>
          <w:szCs w:val="20"/>
          <w:lang w:val="fr-FR"/>
        </w:rPr>
        <w:t>Aleksandra Morka </w:t>
      </w:r>
      <w:r w:rsidRPr="00FC3E76">
        <w:rPr>
          <w:rFonts w:ascii="Intrum Sans" w:hAnsi="Intrum Sans"/>
          <w:sz w:val="20"/>
          <w:szCs w:val="20"/>
          <w:lang w:val="fr-FR"/>
        </w:rPr>
        <w:br/>
        <w:t>a.morka@lightscape.pl </w:t>
      </w:r>
      <w:r w:rsidRPr="00FC3E76">
        <w:rPr>
          <w:rFonts w:ascii="Intrum Sans" w:hAnsi="Intrum Sans"/>
          <w:sz w:val="20"/>
          <w:szCs w:val="20"/>
          <w:lang w:val="fr-FR"/>
        </w:rPr>
        <w:br/>
        <w:t>tel. 531 444 469</w:t>
      </w:r>
    </w:p>
    <w:p w14:paraId="1668942E" w14:textId="77777777" w:rsidR="00FC3E76" w:rsidRPr="0038548E" w:rsidRDefault="00FC3E76" w:rsidP="0038548E">
      <w:pPr>
        <w:spacing w:after="200" w:line="276" w:lineRule="auto"/>
        <w:rPr>
          <w:rFonts w:ascii="Intrum Sans" w:hAnsi="Intrum Sans"/>
          <w:sz w:val="20"/>
          <w:szCs w:val="20"/>
        </w:rPr>
      </w:pPr>
    </w:p>
    <w:p w14:paraId="783E71F0" w14:textId="77777777" w:rsidR="0038548E" w:rsidRPr="00FC3E76" w:rsidRDefault="0038548E" w:rsidP="009554A0">
      <w:pPr>
        <w:spacing w:after="200" w:line="276" w:lineRule="auto"/>
        <w:rPr>
          <w:rFonts w:ascii="Intrum Sans" w:hAnsi="Intrum Sans"/>
          <w:sz w:val="20"/>
          <w:szCs w:val="20"/>
        </w:rPr>
      </w:pPr>
    </w:p>
    <w:sectPr w:rsidR="0038548E" w:rsidRPr="00FC3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C966" w14:textId="77777777" w:rsidR="00FE1330" w:rsidRDefault="00FE1330">
      <w:r>
        <w:separator/>
      </w:r>
    </w:p>
  </w:endnote>
  <w:endnote w:type="continuationSeparator" w:id="0">
    <w:p w14:paraId="18C966E2" w14:textId="77777777" w:rsidR="00FE1330" w:rsidRDefault="00F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rum Sans"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78AF" w14:textId="77777777" w:rsidR="009042BB" w:rsidRDefault="009042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1488" w14:textId="77777777" w:rsidR="009042BB" w:rsidRDefault="00904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6EF8" w14:textId="77777777" w:rsidR="009042BB" w:rsidRDefault="00904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C6FD" w14:textId="77777777" w:rsidR="00FE1330" w:rsidRDefault="00FE1330">
      <w:r>
        <w:separator/>
      </w:r>
    </w:p>
  </w:footnote>
  <w:footnote w:type="continuationSeparator" w:id="0">
    <w:p w14:paraId="13C6AB69" w14:textId="77777777" w:rsidR="00FE1330" w:rsidRDefault="00FE1330">
      <w:r>
        <w:continuationSeparator/>
      </w:r>
    </w:p>
  </w:footnote>
  <w:footnote w:id="1">
    <w:p w14:paraId="1919AC8E" w14:textId="77169FD2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ZBP, Raport NetB@nk, IV kw. 2025</w:t>
      </w:r>
    </w:p>
  </w:footnote>
  <w:footnote w:id="2">
    <w:p w14:paraId="08FD8527" w14:textId="39FE4169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Autopay, „Finanse Polek i Polaków 2025”</w:t>
      </w:r>
    </w:p>
  </w:footnote>
  <w:footnote w:id="3">
    <w:p w14:paraId="26639BE2" w14:textId="53CDA932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Tamże</w:t>
      </w:r>
    </w:p>
  </w:footnote>
  <w:footnote w:id="4">
    <w:p w14:paraId="565FF508" w14:textId="13E0C4E0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Strategy&amp; PwC, „Płatności cyfrowe i fintechy – trendy kształtujące sektor finansowy”, 2026</w:t>
      </w:r>
    </w:p>
  </w:footnote>
  <w:footnote w:id="5">
    <w:p w14:paraId="3A4827A2" w14:textId="30ED7375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Autopay, „Finanse Polek i Polaków 2025”</w:t>
      </w:r>
    </w:p>
  </w:footnote>
  <w:footnote w:id="6">
    <w:p w14:paraId="7D254D69" w14:textId="604DBAD3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Tamże</w:t>
      </w:r>
    </w:p>
  </w:footnote>
  <w:footnote w:id="7">
    <w:p w14:paraId="1B17B400" w14:textId="21051416" w:rsidR="00C13F24" w:rsidRPr="00FC3E76" w:rsidRDefault="00264E0B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BLIK/PSP, dane dot. systemu ePłatności w mObywatelu, marzec 2026</w:t>
      </w:r>
    </w:p>
  </w:footnote>
  <w:footnote w:id="8">
    <w:p w14:paraId="77612B67" w14:textId="569E297F" w:rsidR="00C13F24" w:rsidRDefault="00264E0B"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Tamże</w:t>
      </w:r>
    </w:p>
  </w:footnote>
  <w:footnote w:id="9">
    <w:p w14:paraId="284B8C47" w14:textId="77777777" w:rsidR="00167D40" w:rsidRPr="00FC3E76" w:rsidRDefault="00167D40" w:rsidP="00167D40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Pr="00FC3E76">
        <w:rPr>
          <w:rFonts w:ascii="Intrum Sans" w:hAnsi="Intrum Sans"/>
          <w:sz w:val="16"/>
          <w:szCs w:val="16"/>
        </w:rPr>
        <w:t xml:space="preserve"> Tamże</w:t>
      </w:r>
    </w:p>
  </w:footnote>
  <w:footnote w:id="10">
    <w:p w14:paraId="755158F4" w14:textId="77777777" w:rsidR="00167D40" w:rsidRPr="00FC3E76" w:rsidRDefault="00167D40" w:rsidP="00167D40">
      <w:pPr>
        <w:rPr>
          <w:rFonts w:ascii="Intrum Sans" w:hAnsi="Intrum Sans"/>
          <w:sz w:val="16"/>
          <w:szCs w:val="16"/>
        </w:rPr>
      </w:pPr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Pr="00FC3E76">
        <w:rPr>
          <w:rFonts w:ascii="Intrum Sans" w:hAnsi="Intrum Sans"/>
          <w:sz w:val="16"/>
          <w:szCs w:val="16"/>
        </w:rPr>
        <w:t xml:space="preserve"> Autopay, „Finanse Polek i Polaków 2025”</w:t>
      </w:r>
    </w:p>
  </w:footnote>
  <w:footnote w:id="11">
    <w:p w14:paraId="05531C40" w14:textId="1181CF23" w:rsidR="00C13F24" w:rsidRDefault="00264E0B">
      <w:r w:rsidRPr="00FC3E76">
        <w:rPr>
          <w:rStyle w:val="Odwoanieprzypisudolnego"/>
          <w:rFonts w:ascii="Intrum Sans" w:hAnsi="Intrum Sans"/>
          <w:sz w:val="16"/>
          <w:szCs w:val="16"/>
        </w:rPr>
        <w:footnoteRef/>
      </w:r>
      <w:r w:rsidR="009554A0" w:rsidRPr="00FC3E76">
        <w:rPr>
          <w:rFonts w:ascii="Intrum Sans" w:hAnsi="Intrum Sans"/>
          <w:sz w:val="16"/>
          <w:szCs w:val="16"/>
        </w:rPr>
        <w:t xml:space="preserve"> </w:t>
      </w:r>
      <w:r w:rsidRPr="00FC3E76">
        <w:rPr>
          <w:rFonts w:ascii="Intrum Sans" w:hAnsi="Intrum Sans"/>
          <w:sz w:val="16"/>
          <w:szCs w:val="16"/>
        </w:rPr>
        <w:t>CERT Polska, Raport roczny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F4F4" w14:textId="77777777" w:rsidR="009042BB" w:rsidRDefault="009042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B1AC" w14:textId="5FF0C3AA" w:rsidR="00FC3E76" w:rsidRDefault="00FC3E76">
    <w:pPr>
      <w:pStyle w:val="Nagwek"/>
    </w:pPr>
    <w:r>
      <w:rPr>
        <w:noProof/>
      </w:rPr>
      <w:drawing>
        <wp:inline distT="0" distB="0" distL="0" distR="0" wp14:anchorId="328F3CA8" wp14:editId="3C16C216">
          <wp:extent cx="804545" cy="182880"/>
          <wp:effectExtent l="0" t="0" r="0" b="7620"/>
          <wp:docPr id="133052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A4BA" w14:textId="77777777" w:rsidR="009042BB" w:rsidRDefault="00904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F7E83"/>
    <w:multiLevelType w:val="hybridMultilevel"/>
    <w:tmpl w:val="085C2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3E19"/>
    <w:multiLevelType w:val="hybridMultilevel"/>
    <w:tmpl w:val="22B60616"/>
    <w:lvl w:ilvl="0" w:tplc="D7E8823A">
      <w:start w:val="1"/>
      <w:numFmt w:val="bullet"/>
      <w:lvlText w:val="●"/>
      <w:lvlJc w:val="left"/>
      <w:pPr>
        <w:ind w:left="720" w:hanging="360"/>
      </w:pPr>
    </w:lvl>
    <w:lvl w:ilvl="1" w:tplc="93A48BAC">
      <w:start w:val="1"/>
      <w:numFmt w:val="bullet"/>
      <w:lvlText w:val="○"/>
      <w:lvlJc w:val="left"/>
      <w:pPr>
        <w:ind w:left="1440" w:hanging="360"/>
      </w:pPr>
    </w:lvl>
    <w:lvl w:ilvl="2" w:tplc="F126CF18">
      <w:start w:val="1"/>
      <w:numFmt w:val="bullet"/>
      <w:lvlText w:val="■"/>
      <w:lvlJc w:val="left"/>
      <w:pPr>
        <w:ind w:left="2160" w:hanging="360"/>
      </w:pPr>
    </w:lvl>
    <w:lvl w:ilvl="3" w:tplc="8C66B998">
      <w:start w:val="1"/>
      <w:numFmt w:val="bullet"/>
      <w:lvlText w:val="●"/>
      <w:lvlJc w:val="left"/>
      <w:pPr>
        <w:ind w:left="2880" w:hanging="360"/>
      </w:pPr>
    </w:lvl>
    <w:lvl w:ilvl="4" w:tplc="94C827CE">
      <w:start w:val="1"/>
      <w:numFmt w:val="bullet"/>
      <w:lvlText w:val="○"/>
      <w:lvlJc w:val="left"/>
      <w:pPr>
        <w:ind w:left="3600" w:hanging="360"/>
      </w:pPr>
    </w:lvl>
    <w:lvl w:ilvl="5" w:tplc="88DAB00A">
      <w:start w:val="1"/>
      <w:numFmt w:val="bullet"/>
      <w:lvlText w:val="■"/>
      <w:lvlJc w:val="left"/>
      <w:pPr>
        <w:ind w:left="4320" w:hanging="360"/>
      </w:pPr>
    </w:lvl>
    <w:lvl w:ilvl="6" w:tplc="1F80EF44">
      <w:start w:val="1"/>
      <w:numFmt w:val="bullet"/>
      <w:lvlText w:val="●"/>
      <w:lvlJc w:val="left"/>
      <w:pPr>
        <w:ind w:left="5040" w:hanging="360"/>
      </w:pPr>
    </w:lvl>
    <w:lvl w:ilvl="7" w:tplc="A442FDB4">
      <w:start w:val="1"/>
      <w:numFmt w:val="bullet"/>
      <w:lvlText w:val="●"/>
      <w:lvlJc w:val="left"/>
      <w:pPr>
        <w:ind w:left="5760" w:hanging="360"/>
      </w:pPr>
    </w:lvl>
    <w:lvl w:ilvl="8" w:tplc="AAFE5304">
      <w:start w:val="1"/>
      <w:numFmt w:val="bullet"/>
      <w:lvlText w:val="●"/>
      <w:lvlJc w:val="left"/>
      <w:pPr>
        <w:ind w:left="6480" w:hanging="360"/>
      </w:pPr>
    </w:lvl>
  </w:abstractNum>
  <w:num w:numId="1" w16cid:durableId="96877690">
    <w:abstractNumId w:val="1"/>
    <w:lvlOverride w:ilvl="0">
      <w:startOverride w:val="1"/>
    </w:lvlOverride>
  </w:num>
  <w:num w:numId="2" w16cid:durableId="92302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24"/>
    <w:rsid w:val="00031221"/>
    <w:rsid w:val="0004185C"/>
    <w:rsid w:val="00060F63"/>
    <w:rsid w:val="000A4DC2"/>
    <w:rsid w:val="00167D40"/>
    <w:rsid w:val="001F4EDC"/>
    <w:rsid w:val="002440E3"/>
    <w:rsid w:val="00264E0B"/>
    <w:rsid w:val="0038548E"/>
    <w:rsid w:val="003A0FE1"/>
    <w:rsid w:val="003E3014"/>
    <w:rsid w:val="004D26BE"/>
    <w:rsid w:val="00523F17"/>
    <w:rsid w:val="006669E6"/>
    <w:rsid w:val="00683198"/>
    <w:rsid w:val="00771CA1"/>
    <w:rsid w:val="008B0DD4"/>
    <w:rsid w:val="008D4EB7"/>
    <w:rsid w:val="009042BB"/>
    <w:rsid w:val="009554A0"/>
    <w:rsid w:val="00B23867"/>
    <w:rsid w:val="00BB7EB2"/>
    <w:rsid w:val="00BE61F7"/>
    <w:rsid w:val="00C13F24"/>
    <w:rsid w:val="00C203BF"/>
    <w:rsid w:val="00CB53B3"/>
    <w:rsid w:val="00D32114"/>
    <w:rsid w:val="00DC74FB"/>
    <w:rsid w:val="00DE7102"/>
    <w:rsid w:val="00E72B60"/>
    <w:rsid w:val="00EA2FC0"/>
    <w:rsid w:val="00EE6105"/>
    <w:rsid w:val="00F26F89"/>
    <w:rsid w:val="00F733C5"/>
    <w:rsid w:val="00FC3E76"/>
    <w:rsid w:val="00FE1330"/>
    <w:rsid w:val="06E15098"/>
    <w:rsid w:val="2B50478C"/>
    <w:rsid w:val="31AF740F"/>
    <w:rsid w:val="34EF102C"/>
    <w:rsid w:val="34F23AB7"/>
    <w:rsid w:val="4A5CF143"/>
    <w:rsid w:val="6B1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3582"/>
  <w15:docId w15:val="{136373A2-270D-4476-AAB2-3BA782F7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spacing w:before="280" w:after="160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Poprawka">
    <w:name w:val="Revision"/>
    <w:hidden/>
    <w:uiPriority w:val="99"/>
    <w:semiHidden/>
    <w:rsid w:val="00683198"/>
  </w:style>
  <w:style w:type="character" w:styleId="Odwoaniedokomentarza">
    <w:name w:val="annotation reference"/>
    <w:basedOn w:val="Domylnaczcionkaakapitu"/>
    <w:uiPriority w:val="99"/>
    <w:semiHidden/>
    <w:unhideWhenUsed/>
    <w:rsid w:val="00683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1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1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3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E76"/>
  </w:style>
  <w:style w:type="paragraph" w:styleId="Stopka">
    <w:name w:val="footer"/>
    <w:basedOn w:val="Normalny"/>
    <w:link w:val="StopkaZnak"/>
    <w:uiPriority w:val="99"/>
    <w:unhideWhenUsed/>
    <w:rsid w:val="00FC3E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853</Words>
  <Characters>5497</Characters>
  <Application>Microsoft Office Word</Application>
  <DocSecurity>0</DocSecurity>
  <Lines>85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Katarzyna Bil</cp:lastModifiedBy>
  <cp:revision>4</cp:revision>
  <dcterms:created xsi:type="dcterms:W3CDTF">2026-04-22T10:02:00Z</dcterms:created>
  <dcterms:modified xsi:type="dcterms:W3CDTF">2026-04-22T10:12:00Z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72ad9306-8943-4431-86c8-c2c49f20cb17</vt:lpwstr>
  </property>
</Properties>
</file>