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0B5E" w14:textId="46F7D2B1" w:rsidR="005E7B56" w:rsidRPr="00EF79F4" w:rsidRDefault="003D1FA0">
      <w:pPr>
        <w:spacing w:after="120" w:line="276" w:lineRule="auto"/>
        <w:jc w:val="right"/>
        <w:rPr>
          <w:rFonts w:ascii="Arial" w:hAnsi="Arial" w:cs="Arial"/>
        </w:rPr>
      </w:pPr>
      <w:r w:rsidRPr="00EF79F4">
        <w:rPr>
          <w:rFonts w:ascii="Arial" w:hAnsi="Arial" w:cs="Arial"/>
        </w:rPr>
        <w:t xml:space="preserve">Warszawa, </w:t>
      </w:r>
      <w:r w:rsidR="004E53FB">
        <w:rPr>
          <w:rFonts w:ascii="Arial" w:hAnsi="Arial" w:cs="Arial"/>
        </w:rPr>
        <w:t>2</w:t>
      </w:r>
      <w:r w:rsidR="00873779">
        <w:rPr>
          <w:rFonts w:ascii="Arial" w:hAnsi="Arial" w:cs="Arial"/>
        </w:rPr>
        <w:t>7</w:t>
      </w:r>
      <w:r w:rsidR="00762024" w:rsidRPr="00EF79F4">
        <w:rPr>
          <w:rFonts w:ascii="Arial" w:hAnsi="Arial" w:cs="Arial"/>
        </w:rPr>
        <w:t xml:space="preserve"> </w:t>
      </w:r>
      <w:r w:rsidR="00753BAE">
        <w:rPr>
          <w:rFonts w:ascii="Arial" w:hAnsi="Arial" w:cs="Arial"/>
        </w:rPr>
        <w:t xml:space="preserve">kwietnia </w:t>
      </w:r>
      <w:r w:rsidRPr="00EF79F4">
        <w:rPr>
          <w:rFonts w:ascii="Arial" w:hAnsi="Arial" w:cs="Arial"/>
        </w:rPr>
        <w:t>2026</w:t>
      </w:r>
    </w:p>
    <w:p w14:paraId="33E1D253" w14:textId="06B262E9" w:rsidR="003D369F" w:rsidRDefault="003D369F" w:rsidP="003D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Arial" w:eastAsia="Calibri" w:hAnsi="Arial" w:cs="Arial"/>
          <w:b/>
          <w:bCs/>
          <w:color w:val="auto"/>
          <w:kern w:val="2"/>
          <w:sz w:val="28"/>
          <w:szCs w:val="28"/>
          <w:bdr w:val="none" w:sz="0" w:space="0" w:color="auto"/>
          <w:lang w:eastAsia="en-US"/>
          <w14:ligatures w14:val="standardContextual"/>
        </w:rPr>
      </w:pPr>
      <w:r w:rsidRPr="003D369F">
        <w:rPr>
          <w:rFonts w:ascii="Arial" w:eastAsia="Calibri" w:hAnsi="Arial" w:cs="Arial"/>
          <w:b/>
          <w:bCs/>
          <w:color w:val="auto"/>
          <w:kern w:val="2"/>
          <w:sz w:val="28"/>
          <w:szCs w:val="28"/>
          <w:bdr w:val="none" w:sz="0" w:space="0" w:color="auto"/>
          <w:lang w:eastAsia="en-US"/>
          <w14:ligatures w14:val="standardContextual"/>
        </w:rPr>
        <w:t xml:space="preserve">Firmy liczą na stabilne ceny energii. </w:t>
      </w:r>
      <w:r w:rsidR="00E5586D">
        <w:rPr>
          <w:rFonts w:ascii="Arial" w:eastAsia="Calibri" w:hAnsi="Arial" w:cs="Arial"/>
          <w:b/>
          <w:bCs/>
          <w:color w:val="auto"/>
          <w:kern w:val="2"/>
          <w:sz w:val="28"/>
          <w:szCs w:val="28"/>
          <w:bdr w:val="none" w:sz="0" w:space="0" w:color="auto"/>
          <w:lang w:eastAsia="en-US"/>
          <w14:ligatures w14:val="standardContextual"/>
        </w:rPr>
        <w:t xml:space="preserve">Czy </w:t>
      </w:r>
      <w:proofErr w:type="spellStart"/>
      <w:r w:rsidRPr="003D369F">
        <w:rPr>
          <w:rFonts w:ascii="Arial" w:eastAsia="Calibri" w:hAnsi="Arial" w:cs="Arial"/>
          <w:b/>
          <w:bCs/>
          <w:color w:val="auto"/>
          <w:kern w:val="2"/>
          <w:sz w:val="28"/>
          <w:szCs w:val="28"/>
          <w:bdr w:val="none" w:sz="0" w:space="0" w:color="auto"/>
          <w:lang w:eastAsia="en-US"/>
          <w14:ligatures w14:val="standardContextual"/>
        </w:rPr>
        <w:t>cPPA</w:t>
      </w:r>
      <w:proofErr w:type="spellEnd"/>
      <w:r w:rsidRPr="003D369F">
        <w:rPr>
          <w:rFonts w:ascii="Arial" w:eastAsia="Calibri" w:hAnsi="Arial" w:cs="Arial"/>
          <w:b/>
          <w:bCs/>
          <w:color w:val="auto"/>
          <w:kern w:val="2"/>
          <w:sz w:val="28"/>
          <w:szCs w:val="28"/>
          <w:bdr w:val="none" w:sz="0" w:space="0" w:color="auto"/>
          <w:lang w:eastAsia="en-US"/>
          <w14:ligatures w14:val="standardContextual"/>
        </w:rPr>
        <w:t xml:space="preserve"> może </w:t>
      </w:r>
      <w:r w:rsidR="00E5586D">
        <w:rPr>
          <w:rFonts w:ascii="Arial" w:eastAsia="Calibri" w:hAnsi="Arial" w:cs="Arial"/>
          <w:b/>
          <w:bCs/>
          <w:color w:val="auto"/>
          <w:kern w:val="2"/>
          <w:sz w:val="28"/>
          <w:szCs w:val="28"/>
          <w:bdr w:val="none" w:sz="0" w:space="0" w:color="auto"/>
          <w:lang w:eastAsia="en-US"/>
          <w14:ligatures w14:val="standardContextual"/>
        </w:rPr>
        <w:t xml:space="preserve">pomóc? </w:t>
      </w:r>
    </w:p>
    <w:p w14:paraId="6FEF4346" w14:textId="7BBAD997" w:rsidR="00E5586D" w:rsidRDefault="00AD518F" w:rsidP="00E158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  <w:r w:rsidRPr="00AD518F"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Kontrakt </w:t>
      </w:r>
      <w:proofErr w:type="spellStart"/>
      <w:r w:rsidRPr="00AD518F"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cPPA</w:t>
      </w:r>
      <w:proofErr w:type="spellEnd"/>
      <w:r w:rsidRPr="00AD518F"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 może być skutecznym narzędziem stabilizacji kosztów energii i</w:t>
      </w:r>
      <w:r w:rsidR="00E433DB"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 </w:t>
      </w:r>
      <w:r w:rsidRPr="00AD518F"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realizacji celów ESG</w:t>
      </w:r>
      <w:r w:rsidR="00E5586D"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.</w:t>
      </w:r>
      <w:r w:rsidRPr="00AD518F"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 </w:t>
      </w:r>
      <w:r w:rsidR="00E5586D"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J</w:t>
      </w:r>
      <w:r w:rsidRPr="00AD518F"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ego </w:t>
      </w:r>
      <w:r w:rsidR="00E5586D"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 xml:space="preserve">efektywność zależy jednak od kilku czynników. Kluczowe znaczenie mają odpowiednio dobrane </w:t>
      </w:r>
      <w:r w:rsidR="00ED1FB8" w:rsidRPr="00ED1FB8">
        <w:rPr>
          <w:rFonts w:ascii="Arial" w:eastAsia="Calibri" w:hAnsi="Arial" w:cs="Arial"/>
          <w:b/>
          <w:bCs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  <w:t>mechanizmy rozliczeń, sposób bilansowania oraz dopasowanie kontraktu do profilu zużycia energii w firmie.</w:t>
      </w:r>
      <w:r w:rsidR="00E5586D" w:rsidRPr="00E5586D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E5586D">
        <w:rPr>
          <w:rFonts w:ascii="Arial" w:hAnsi="Arial" w:cs="Arial"/>
          <w:b/>
          <w:bCs/>
          <w:color w:val="auto"/>
          <w:sz w:val="24"/>
          <w:szCs w:val="24"/>
          <w:bdr w:val="none" w:sz="0" w:space="0" w:color="auto" w:frame="1"/>
        </w:rPr>
        <w:t>Dopiero to pozwala na skuteczne zarządzanie ryzykiem i osiągnięcie oczekiwanych korzyści.</w:t>
      </w:r>
    </w:p>
    <w:p w14:paraId="41D69199" w14:textId="15493A21" w:rsidR="00BE5C7F" w:rsidRPr="00BE5C7F" w:rsidRDefault="00BE5C7F" w:rsidP="00BE5C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BE5C7F"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Energia przestaje być tylko kosztem</w:t>
      </w:r>
    </w:p>
    <w:p w14:paraId="5CCFD901" w14:textId="77777777" w:rsidR="00181B43" w:rsidRDefault="00FE629C" w:rsidP="00A82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FE629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W warunkach dużej zmienności cen energii </w:t>
      </w:r>
      <w:r w:rsidR="006D21E4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elektrycznej </w:t>
      </w:r>
      <w:r w:rsidRPr="00FE629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przedsiębiorstwa coraz częściej przestają traktować </w:t>
      </w:r>
      <w:r w:rsidR="006D21E4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ją </w:t>
      </w:r>
      <w:r w:rsidRPr="00FE629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wyłącznie jako koszt operacyjny. Zakup </w:t>
      </w:r>
      <w:r w:rsidR="00C325CF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ten </w:t>
      </w:r>
      <w:r w:rsidRPr="00FE629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staje się elementem długoterminowej strategii finansowej i zarządzania ryzykiem. </w:t>
      </w:r>
      <w:r w:rsidR="00E5586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Kontrakt </w:t>
      </w:r>
      <w:proofErr w:type="spellStart"/>
      <w:r w:rsidRPr="00FE629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cPPA</w:t>
      </w:r>
      <w:proofErr w:type="spellEnd"/>
      <w:r w:rsidRPr="00FE629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pozwala częściowo uniezależnić się od bieżących wahań cen rynkowych, ale wymaga świadomego podejścia do </w:t>
      </w:r>
      <w:r w:rsidR="00E5586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jego </w:t>
      </w:r>
      <w:r w:rsidRPr="00FE629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struktury.</w:t>
      </w:r>
    </w:p>
    <w:p w14:paraId="489CD2FA" w14:textId="089F280B" w:rsidR="00A82B4C" w:rsidRDefault="00A82B4C" w:rsidP="00A82B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BE5C7F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– Kontrakt </w:t>
      </w:r>
      <w:proofErr w:type="spellStart"/>
      <w:r w:rsidRPr="00BE5C7F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cPPA</w:t>
      </w:r>
      <w:proofErr w:type="spellEnd"/>
      <w:r w:rsidRPr="00BE5C7F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to decyzja strategiczna, a nie tylko zakup energii po określonej cenie. Jego opłacalność zależy od tego, jak dobrze firma rozumie swój profil zużycia oraz mechanizmy rozliczeń i bilansowania – komentuje Joanna </w:t>
      </w:r>
      <w:proofErr w:type="spellStart"/>
      <w:r w:rsidRPr="00BE5C7F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Repko</w:t>
      </w:r>
      <w:proofErr w:type="spellEnd"/>
      <w:r w:rsidRPr="00BE5C7F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, koordynatorka projektów w Zespole Rozwoju i Zarządzania Produktem w E.ON Polska.</w:t>
      </w:r>
    </w:p>
    <w:p w14:paraId="0FFCB86A" w14:textId="77777777" w:rsidR="00181B43" w:rsidRDefault="00FE629C" w:rsidP="00B14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FE629C">
        <w:rPr>
          <w:rFonts w:ascii="Arial" w:eastAsia="Calibri" w:hAnsi="Arial" w:cs="Arial" w:hint="eastAsia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Ekonomiczna atrakcyjność </w:t>
      </w:r>
      <w:proofErr w:type="spellStart"/>
      <w:r w:rsidRPr="00FE629C">
        <w:rPr>
          <w:rFonts w:ascii="Arial" w:eastAsia="Calibri" w:hAnsi="Arial" w:cs="Arial" w:hint="eastAsia"/>
          <w:color w:val="auto"/>
          <w:kern w:val="2"/>
          <w:bdr w:val="none" w:sz="0" w:space="0" w:color="auto"/>
          <w:lang w:eastAsia="en-US"/>
          <w14:ligatures w14:val="standardContextual"/>
        </w:rPr>
        <w:t>cPPA</w:t>
      </w:r>
      <w:proofErr w:type="spellEnd"/>
      <w:r w:rsidRPr="00FE629C">
        <w:rPr>
          <w:rFonts w:ascii="Arial" w:eastAsia="Calibri" w:hAnsi="Arial" w:cs="Arial" w:hint="eastAsia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wynika z konkurencyjności kosztowej technologii OZE </w:t>
      </w:r>
      <w:r w:rsidRPr="00FE629C">
        <w:rPr>
          <w:rFonts w:ascii="Arial" w:eastAsia="Calibri" w:hAnsi="Arial" w:cs="Arial" w:hint="eastAsia"/>
          <w:color w:val="auto"/>
          <w:kern w:val="2"/>
          <w:bdr w:val="none" w:sz="0" w:space="0" w:color="auto"/>
          <w:lang w:eastAsia="en-US"/>
          <w14:ligatures w14:val="standardContextual"/>
        </w:rPr>
        <w:t>–</w:t>
      </w:r>
      <w:r w:rsidRPr="00FE629C">
        <w:rPr>
          <w:rFonts w:ascii="Arial" w:eastAsia="Calibri" w:hAnsi="Arial" w:cs="Arial" w:hint="eastAsia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przede wszystkim energetyki wiatrowej i </w:t>
      </w:r>
      <w:proofErr w:type="spellStart"/>
      <w:r w:rsidRPr="00FE629C">
        <w:rPr>
          <w:rFonts w:ascii="Arial" w:eastAsia="Calibri" w:hAnsi="Arial" w:cs="Arial" w:hint="eastAsia"/>
          <w:color w:val="auto"/>
          <w:kern w:val="2"/>
          <w:bdr w:val="none" w:sz="0" w:space="0" w:color="auto"/>
          <w:lang w:eastAsia="en-US"/>
          <w14:ligatures w14:val="standardContextual"/>
        </w:rPr>
        <w:t>fotowoltaiki</w:t>
      </w:r>
      <w:proofErr w:type="spellEnd"/>
      <w:r w:rsidRPr="00FE629C">
        <w:rPr>
          <w:rFonts w:ascii="Arial" w:eastAsia="Calibri" w:hAnsi="Arial" w:cs="Arial" w:hint="eastAsia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</w:t>
      </w:r>
      <w:r w:rsidRPr="00FE629C">
        <w:rPr>
          <w:rFonts w:ascii="Arial" w:eastAsia="Calibri" w:hAnsi="Arial" w:cs="Arial" w:hint="eastAsia"/>
          <w:color w:val="auto"/>
          <w:kern w:val="2"/>
          <w:bdr w:val="none" w:sz="0" w:space="0" w:color="auto"/>
          <w:lang w:eastAsia="en-US"/>
          <w14:ligatures w14:val="standardContextual"/>
        </w:rPr>
        <w:t>–</w:t>
      </w:r>
      <w:r w:rsidRPr="00FE629C">
        <w:rPr>
          <w:rFonts w:ascii="Arial" w:eastAsia="Calibri" w:hAnsi="Arial" w:cs="Arial" w:hint="eastAsia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których struktura kosztów jest w dużej mierze niezależna od cen paliw kopalnych i uprawnień do emisji CO</w:t>
      </w:r>
      <w:r w:rsidRPr="00FE629C">
        <w:rPr>
          <w:rFonts w:ascii="Arial" w:eastAsia="Calibri" w:hAnsi="Arial" w:cs="Arial" w:hint="eastAsia"/>
          <w:color w:val="auto"/>
          <w:kern w:val="2"/>
          <w:bdr w:val="none" w:sz="0" w:space="0" w:color="auto"/>
          <w:lang w:eastAsia="en-US"/>
          <w14:ligatures w14:val="standardContextual"/>
        </w:rPr>
        <w:t>₂</w:t>
      </w:r>
      <w:r w:rsidRPr="00FE629C">
        <w:rPr>
          <w:rFonts w:ascii="Arial" w:eastAsia="Calibri" w:hAnsi="Arial" w:cs="Arial" w:hint="eastAsia"/>
          <w:color w:val="auto"/>
          <w:kern w:val="2"/>
          <w:bdr w:val="none" w:sz="0" w:space="0" w:color="auto"/>
          <w:lang w:eastAsia="en-US"/>
          <w14:ligatures w14:val="standardContextual"/>
        </w:rPr>
        <w:t>. Jednak cen</w:t>
      </w:r>
      <w:r w:rsidRPr="00FE629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a zapisana w kontrakcie nie jest równoznaczna z finalnym kosztem energii ponoszonym przez odbiorcę.</w:t>
      </w:r>
    </w:p>
    <w:p w14:paraId="36F9BBC7" w14:textId="1E0A6621" w:rsidR="00B14CDC" w:rsidRPr="00B14CDC" w:rsidRDefault="00B14CDC" w:rsidP="00B14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B14CDC"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Bilansowanie – kluczowy, często pomijany element</w:t>
      </w:r>
    </w:p>
    <w:p w14:paraId="25A5A241" w14:textId="25ADF166" w:rsidR="00B14CDC" w:rsidRPr="00AC19ED" w:rsidRDefault="00B14CDC" w:rsidP="00B14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Żaden kontrakt </w:t>
      </w:r>
      <w:proofErr w:type="spellStart"/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cPPA</w:t>
      </w:r>
      <w:proofErr w:type="spellEnd"/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nie jest w stanie pokryć zapotrzebowania firmy na energię w każdej godzinie. Produkcja energii z OZE nie zawsze pokrywa się z profilem zużycia przedsiębiorstwa, co oznacza konieczność bilansowania różnic pomiędzy produkcją a</w:t>
      </w:r>
      <w:r w:rsidR="00A82B4C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 </w:t>
      </w:r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rzeczywistym poborem energii.</w:t>
      </w:r>
    </w:p>
    <w:p w14:paraId="1AAC9D18" w14:textId="77777777" w:rsidR="00181B43" w:rsidRDefault="00B14CDC" w:rsidP="00B14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W praktyce oznacza to, że brakując</w:t>
      </w:r>
      <w:r w:rsidR="00416262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ą</w:t>
      </w:r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energi</w:t>
      </w:r>
      <w:r w:rsidR="00416262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ę</w:t>
      </w:r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</w:t>
      </w:r>
      <w:r w:rsidR="00416262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trzeba dokupić </w:t>
      </w:r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na rynku, a nadwyżki – </w:t>
      </w:r>
      <w:r w:rsidR="00416262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sprzedać</w:t>
      </w:r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. Koszty tych operacji, podobnie jak sposób rozliczania nierównowag, mają istotny wpływ na końcowy rachunek za energię.</w:t>
      </w:r>
    </w:p>
    <w:p w14:paraId="21F39687" w14:textId="6D3B655D" w:rsidR="00B14CDC" w:rsidRPr="00B14CDC" w:rsidRDefault="00B14CDC" w:rsidP="00B14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B14CDC"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Cena kontraktowa to nie wszystko</w:t>
      </w:r>
    </w:p>
    <w:p w14:paraId="6D54CD66" w14:textId="77777777" w:rsidR="00416262" w:rsidRDefault="00B14CDC" w:rsidP="00B14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Finalny koszt energii w </w:t>
      </w:r>
      <w:proofErr w:type="spellStart"/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cPPA</w:t>
      </w:r>
      <w:proofErr w:type="spellEnd"/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to „koszyk” kilku elementów: ceny energii z OZE, kosztów bilansowania, dokupowania energii poza kontraktem, rozliczeń rynkowych oraz – w zależności od modelu – gwarancji pochodzenia. W kontraktach wirtualnych (</w:t>
      </w:r>
      <w:proofErr w:type="spellStart"/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financial</w:t>
      </w:r>
      <w:proofErr w:type="spellEnd"/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</w:t>
      </w:r>
      <w:proofErr w:type="spellStart"/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cPPA</w:t>
      </w:r>
      <w:proofErr w:type="spellEnd"/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) dodatkowym czynnikiem jest mechanizm kontraktu różnicowego, w którym to ceny rynkowe decydują o</w:t>
      </w:r>
      <w:r w:rsidR="00B638B5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 </w:t>
      </w:r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przepływach finansowych między stronami.</w:t>
      </w:r>
    </w:p>
    <w:p w14:paraId="61B21A13" w14:textId="77777777" w:rsidR="00181B43" w:rsidRDefault="00040AB0" w:rsidP="0008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– </w:t>
      </w:r>
      <w:proofErr w:type="spellStart"/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cPPA</w:t>
      </w:r>
      <w:proofErr w:type="spellEnd"/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nie eliminuje ryzyka całkowicie. Dobrze zaprojektowany kontrakt je ogranicza, </w:t>
      </w:r>
      <w:r w:rsidR="00416262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natomiast</w:t>
      </w:r>
      <w:r w:rsidR="00416262"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</w:t>
      </w:r>
      <w:r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źle przygotowany może przenieść znaczną część zmienności cenowej na odbiorcę – wskazuje Szymon Kowalski, wiceprezes RE-Source Poland Hub.</w:t>
      </w:r>
      <w:r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Dodaje również, że </w:t>
      </w:r>
      <w:r w:rsidR="00416262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właśnie dlatego </w:t>
      </w:r>
      <w:r w:rsidR="00B14CDC"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opłacalność </w:t>
      </w:r>
      <w:r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tego typu umów trzeba </w:t>
      </w:r>
      <w:r w:rsidR="00B14CDC" w:rsidRPr="00AC19ED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analizować w ujęciu strategicznym i wieloletnim, a nie wyłącznie przez pryzmat ceny za jedną megawatogodzinę.</w:t>
      </w:r>
    </w:p>
    <w:p w14:paraId="0E77DDF2" w14:textId="6B136261" w:rsidR="00084035" w:rsidRPr="00084035" w:rsidRDefault="00084035" w:rsidP="0008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084035">
        <w:rPr>
          <w:rFonts w:ascii="Arial" w:eastAsia="Calibri" w:hAnsi="Arial" w:cs="Arial"/>
          <w:b/>
          <w:bCs/>
          <w:color w:val="auto"/>
          <w:kern w:val="2"/>
          <w:bdr w:val="none" w:sz="0" w:space="0" w:color="auto"/>
          <w:lang w:eastAsia="en-US"/>
          <w14:ligatures w14:val="standardContextual"/>
        </w:rPr>
        <w:t>Jak uniknąć kosztownych błędów</w:t>
      </w:r>
    </w:p>
    <w:p w14:paraId="00812F39" w14:textId="4F47EB83" w:rsidR="00084035" w:rsidRPr="00084035" w:rsidRDefault="00416262" w:rsidP="0008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</w:pPr>
      <w:r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lastRenderedPageBreak/>
        <w:t xml:space="preserve">Kontrakty </w:t>
      </w:r>
      <w:proofErr w:type="spellStart"/>
      <w:r w:rsidR="00084035" w:rsidRPr="00084035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cPPA</w:t>
      </w:r>
      <w:proofErr w:type="spellEnd"/>
      <w:r w:rsidR="00084035" w:rsidRPr="00084035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najlepiej sprawdza</w:t>
      </w:r>
      <w:r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ją</w:t>
      </w:r>
      <w:r w:rsidR="00084035" w:rsidRPr="00084035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się w firmach, które dokładnie znają swój profil zużycia energii i</w:t>
      </w:r>
      <w:r w:rsidR="00040AB0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 </w:t>
      </w:r>
      <w:r w:rsidR="00084035" w:rsidRPr="00084035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świadomie podchodzą do ryzyka rynkowego. Kluczowe jest uwzględnienie nie tylko ceny energii, ale również sposobu jej rozliczania i bilansowania.</w:t>
      </w:r>
    </w:p>
    <w:p w14:paraId="244C0A61" w14:textId="77777777" w:rsidR="0046449B" w:rsidRDefault="00084035" w:rsidP="00E158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084035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Brak takiego podejścia może prowadzić do rozbieżności między oczekiwaniami a</w:t>
      </w:r>
      <w:r w:rsidR="00040AB0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 </w:t>
      </w:r>
      <w:r w:rsidRPr="00084035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rzeczywistym efektem finansowym. Firmy, które traktują </w:t>
      </w:r>
      <w:proofErr w:type="spellStart"/>
      <w:r w:rsidRPr="00084035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>cPPA</w:t>
      </w:r>
      <w:proofErr w:type="spellEnd"/>
      <w:r w:rsidRPr="00084035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jako gwarancję stałych kosztów energii, ryzykują, że kontrakt nie przyniesie oczekiwanej stabilizacji.</w:t>
      </w:r>
    </w:p>
    <w:p w14:paraId="77634D04" w14:textId="4102D256" w:rsidR="00990CEF" w:rsidRPr="00990CEF" w:rsidRDefault="00990CEF" w:rsidP="00E158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color w:val="auto"/>
          <w:kern w:val="2"/>
          <w:sz w:val="21"/>
          <w:szCs w:val="21"/>
          <w:bdr w:val="none" w:sz="0" w:space="0" w:color="auto"/>
          <w:lang w:eastAsia="en-US"/>
          <w14:ligatures w14:val="standardContextual"/>
        </w:rPr>
      </w:pPr>
      <w:r w:rsidRPr="00990CEF">
        <w:rPr>
          <w:rFonts w:ascii="Arial" w:eastAsia="Calibri" w:hAnsi="Arial" w:cs="Arial"/>
          <w:color w:val="auto"/>
          <w:kern w:val="2"/>
          <w:sz w:val="21"/>
          <w:szCs w:val="21"/>
          <w:bdr w:val="none" w:sz="0" w:space="0" w:color="auto"/>
          <w:lang w:eastAsia="en-US"/>
          <w14:ligatures w14:val="standardContextual"/>
        </w:rPr>
        <w:t>***</w:t>
      </w:r>
    </w:p>
    <w:p w14:paraId="378E865E" w14:textId="77777777" w:rsidR="00990CEF" w:rsidRPr="00990CEF" w:rsidRDefault="00990CEF" w:rsidP="00990C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b/>
          <w:bCs/>
          <w:color w:val="auto"/>
          <w:kern w:val="2"/>
          <w:sz w:val="21"/>
          <w:szCs w:val="21"/>
          <w:bdr w:val="none" w:sz="0" w:space="0" w:color="auto"/>
          <w:lang w:eastAsia="en-US"/>
          <w14:ligatures w14:val="standardContextual"/>
        </w:rPr>
      </w:pPr>
      <w:r w:rsidRPr="00990CEF">
        <w:rPr>
          <w:rFonts w:ascii="Arial" w:eastAsia="Calibri" w:hAnsi="Arial" w:cs="Arial"/>
          <w:b/>
          <w:bCs/>
          <w:color w:val="auto"/>
          <w:kern w:val="2"/>
          <w:sz w:val="21"/>
          <w:szCs w:val="21"/>
          <w:bdr w:val="none" w:sz="0" w:space="0" w:color="auto"/>
          <w:lang w:eastAsia="en-US"/>
          <w14:ligatures w14:val="standardContextual"/>
        </w:rPr>
        <w:t xml:space="preserve">Dodatkowe informacje dla mediów: </w:t>
      </w:r>
      <w:r w:rsidRPr="00990CEF">
        <w:rPr>
          <w:rFonts w:ascii="Arial" w:eastAsia="Calibri" w:hAnsi="Arial" w:cs="Arial"/>
          <w:b/>
          <w:bCs/>
          <w:color w:val="auto"/>
          <w:kern w:val="2"/>
          <w:sz w:val="21"/>
          <w:szCs w:val="21"/>
          <w:bdr w:val="none" w:sz="0" w:space="0" w:color="auto"/>
          <w:lang w:eastAsia="en-US"/>
          <w14:ligatures w14:val="standardContextual"/>
        </w:rPr>
        <w:tab/>
      </w:r>
    </w:p>
    <w:p w14:paraId="71C59DFC" w14:textId="77777777" w:rsidR="00990CEF" w:rsidRPr="00990CEF" w:rsidRDefault="00990CEF" w:rsidP="00990C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b/>
          <w:bCs/>
          <w:color w:val="auto"/>
          <w:kern w:val="2"/>
          <w:sz w:val="21"/>
          <w:szCs w:val="21"/>
          <w:bdr w:val="none" w:sz="0" w:space="0" w:color="auto"/>
          <w:lang w:eastAsia="en-US"/>
          <w14:ligatures w14:val="standardContextual"/>
        </w:rPr>
      </w:pPr>
      <w:r w:rsidRPr="00990CEF">
        <w:rPr>
          <w:rFonts w:ascii="Arial" w:eastAsia="Calibri" w:hAnsi="Arial" w:cs="Arial"/>
          <w:color w:val="auto"/>
          <w:kern w:val="2"/>
          <w:sz w:val="21"/>
          <w:szCs w:val="21"/>
          <w:bdr w:val="none" w:sz="0" w:space="0" w:color="auto"/>
          <w:lang w:eastAsia="en-US"/>
          <w14:ligatures w14:val="standardContextual"/>
        </w:rPr>
        <w:t xml:space="preserve">Biuro prasowe E.ON: </w:t>
      </w:r>
      <w:r w:rsidRPr="00990CEF">
        <w:rPr>
          <w:rFonts w:ascii="Arial" w:eastAsia="Calibri" w:hAnsi="Arial" w:cs="Arial"/>
          <w:b/>
          <w:bCs/>
          <w:color w:val="auto"/>
          <w:kern w:val="2"/>
          <w:sz w:val="21"/>
          <w:szCs w:val="21"/>
          <w:bdr w:val="none" w:sz="0" w:space="0" w:color="auto"/>
          <w:lang w:eastAsia="en-US"/>
          <w14:ligatures w14:val="standardContextual"/>
        </w:rPr>
        <w:t>+48 (22) 821 41 51</w:t>
      </w:r>
    </w:p>
    <w:p w14:paraId="340A85B1" w14:textId="77777777" w:rsidR="004E2F00" w:rsidRPr="00EE620F" w:rsidRDefault="00990CEF" w:rsidP="00836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lang w:val="en-GB"/>
        </w:rPr>
      </w:pPr>
      <w:r w:rsidRPr="00990CEF">
        <w:rPr>
          <w:rFonts w:ascii="Arial" w:eastAsia="Calibri" w:hAnsi="Arial" w:cs="Arial"/>
          <w:color w:val="auto"/>
          <w:kern w:val="2"/>
          <w:sz w:val="21"/>
          <w:szCs w:val="21"/>
          <w:bdr w:val="none" w:sz="0" w:space="0" w:color="auto"/>
          <w:lang w:val="en-GB" w:eastAsia="en-US"/>
          <w14:ligatures w14:val="standardContextual"/>
        </w:rPr>
        <w:t>Email:</w:t>
      </w:r>
      <w:r w:rsidRPr="00990CEF">
        <w:rPr>
          <w:rFonts w:ascii="Arial" w:eastAsia="Calibri" w:hAnsi="Arial" w:cs="Arial"/>
          <w:b/>
          <w:bCs/>
          <w:color w:val="auto"/>
          <w:kern w:val="2"/>
          <w:sz w:val="21"/>
          <w:szCs w:val="21"/>
          <w:bdr w:val="none" w:sz="0" w:space="0" w:color="auto"/>
          <w:lang w:val="en-GB" w:eastAsia="en-US"/>
          <w14:ligatures w14:val="standardContextual"/>
        </w:rPr>
        <w:t xml:space="preserve"> </w:t>
      </w:r>
      <w:hyperlink r:id="rId10" w:history="1">
        <w:r w:rsidRPr="00EE620F">
          <w:rPr>
            <w:rStyle w:val="Hyperlink0"/>
            <w:rFonts w:ascii="Arial" w:hAnsi="Arial" w:cs="Arial"/>
            <w:b w:val="0"/>
            <w:bCs w:val="0"/>
            <w:lang w:val="en-GB"/>
          </w:rPr>
          <w:t>biuro.prasowe@eon.pl</w:t>
        </w:r>
      </w:hyperlink>
    </w:p>
    <w:p w14:paraId="63211323" w14:textId="53EE9C17" w:rsidR="005E7B56" w:rsidRPr="00353EF5" w:rsidRDefault="00990CEF" w:rsidP="00836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353EF5">
        <w:rPr>
          <w:rFonts w:ascii="Arial" w:eastAsia="Calibri" w:hAnsi="Arial" w:cs="Arial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</w:t>
      </w:r>
    </w:p>
    <w:sectPr w:rsidR="005E7B56" w:rsidRPr="00353EF5">
      <w:headerReference w:type="default" r:id="rId11"/>
      <w:footerReference w:type="default" r:id="rId12"/>
      <w:pgSz w:w="11900" w:h="16840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B6C9" w14:textId="77777777" w:rsidR="009A35F4" w:rsidRPr="002B700A" w:rsidRDefault="009A35F4">
      <w:pPr>
        <w:spacing w:line="240" w:lineRule="auto"/>
      </w:pPr>
      <w:r w:rsidRPr="002B700A">
        <w:separator/>
      </w:r>
    </w:p>
  </w:endnote>
  <w:endnote w:type="continuationSeparator" w:id="0">
    <w:p w14:paraId="540AD1F0" w14:textId="77777777" w:rsidR="009A35F4" w:rsidRPr="002B700A" w:rsidRDefault="009A35F4">
      <w:pPr>
        <w:spacing w:line="240" w:lineRule="auto"/>
      </w:pPr>
      <w:r w:rsidRPr="002B70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D323" w14:textId="77777777" w:rsidR="005E7B56" w:rsidRPr="002B700A" w:rsidRDefault="005E7B56">
    <w:pPr>
      <w:pStyle w:val="Nagwek"/>
      <w:tabs>
        <w:tab w:val="clear" w:pos="9072"/>
        <w:tab w:val="right" w:pos="9046"/>
      </w:tabs>
      <w:spacing w:line="200" w:lineRule="exact"/>
      <w:rPr>
        <w:sz w:val="14"/>
        <w:szCs w:val="14"/>
        <w:lang w:val="pl-PL"/>
      </w:rPr>
    </w:pPr>
  </w:p>
  <w:p w14:paraId="7722BFC7" w14:textId="33CAB819" w:rsidR="005E7B56" w:rsidRPr="002B700A" w:rsidRDefault="003D1FA0">
    <w:pPr>
      <w:pStyle w:val="Nagwek"/>
      <w:tabs>
        <w:tab w:val="clear" w:pos="9072"/>
        <w:tab w:val="right" w:pos="9046"/>
      </w:tabs>
      <w:spacing w:line="200" w:lineRule="exact"/>
      <w:rPr>
        <w:lang w:val="pl-PL"/>
      </w:rPr>
    </w:pPr>
    <w:r w:rsidRPr="002B700A">
      <w:rPr>
        <w:sz w:val="16"/>
        <w:szCs w:val="16"/>
        <w:lang w:val="pl-PL"/>
      </w:rPr>
      <w:t xml:space="preserve">E.ON Polska S.A. </w:t>
    </w:r>
    <w:r w:rsidRPr="002B700A">
      <w:rPr>
        <w:rFonts w:ascii="Wingdings" w:hAnsi="Wingdings"/>
        <w:sz w:val="16"/>
        <w:szCs w:val="16"/>
        <w:lang w:val="pl-PL"/>
      </w:rPr>
      <w:t>·</w:t>
    </w:r>
    <w:r w:rsidRPr="002B700A">
      <w:rPr>
        <w:sz w:val="16"/>
        <w:szCs w:val="16"/>
        <w:lang w:val="pl-PL"/>
      </w:rPr>
      <w:t xml:space="preserve"> Siedziba: ul. Wybrzeże Kościuszkowskie 41 </w:t>
    </w:r>
    <w:r w:rsidRPr="002B700A">
      <w:rPr>
        <w:rFonts w:ascii="Wingdings" w:hAnsi="Wingdings"/>
        <w:sz w:val="16"/>
        <w:szCs w:val="16"/>
        <w:lang w:val="pl-PL"/>
      </w:rPr>
      <w:t>·</w:t>
    </w:r>
    <w:r w:rsidRPr="002B700A">
      <w:rPr>
        <w:sz w:val="16"/>
        <w:szCs w:val="16"/>
        <w:lang w:val="pl-PL"/>
      </w:rPr>
      <w:t xml:space="preserve"> 00-347 Warszawa </w:t>
    </w:r>
    <w:r w:rsidRPr="002B700A">
      <w:rPr>
        <w:rFonts w:ascii="Wingdings" w:hAnsi="Wingdings"/>
        <w:sz w:val="16"/>
        <w:szCs w:val="16"/>
        <w:lang w:val="pl-PL"/>
      </w:rPr>
      <w:t>·</w:t>
    </w:r>
    <w:r w:rsidRPr="002B700A">
      <w:rPr>
        <w:sz w:val="16"/>
        <w:szCs w:val="16"/>
        <w:lang w:val="pl-PL"/>
      </w:rPr>
      <w:t xml:space="preserve"> Prezes Zarządu: dr Andrzej Modzelewski</w:t>
    </w:r>
    <w:r w:rsidRPr="002B700A">
      <w:rPr>
        <w:sz w:val="16"/>
        <w:szCs w:val="16"/>
        <w:lang w:val="pl-PL"/>
      </w:rPr>
      <w:br/>
    </w:r>
    <w:r w:rsidRPr="002B700A">
      <w:rPr>
        <w:rFonts w:ascii="Wingdings" w:hAnsi="Wingdings"/>
        <w:sz w:val="16"/>
        <w:szCs w:val="16"/>
        <w:lang w:val="pl-PL"/>
      </w:rPr>
      <w:t>·</w:t>
    </w:r>
    <w:r w:rsidRPr="002B700A">
      <w:rPr>
        <w:sz w:val="16"/>
        <w:szCs w:val="16"/>
        <w:lang w:val="pl-PL"/>
      </w:rPr>
      <w:t xml:space="preserve"> Członkowie zarządu: Joanna Kępczyńska, </w:t>
    </w:r>
    <w:proofErr w:type="spellStart"/>
    <w:r w:rsidRPr="002B700A">
      <w:rPr>
        <w:sz w:val="16"/>
        <w:szCs w:val="16"/>
        <w:lang w:val="pl-PL"/>
      </w:rPr>
      <w:t>Jörn</w:t>
    </w:r>
    <w:proofErr w:type="spellEnd"/>
    <w:r w:rsidRPr="002B700A">
      <w:rPr>
        <w:sz w:val="16"/>
        <w:szCs w:val="16"/>
        <w:lang w:val="pl-PL"/>
      </w:rPr>
      <w:t xml:space="preserve">-Erik </w:t>
    </w:r>
    <w:proofErr w:type="spellStart"/>
    <w:r w:rsidRPr="002B700A">
      <w:rPr>
        <w:sz w:val="16"/>
        <w:szCs w:val="16"/>
        <w:lang w:val="pl-PL"/>
      </w:rPr>
      <w:t>Mantz</w:t>
    </w:r>
    <w:proofErr w:type="spellEnd"/>
    <w:r w:rsidRPr="002B700A">
      <w:rPr>
        <w:sz w:val="16"/>
        <w:szCs w:val="16"/>
        <w:lang w:val="pl-PL"/>
      </w:rPr>
      <w:t xml:space="preserve"> </w:t>
    </w:r>
    <w:r w:rsidRPr="002B700A">
      <w:rPr>
        <w:rFonts w:ascii="Wingdings" w:hAnsi="Wingdings"/>
        <w:sz w:val="16"/>
        <w:szCs w:val="16"/>
        <w:lang w:val="pl-PL"/>
      </w:rPr>
      <w:t>·</w:t>
    </w:r>
    <w:r w:rsidRPr="002B700A">
      <w:rPr>
        <w:sz w:val="16"/>
        <w:szCs w:val="16"/>
        <w:lang w:val="pl-PL"/>
      </w:rPr>
      <w:t xml:space="preserve"> Sąd Rejonowy dla m.st. Warszawy w Warszawie </w:t>
    </w:r>
    <w:r w:rsidRPr="002B700A">
      <w:rPr>
        <w:sz w:val="16"/>
        <w:szCs w:val="16"/>
        <w:lang w:val="pl-PL"/>
      </w:rPr>
      <w:br/>
      <w:t xml:space="preserve">XII Wydział Gospodarczy KRS Nr KRS: 0000011733 </w:t>
    </w:r>
    <w:r w:rsidRPr="002B700A">
      <w:rPr>
        <w:rFonts w:ascii="Wingdings" w:hAnsi="Wingdings"/>
        <w:sz w:val="16"/>
        <w:szCs w:val="16"/>
        <w:lang w:val="pl-PL"/>
      </w:rPr>
      <w:t>·</w:t>
    </w:r>
    <w:r w:rsidRPr="002B700A">
      <w:rPr>
        <w:sz w:val="16"/>
        <w:szCs w:val="16"/>
        <w:lang w:val="pl-PL"/>
      </w:rPr>
      <w:t xml:space="preserve"> Kapitał Zakładowy (opłacony w całości): 165 066 000 zł </w:t>
    </w:r>
    <w:r w:rsidRPr="002B700A">
      <w:rPr>
        <w:rFonts w:ascii="Wingdings" w:hAnsi="Wingdings"/>
        <w:sz w:val="16"/>
        <w:szCs w:val="16"/>
        <w:lang w:val="pl-PL"/>
      </w:rPr>
      <w:t>·</w:t>
    </w:r>
    <w:r w:rsidRPr="002B700A">
      <w:rPr>
        <w:sz w:val="16"/>
        <w:szCs w:val="16"/>
        <w:lang w:val="pl-PL"/>
      </w:rPr>
      <w:t xml:space="preserve"> NIP: 525-000-07-94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69C7" w14:textId="77777777" w:rsidR="009A35F4" w:rsidRPr="002B700A" w:rsidRDefault="009A35F4">
      <w:pPr>
        <w:spacing w:line="240" w:lineRule="auto"/>
      </w:pPr>
      <w:r w:rsidRPr="002B700A">
        <w:separator/>
      </w:r>
    </w:p>
  </w:footnote>
  <w:footnote w:type="continuationSeparator" w:id="0">
    <w:p w14:paraId="22A10CC5" w14:textId="77777777" w:rsidR="009A35F4" w:rsidRPr="002B700A" w:rsidRDefault="009A35F4">
      <w:pPr>
        <w:spacing w:line="240" w:lineRule="auto"/>
      </w:pPr>
      <w:r w:rsidRPr="002B70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66C6" w14:textId="77777777" w:rsidR="005E7B56" w:rsidRPr="002B700A" w:rsidRDefault="003D1FA0">
    <w:pPr>
      <w:pStyle w:val="Nagwek"/>
      <w:tabs>
        <w:tab w:val="clear" w:pos="9072"/>
        <w:tab w:val="right" w:pos="9046"/>
      </w:tabs>
      <w:rPr>
        <w:lang w:val="pl-PL"/>
      </w:rPr>
    </w:pPr>
    <w:r w:rsidRPr="002B700A">
      <w:rPr>
        <w:noProof/>
        <w:lang w:val="pl-PL"/>
      </w:rPr>
      <w:drawing>
        <wp:anchor distT="152400" distB="152400" distL="152400" distR="152400" simplePos="0" relativeHeight="251658240" behindDoc="1" locked="0" layoutInCell="1" allowOverlap="1" wp14:anchorId="6373B9DA" wp14:editId="69ADC3A0">
          <wp:simplePos x="0" y="0"/>
          <wp:positionH relativeFrom="page">
            <wp:posOffset>5389244</wp:posOffset>
          </wp:positionH>
          <wp:positionV relativeFrom="page">
            <wp:posOffset>266700</wp:posOffset>
          </wp:positionV>
          <wp:extent cx="1266674" cy="374650"/>
          <wp:effectExtent l="0" t="0" r="0" b="0"/>
          <wp:wrapNone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674" cy="374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56"/>
    <w:rsid w:val="000043EE"/>
    <w:rsid w:val="00040AB0"/>
    <w:rsid w:val="00051355"/>
    <w:rsid w:val="00057E00"/>
    <w:rsid w:val="00084035"/>
    <w:rsid w:val="000C1AC0"/>
    <w:rsid w:val="00124D47"/>
    <w:rsid w:val="0014556C"/>
    <w:rsid w:val="0014666D"/>
    <w:rsid w:val="00172B26"/>
    <w:rsid w:val="00181B43"/>
    <w:rsid w:val="00193DAB"/>
    <w:rsid w:val="001A4B7B"/>
    <w:rsid w:val="001B460B"/>
    <w:rsid w:val="001E74E3"/>
    <w:rsid w:val="00210EC7"/>
    <w:rsid w:val="002271C4"/>
    <w:rsid w:val="00234A89"/>
    <w:rsid w:val="002829D8"/>
    <w:rsid w:val="0029317F"/>
    <w:rsid w:val="00293C8E"/>
    <w:rsid w:val="002B700A"/>
    <w:rsid w:val="002F460C"/>
    <w:rsid w:val="00353EF5"/>
    <w:rsid w:val="00382697"/>
    <w:rsid w:val="003B5290"/>
    <w:rsid w:val="003D1FA0"/>
    <w:rsid w:val="003D369F"/>
    <w:rsid w:val="003E17AE"/>
    <w:rsid w:val="003E6C60"/>
    <w:rsid w:val="003F2316"/>
    <w:rsid w:val="00400D02"/>
    <w:rsid w:val="00403FBE"/>
    <w:rsid w:val="004119F1"/>
    <w:rsid w:val="00416262"/>
    <w:rsid w:val="00436B2C"/>
    <w:rsid w:val="0046449B"/>
    <w:rsid w:val="00465B2F"/>
    <w:rsid w:val="0047436C"/>
    <w:rsid w:val="00491021"/>
    <w:rsid w:val="004A28B6"/>
    <w:rsid w:val="004C0E87"/>
    <w:rsid w:val="004D7494"/>
    <w:rsid w:val="004E2F00"/>
    <w:rsid w:val="004E53FB"/>
    <w:rsid w:val="0051102C"/>
    <w:rsid w:val="00515189"/>
    <w:rsid w:val="00547107"/>
    <w:rsid w:val="00547560"/>
    <w:rsid w:val="00572AD5"/>
    <w:rsid w:val="00582997"/>
    <w:rsid w:val="00595AA9"/>
    <w:rsid w:val="005A30C8"/>
    <w:rsid w:val="005C29DA"/>
    <w:rsid w:val="005E0AD8"/>
    <w:rsid w:val="005E4DAC"/>
    <w:rsid w:val="005E7B56"/>
    <w:rsid w:val="00617746"/>
    <w:rsid w:val="00626F3A"/>
    <w:rsid w:val="00642890"/>
    <w:rsid w:val="00670369"/>
    <w:rsid w:val="00681A0D"/>
    <w:rsid w:val="006D21E4"/>
    <w:rsid w:val="006D3713"/>
    <w:rsid w:val="006D7A1A"/>
    <w:rsid w:val="007225B3"/>
    <w:rsid w:val="00742618"/>
    <w:rsid w:val="00753BAE"/>
    <w:rsid w:val="00755FBE"/>
    <w:rsid w:val="00762024"/>
    <w:rsid w:val="00774B95"/>
    <w:rsid w:val="00775437"/>
    <w:rsid w:val="007A57EF"/>
    <w:rsid w:val="007B7EBA"/>
    <w:rsid w:val="007E1B24"/>
    <w:rsid w:val="007F3D99"/>
    <w:rsid w:val="0081271D"/>
    <w:rsid w:val="008368A0"/>
    <w:rsid w:val="0086668B"/>
    <w:rsid w:val="00873779"/>
    <w:rsid w:val="00873A1B"/>
    <w:rsid w:val="00873EB2"/>
    <w:rsid w:val="00880405"/>
    <w:rsid w:val="008B57F7"/>
    <w:rsid w:val="008D1919"/>
    <w:rsid w:val="00976A5E"/>
    <w:rsid w:val="00990CEF"/>
    <w:rsid w:val="00996BED"/>
    <w:rsid w:val="009A35F4"/>
    <w:rsid w:val="009B0BA9"/>
    <w:rsid w:val="009C398A"/>
    <w:rsid w:val="009C79FE"/>
    <w:rsid w:val="009E5B89"/>
    <w:rsid w:val="009E6D7A"/>
    <w:rsid w:val="00A23491"/>
    <w:rsid w:val="00A34026"/>
    <w:rsid w:val="00A82B4C"/>
    <w:rsid w:val="00AC19ED"/>
    <w:rsid w:val="00AC30BC"/>
    <w:rsid w:val="00AD518F"/>
    <w:rsid w:val="00B14CDC"/>
    <w:rsid w:val="00B51505"/>
    <w:rsid w:val="00B60BEE"/>
    <w:rsid w:val="00B638B5"/>
    <w:rsid w:val="00B6656E"/>
    <w:rsid w:val="00B97FAE"/>
    <w:rsid w:val="00BA52A1"/>
    <w:rsid w:val="00BC5AD9"/>
    <w:rsid w:val="00BD2EE1"/>
    <w:rsid w:val="00BE373B"/>
    <w:rsid w:val="00BE580B"/>
    <w:rsid w:val="00BE5C7F"/>
    <w:rsid w:val="00C13AE5"/>
    <w:rsid w:val="00C22180"/>
    <w:rsid w:val="00C2250D"/>
    <w:rsid w:val="00C25262"/>
    <w:rsid w:val="00C325CF"/>
    <w:rsid w:val="00C42FE6"/>
    <w:rsid w:val="00C45971"/>
    <w:rsid w:val="00C636A5"/>
    <w:rsid w:val="00C72859"/>
    <w:rsid w:val="00CE3128"/>
    <w:rsid w:val="00CF0915"/>
    <w:rsid w:val="00D254B1"/>
    <w:rsid w:val="00D67A82"/>
    <w:rsid w:val="00D82C0E"/>
    <w:rsid w:val="00D87AA1"/>
    <w:rsid w:val="00DB1286"/>
    <w:rsid w:val="00DC09E7"/>
    <w:rsid w:val="00DE0088"/>
    <w:rsid w:val="00DE622F"/>
    <w:rsid w:val="00E15853"/>
    <w:rsid w:val="00E433DB"/>
    <w:rsid w:val="00E5586D"/>
    <w:rsid w:val="00E70912"/>
    <w:rsid w:val="00EB6EB0"/>
    <w:rsid w:val="00ED1FB8"/>
    <w:rsid w:val="00EE620F"/>
    <w:rsid w:val="00EE6D49"/>
    <w:rsid w:val="00EF79F4"/>
    <w:rsid w:val="00F02C17"/>
    <w:rsid w:val="00F1791A"/>
    <w:rsid w:val="00F464BA"/>
    <w:rsid w:val="00F74354"/>
    <w:rsid w:val="00F83578"/>
    <w:rsid w:val="00F87C62"/>
    <w:rsid w:val="00F93450"/>
    <w:rsid w:val="00FA0EC6"/>
    <w:rsid w:val="00FD334D"/>
    <w:rsid w:val="00FE629C"/>
    <w:rsid w:val="00FF3713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AC87"/>
  <w15:docId w15:val="{928843E5-14D8-4C9D-958C-2C3F1E97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CEF"/>
    <w:pPr>
      <w:spacing w:line="235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paragraph" w:styleId="Poprawka">
    <w:name w:val="Revision"/>
    <w:hidden/>
    <w:uiPriority w:val="99"/>
    <w:semiHidden/>
    <w:rsid w:val="00FA0E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9F4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193DA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DAB"/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basedOn w:val="Normalny"/>
    <w:uiPriority w:val="34"/>
    <w:qFormat/>
    <w:rsid w:val="00E7091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55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iuro.prasowe@eon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d4d3f-de7d-41d3-a24e-fad2a4ae4921">
      <Terms xmlns="http://schemas.microsoft.com/office/infopath/2007/PartnerControls"/>
    </lcf76f155ced4ddcb4097134ff3c332f>
    <TaxCatchAll xmlns="eb585914-d546-41d5-863f-24e9809e72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DB95D3A81CC4B9D0A6E3C8F3AB5D0" ma:contentTypeVersion="16" ma:contentTypeDescription="Create a new document." ma:contentTypeScope="" ma:versionID="7b1581d21cee2f7e1a95c48c651aa495">
  <xsd:schema xmlns:xsd="http://www.w3.org/2001/XMLSchema" xmlns:xs="http://www.w3.org/2001/XMLSchema" xmlns:p="http://schemas.microsoft.com/office/2006/metadata/properties" xmlns:ns2="af4d4d3f-de7d-41d3-a24e-fad2a4ae4921" xmlns:ns3="eb585914-d546-41d5-863f-24e9809e7239" targetNamespace="http://schemas.microsoft.com/office/2006/metadata/properties" ma:root="true" ma:fieldsID="0b559827be224501109a053e6f1a9857" ns2:_="" ns3:_="">
    <xsd:import namespace="af4d4d3f-de7d-41d3-a24e-fad2a4ae4921"/>
    <xsd:import namespace="eb585914-d546-41d5-863f-24e9809e7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4d3f-de7d-41d3-a24e-fad2a4ae4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5914-d546-41d5-863f-24e9809e72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5ab87-a3c6-4158-8867-36bbac7f67c9}" ma:internalName="TaxCatchAll" ma:showField="CatchAllData" ma:web="eb585914-d546-41d5-863f-24e9809e7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72CCB-0EFD-4502-9588-DB3488F2986B}">
  <ds:schemaRefs>
    <ds:schemaRef ds:uri="http://schemas.microsoft.com/office/2006/metadata/properties"/>
    <ds:schemaRef ds:uri="http://schemas.microsoft.com/office/infopath/2007/PartnerControls"/>
    <ds:schemaRef ds:uri="af4d4d3f-de7d-41d3-a24e-fad2a4ae4921"/>
    <ds:schemaRef ds:uri="eb585914-d546-41d5-863f-24e9809e7239"/>
  </ds:schemaRefs>
</ds:datastoreItem>
</file>

<file path=customXml/itemProps2.xml><?xml version="1.0" encoding="utf-8"?>
<ds:datastoreItem xmlns:ds="http://schemas.openxmlformats.org/officeDocument/2006/customXml" ds:itemID="{B508109C-22FD-4643-B81C-F48FEBC15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B779AE-5CE3-4CA5-96D1-DACAC56D05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AB3D6D-87EF-4D5D-8778-DCA2DBC14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d4d3f-de7d-41d3-a24e-fad2a4ae4921"/>
    <ds:schemaRef ds:uri="eb585914-d546-41d5-863f-24e9809e7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3064</Characters>
  <Application>Microsoft Office Word</Application>
  <DocSecurity>0</DocSecurity>
  <Lines>53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Blados, Paweł</dc:creator>
  <cp:lastModifiedBy>Roza Lorenc</cp:lastModifiedBy>
  <cp:revision>9</cp:revision>
  <dcterms:created xsi:type="dcterms:W3CDTF">2026-04-17T15:12:00Z</dcterms:created>
  <dcterms:modified xsi:type="dcterms:W3CDTF">2026-04-26T15:25:00Z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0x01010052EDB95D3A81CC4B9D0A6E3C8F3AB5D0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