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7063F4F2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BD2D0E">
            <w:rPr>
              <w:lang w:val="pl-PL"/>
            </w:rPr>
            <w:t>04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BD2D0E">
            <w:rPr>
              <w:lang w:val="pl-PL"/>
            </w:rPr>
            <w:t>5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C2127E" w14:textId="561A3702" w:rsidR="00960F6C" w:rsidRPr="00BD2D0E" w:rsidRDefault="00BD2D0E" w:rsidP="00BD2D0E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bCs/>
          <w:sz w:val="28"/>
          <w:szCs w:val="28"/>
          <w:lang w:val="pl-PL"/>
        </w:rPr>
      </w:pPr>
      <w:r w:rsidRPr="00BD2D0E">
        <w:rPr>
          <w:rFonts w:cs="Calibri"/>
          <w:b/>
          <w:bCs/>
          <w:sz w:val="28"/>
          <w:szCs w:val="28"/>
          <w:lang w:val="pl-PL"/>
        </w:rPr>
        <w:t>Wiosna wraca do Sport Stacji. Nowe atrakcje na zielonych terenach Portu Łódź</w:t>
      </w:r>
    </w:p>
    <w:p w14:paraId="3B830DEB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03025FAD" w14:textId="032413C9" w:rsidR="00BD2D0E" w:rsidRPr="007F59F3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BD2D0E">
        <w:rPr>
          <w:rFonts w:cs="Calibri"/>
          <w:b/>
          <w:bCs/>
          <w:sz w:val="24"/>
          <w:szCs w:val="24"/>
          <w:lang w:val="pl-PL"/>
        </w:rPr>
        <w:t xml:space="preserve">Cieplejsze dni oznaczają powrót plenerowych aktywności w Porcie Łódź. Sport Stacja znów </w:t>
      </w:r>
      <w:r w:rsidRPr="007F59F3">
        <w:rPr>
          <w:rFonts w:cs="Calibri"/>
          <w:b/>
          <w:bCs/>
          <w:sz w:val="24"/>
          <w:szCs w:val="24"/>
          <w:lang w:val="pl-PL"/>
        </w:rPr>
        <w:t xml:space="preserve">zaczyna </w:t>
      </w:r>
      <w:r w:rsidRPr="00BD2D0E">
        <w:rPr>
          <w:rFonts w:cs="Calibri"/>
          <w:b/>
          <w:bCs/>
          <w:sz w:val="24"/>
          <w:szCs w:val="24"/>
          <w:lang w:val="pl-PL"/>
        </w:rPr>
        <w:t>tętni</w:t>
      </w:r>
      <w:r w:rsidRPr="007F59F3">
        <w:rPr>
          <w:rFonts w:cs="Calibri"/>
          <w:b/>
          <w:bCs/>
          <w:sz w:val="24"/>
          <w:szCs w:val="24"/>
          <w:lang w:val="pl-PL"/>
        </w:rPr>
        <w:t>ć</w:t>
      </w:r>
      <w:r w:rsidRPr="00BD2D0E">
        <w:rPr>
          <w:rFonts w:cs="Calibri"/>
          <w:b/>
          <w:bCs/>
          <w:sz w:val="24"/>
          <w:szCs w:val="24"/>
          <w:lang w:val="pl-PL"/>
        </w:rPr>
        <w:t xml:space="preserve"> życiem</w:t>
      </w:r>
      <w:r w:rsidRPr="007F59F3">
        <w:rPr>
          <w:rFonts w:cs="Calibri"/>
          <w:b/>
          <w:bCs/>
          <w:sz w:val="24"/>
          <w:szCs w:val="24"/>
          <w:lang w:val="pl-PL"/>
        </w:rPr>
        <w:t>. W</w:t>
      </w:r>
      <w:r w:rsidRPr="00BD2D0E">
        <w:rPr>
          <w:rFonts w:cs="Calibri"/>
          <w:b/>
          <w:bCs/>
          <w:sz w:val="24"/>
          <w:szCs w:val="24"/>
          <w:lang w:val="pl-PL"/>
        </w:rPr>
        <w:t xml:space="preserve"> tym sezonie pojawi</w:t>
      </w:r>
      <w:r w:rsidR="007F59F3">
        <w:rPr>
          <w:rFonts w:cs="Calibri"/>
          <w:b/>
          <w:bCs/>
          <w:sz w:val="24"/>
          <w:szCs w:val="24"/>
          <w:lang w:val="pl-PL"/>
        </w:rPr>
        <w:t>ły</w:t>
      </w:r>
      <w:r w:rsidRPr="00BD2D0E">
        <w:rPr>
          <w:rFonts w:cs="Calibri"/>
          <w:b/>
          <w:bCs/>
          <w:sz w:val="24"/>
          <w:szCs w:val="24"/>
          <w:lang w:val="pl-PL"/>
        </w:rPr>
        <w:t xml:space="preserve"> się w niej nowe atrakcje dla dzieci – interaktywna Fabryka Wody</w:t>
      </w:r>
      <w:r w:rsidR="00FF4E7F">
        <w:rPr>
          <w:rFonts w:cs="Calibri"/>
          <w:b/>
          <w:bCs/>
          <w:sz w:val="24"/>
          <w:szCs w:val="24"/>
          <w:lang w:val="pl-PL"/>
        </w:rPr>
        <w:t xml:space="preserve"> i </w:t>
      </w:r>
      <w:r w:rsidRPr="00BD2D0E">
        <w:rPr>
          <w:rFonts w:cs="Calibri"/>
          <w:b/>
          <w:bCs/>
          <w:sz w:val="24"/>
          <w:szCs w:val="24"/>
          <w:lang w:val="pl-PL"/>
        </w:rPr>
        <w:t>rozbudowana strefa huśtawek.</w:t>
      </w:r>
    </w:p>
    <w:p w14:paraId="12395BF3" w14:textId="77777777" w:rsidR="00BD2D0E" w:rsidRP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0D1D1F35" w14:textId="77777777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BD2D0E">
        <w:rPr>
          <w:rFonts w:cs="Calibri"/>
          <w:sz w:val="22"/>
          <w:szCs w:val="22"/>
          <w:lang w:val="pl-PL"/>
        </w:rPr>
        <w:t xml:space="preserve">Wraz z nadejściem wiosny </w:t>
      </w:r>
      <w:r w:rsidRPr="00BD2D0E">
        <w:rPr>
          <w:rFonts w:cs="Calibri"/>
          <w:b/>
          <w:bCs/>
          <w:sz w:val="22"/>
          <w:szCs w:val="22"/>
          <w:lang w:val="pl-PL"/>
        </w:rPr>
        <w:t>Sport Stacja w Porcie Łódź ponownie staje się miejscem spotkań i aktywnego spędzania czasu na świeżym powietrzu</w:t>
      </w:r>
      <w:r w:rsidRPr="00BD2D0E">
        <w:rPr>
          <w:rFonts w:cs="Calibri"/>
          <w:sz w:val="22"/>
          <w:szCs w:val="22"/>
          <w:lang w:val="pl-PL"/>
        </w:rPr>
        <w:t>. Po zimowej przerwie przestrzeń wraca do pełnego użytkowania, oferując mieszkańcom Łodzi dobrze znane atrakcje oraz nowe elementy, które urozmaicają zabawę najmłodszych.</w:t>
      </w:r>
    </w:p>
    <w:p w14:paraId="72C5062A" w14:textId="77777777" w:rsidR="00BD2D0E" w:rsidRP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3142DFF1" w14:textId="77777777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BD2D0E">
        <w:rPr>
          <w:rFonts w:cs="Calibri"/>
          <w:sz w:val="22"/>
          <w:szCs w:val="22"/>
          <w:lang w:val="pl-PL"/>
        </w:rPr>
        <w:t xml:space="preserve">Nowością w tym sezonie jest </w:t>
      </w:r>
      <w:r w:rsidRPr="00BD2D0E">
        <w:rPr>
          <w:rFonts w:cs="Calibri"/>
          <w:b/>
          <w:bCs/>
          <w:sz w:val="22"/>
          <w:szCs w:val="22"/>
          <w:lang w:val="pl-PL"/>
        </w:rPr>
        <w:t>Fabryka Wody</w:t>
      </w:r>
      <w:r w:rsidRPr="00BD2D0E">
        <w:rPr>
          <w:rFonts w:cs="Calibri"/>
          <w:sz w:val="22"/>
          <w:szCs w:val="22"/>
          <w:lang w:val="pl-PL"/>
        </w:rPr>
        <w:t xml:space="preserve"> – interaktywny plac zabaw, który łączy ruch, eksperymentowanie i naukę poprzez zabawę. To przestrzeń, w której dzieci same wprawiają wodę w ruch i decydują, jak będzie się zachowywać.</w:t>
      </w:r>
    </w:p>
    <w:p w14:paraId="5900E572" w14:textId="77777777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10411827" w14:textId="77777777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BD2D0E">
        <w:rPr>
          <w:rFonts w:cs="Calibri"/>
          <w:b/>
          <w:bCs/>
          <w:sz w:val="22"/>
          <w:szCs w:val="22"/>
          <w:lang w:val="pl-PL"/>
        </w:rPr>
        <w:t>Zabawa, która uczy i angażuje</w:t>
      </w:r>
    </w:p>
    <w:p w14:paraId="41DF5D3E" w14:textId="77777777" w:rsidR="00BD2D0E" w:rsidRP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2C4840F3" w14:textId="77777777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BD2D0E">
        <w:rPr>
          <w:rFonts w:cs="Calibri"/>
          <w:sz w:val="22"/>
          <w:szCs w:val="22"/>
          <w:lang w:val="pl-PL"/>
        </w:rPr>
        <w:t>Fabryka Wody to zestaw urządzeń inspirowanych prostymi mechanizmami inżynieryjnymi. Na najmłodszych czekają m.in. pompa wodna, śruba Archimedesa, system rynien i zastawek, stoły wodne oraz młynek, który wprawiany jest w ruch przez płynącą wodę.</w:t>
      </w:r>
    </w:p>
    <w:p w14:paraId="3E7E3AD8" w14:textId="77777777" w:rsidR="00BD2D0E" w:rsidRP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6AF06744" w14:textId="29689405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BD2D0E">
        <w:rPr>
          <w:rFonts w:cs="Calibri"/>
          <w:sz w:val="22"/>
          <w:szCs w:val="22"/>
          <w:lang w:val="pl-PL"/>
        </w:rPr>
        <w:t xml:space="preserve">Dzieci mogą </w:t>
      </w:r>
      <w:r>
        <w:rPr>
          <w:rFonts w:cs="Calibri"/>
          <w:sz w:val="22"/>
          <w:szCs w:val="22"/>
          <w:lang w:val="pl-PL"/>
        </w:rPr>
        <w:t xml:space="preserve">ją </w:t>
      </w:r>
      <w:r w:rsidRPr="00BD2D0E">
        <w:rPr>
          <w:rFonts w:cs="Calibri"/>
          <w:sz w:val="22"/>
          <w:szCs w:val="22"/>
          <w:lang w:val="pl-PL"/>
        </w:rPr>
        <w:t>pompowa</w:t>
      </w:r>
      <w:r>
        <w:rPr>
          <w:rFonts w:cs="Calibri"/>
          <w:sz w:val="22"/>
          <w:szCs w:val="22"/>
          <w:lang w:val="pl-PL"/>
        </w:rPr>
        <w:t>ć</w:t>
      </w:r>
      <w:r w:rsidRPr="00BD2D0E">
        <w:rPr>
          <w:rFonts w:cs="Calibri"/>
          <w:sz w:val="22"/>
          <w:szCs w:val="22"/>
          <w:lang w:val="pl-PL"/>
        </w:rPr>
        <w:t>, transportować na wyższe poziomy, zatrzymywać i uwalniać nurt czy obserwować, jak zmienia się jej przepływ w zależności od ustawienia elementów. To zabawa, która angażuje, rozwija kreatywność i uczy zależności przyczynowo-skutkowych, a przy tym daje dużo radości – szczególnie w cieplejsze dni</w:t>
      </w:r>
      <w:r>
        <w:rPr>
          <w:rFonts w:cs="Calibri"/>
          <w:sz w:val="22"/>
          <w:szCs w:val="22"/>
          <w:lang w:val="pl-PL"/>
        </w:rPr>
        <w:t>.</w:t>
      </w:r>
    </w:p>
    <w:p w14:paraId="5E89D440" w14:textId="77777777" w:rsidR="007F59F3" w:rsidRPr="00BD2D0E" w:rsidRDefault="007F59F3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23B6965D" w14:textId="77777777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BD2D0E">
        <w:rPr>
          <w:rFonts w:cs="Calibri"/>
          <w:b/>
          <w:bCs/>
          <w:sz w:val="22"/>
          <w:szCs w:val="22"/>
          <w:lang w:val="pl-PL"/>
        </w:rPr>
        <w:t>Huśtawki dla każdego</w:t>
      </w:r>
    </w:p>
    <w:p w14:paraId="1874A479" w14:textId="77777777" w:rsidR="00BD2D0E" w:rsidRP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2EB32E99" w14:textId="7DD85770" w:rsid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BD2D0E">
        <w:rPr>
          <w:rFonts w:cs="Calibri"/>
          <w:sz w:val="22"/>
          <w:szCs w:val="22"/>
          <w:lang w:val="pl-PL"/>
        </w:rPr>
        <w:t xml:space="preserve">Nowością w przestrzeni Sport Stacji jest także </w:t>
      </w:r>
      <w:r w:rsidRPr="00BD2D0E">
        <w:rPr>
          <w:rFonts w:cs="Calibri"/>
          <w:b/>
          <w:bCs/>
          <w:sz w:val="22"/>
          <w:szCs w:val="22"/>
          <w:lang w:val="pl-PL"/>
        </w:rPr>
        <w:t>strefa huśtawek</w:t>
      </w:r>
      <w:r w:rsidRPr="00BD2D0E">
        <w:rPr>
          <w:rFonts w:cs="Calibri"/>
          <w:sz w:val="22"/>
          <w:szCs w:val="22"/>
          <w:lang w:val="pl-PL"/>
        </w:rPr>
        <w:t xml:space="preserve">, zaprojektowana z myślą o dzieciach w różnym wieku. Pojawiły się różne typy siedzisk – od bezpiecznych huśtawek dla najmłodszych po bardziej dynamiczne formy dla </w:t>
      </w:r>
      <w:r w:rsidRPr="00BD2D0E">
        <w:rPr>
          <w:rFonts w:cs="Calibri"/>
          <w:sz w:val="22"/>
          <w:szCs w:val="22"/>
          <w:lang w:val="pl-PL"/>
        </w:rPr>
        <w:lastRenderedPageBreak/>
        <w:t>starszych dzieci. To prosta, ale zawsze popularna atrakcja, która sprzyja zarówno zabawie, jak i wyciszeniu.</w:t>
      </w:r>
      <w:r w:rsidR="00FF4E7F">
        <w:rPr>
          <w:rFonts w:cs="Calibri"/>
          <w:sz w:val="22"/>
          <w:szCs w:val="22"/>
          <w:lang w:val="pl-PL"/>
        </w:rPr>
        <w:t xml:space="preserve"> </w:t>
      </w:r>
    </w:p>
    <w:p w14:paraId="5BCE6AE6" w14:textId="77777777" w:rsidR="00FF4E7F" w:rsidRDefault="00FF4E7F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509FB563" w14:textId="7710D529" w:rsidR="00FF4E7F" w:rsidRDefault="00FF4E7F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F4E7F">
        <w:rPr>
          <w:rFonts w:cs="Calibri"/>
          <w:sz w:val="22"/>
          <w:szCs w:val="22"/>
          <w:lang w:val="pl-PL"/>
        </w:rPr>
        <w:t>Wstęp na teren Sport Stacji i korzystanie z Fabryki Wody są bezpłatne i możliwe codziennie, także w niedziele niehandlowe.</w:t>
      </w:r>
    </w:p>
    <w:p w14:paraId="77B2A6AD" w14:textId="77777777" w:rsidR="007F59F3" w:rsidRDefault="007F59F3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69FAB221" w14:textId="77777777" w:rsidR="007F59F3" w:rsidRDefault="007F59F3" w:rsidP="007F59F3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BD2D0E">
        <w:rPr>
          <w:rFonts w:cs="Calibri"/>
          <w:b/>
          <w:bCs/>
          <w:sz w:val="22"/>
          <w:szCs w:val="22"/>
          <w:lang w:val="pl-PL"/>
        </w:rPr>
        <w:t>Aktywnie, rodzinnie i na świeżym powietrzu</w:t>
      </w:r>
    </w:p>
    <w:p w14:paraId="519089E8" w14:textId="77777777" w:rsidR="007F59F3" w:rsidRPr="00BD2D0E" w:rsidRDefault="007F59F3" w:rsidP="007F59F3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105F3BBA" w14:textId="065CE79D" w:rsidR="00BD2D0E" w:rsidRPr="00BD2D0E" w:rsidRDefault="007F59F3" w:rsidP="00FF4E7F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BD2D0E">
        <w:rPr>
          <w:rFonts w:cs="Calibri"/>
          <w:sz w:val="22"/>
          <w:szCs w:val="22"/>
          <w:lang w:val="pl-PL"/>
        </w:rPr>
        <w:t>Sport Stacja od kilku sezonów stanowi ważny element oferty Portu Łódź, łącząc rekreację z dostępnością i swobodą korzystania. To miejsce, które sprzyja spontanicznym aktywnościom – od jazdy na rowerze</w:t>
      </w:r>
      <w:r w:rsidR="00FF4E7F">
        <w:rPr>
          <w:rFonts w:cs="Calibri"/>
          <w:sz w:val="22"/>
          <w:szCs w:val="22"/>
          <w:lang w:val="pl-PL"/>
        </w:rPr>
        <w:t xml:space="preserve"> w miasteczku rowerowym</w:t>
      </w:r>
      <w:r w:rsidRPr="00BD2D0E">
        <w:rPr>
          <w:rFonts w:cs="Calibri"/>
          <w:sz w:val="22"/>
          <w:szCs w:val="22"/>
          <w:lang w:val="pl-PL"/>
        </w:rPr>
        <w:t>, przez mini golfa, po rodzinny relaks na świeżym powietrzu.</w:t>
      </w:r>
      <w:r>
        <w:rPr>
          <w:rFonts w:cs="Calibri"/>
          <w:sz w:val="22"/>
          <w:szCs w:val="22"/>
          <w:lang w:val="pl-PL"/>
        </w:rPr>
        <w:t xml:space="preserve"> </w:t>
      </w:r>
      <w:r w:rsidRPr="00BD2D0E">
        <w:rPr>
          <w:rFonts w:cs="Calibri"/>
          <w:sz w:val="22"/>
          <w:szCs w:val="22"/>
          <w:lang w:val="pl-PL"/>
        </w:rPr>
        <w:t xml:space="preserve">Nowe elementy uzupełniają tę przestrzeń, tworząc jeszcze bardziej różnorodną ofertę dla </w:t>
      </w:r>
      <w:r>
        <w:rPr>
          <w:rFonts w:cs="Calibri"/>
          <w:sz w:val="22"/>
          <w:szCs w:val="22"/>
          <w:lang w:val="pl-PL"/>
        </w:rPr>
        <w:t xml:space="preserve">całych </w:t>
      </w:r>
      <w:r w:rsidRPr="00BD2D0E">
        <w:rPr>
          <w:rFonts w:cs="Calibri"/>
          <w:sz w:val="22"/>
          <w:szCs w:val="22"/>
          <w:lang w:val="pl-PL"/>
        </w:rPr>
        <w:t>rodzin.</w:t>
      </w:r>
      <w:r>
        <w:rPr>
          <w:rFonts w:cs="Calibri"/>
          <w:sz w:val="22"/>
          <w:szCs w:val="22"/>
          <w:lang w:val="pl-PL"/>
        </w:rPr>
        <w:t xml:space="preserve"> </w:t>
      </w:r>
      <w:r w:rsidR="00BD2D0E" w:rsidRPr="00BD2D0E">
        <w:rPr>
          <w:rFonts w:cs="Calibri"/>
          <w:sz w:val="22"/>
          <w:szCs w:val="22"/>
          <w:lang w:val="pl-PL"/>
        </w:rPr>
        <w:t>Centrum zapowiada kolejne inicjatywy, które będą zachęcać do spędzania czasu na świeżym powietrzu i wspólnego korzystania z przestrzeni</w:t>
      </w:r>
      <w:r w:rsidR="00FF4E7F">
        <w:rPr>
          <w:rFonts w:cs="Calibri"/>
          <w:sz w:val="22"/>
          <w:szCs w:val="22"/>
          <w:lang w:val="pl-PL"/>
        </w:rPr>
        <w:t>, m.in. – w odpowiedzi na prośby swoich gości, szczególnie tych najmłodszych – Port Łódź planuje przenieść na tereny zielone plac zabaw, który znajdował się w atrium. Już niebawem z ulubionej przestrzeni do zabawy będzie można korzystać na świeżym powietrzu.</w:t>
      </w:r>
    </w:p>
    <w:p w14:paraId="4D5D41F7" w14:textId="77777777" w:rsidR="00BD2D0E" w:rsidRPr="00BD2D0E" w:rsidRDefault="00BD2D0E" w:rsidP="00BD2D0E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7FB3118F" w14:textId="77777777" w:rsidR="00F661B3" w:rsidRPr="009374A2" w:rsidRDefault="00F661B3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Ingka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Centres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 xml:space="preserve"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</w:t>
          </w:r>
          <w:r w:rsidRPr="00432AAC">
            <w:rPr>
              <w:sz w:val="16"/>
              <w:szCs w:val="16"/>
              <w:lang w:val="pl-PL"/>
            </w:rPr>
            <w:lastRenderedPageBreak/>
            <w:t>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55D8A" w14:textId="77777777" w:rsidR="00FC7F37" w:rsidRDefault="00FC7F37">
      <w:r>
        <w:separator/>
      </w:r>
    </w:p>
  </w:endnote>
  <w:endnote w:type="continuationSeparator" w:id="0">
    <w:p w14:paraId="18A508A2" w14:textId="77777777" w:rsidR="00FC7F37" w:rsidRDefault="00FC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07066" w14:textId="77777777" w:rsidR="00FC7F37" w:rsidRDefault="00FC7F37">
      <w:r>
        <w:separator/>
      </w:r>
    </w:p>
  </w:footnote>
  <w:footnote w:type="continuationSeparator" w:id="0">
    <w:p w14:paraId="159FD894" w14:textId="77777777" w:rsidR="00FC7F37" w:rsidRDefault="00FC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0B13"/>
    <w:rsid w:val="000826EC"/>
    <w:rsid w:val="00084BDB"/>
    <w:rsid w:val="0009142E"/>
    <w:rsid w:val="0009301F"/>
    <w:rsid w:val="00096687"/>
    <w:rsid w:val="000A3C4A"/>
    <w:rsid w:val="000B04FA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250BE"/>
    <w:rsid w:val="00125353"/>
    <w:rsid w:val="00126420"/>
    <w:rsid w:val="00126A5B"/>
    <w:rsid w:val="00142544"/>
    <w:rsid w:val="001428C6"/>
    <w:rsid w:val="0014579B"/>
    <w:rsid w:val="0014726B"/>
    <w:rsid w:val="00150C80"/>
    <w:rsid w:val="00155A18"/>
    <w:rsid w:val="001772EB"/>
    <w:rsid w:val="00180BB4"/>
    <w:rsid w:val="00182B30"/>
    <w:rsid w:val="0018313F"/>
    <w:rsid w:val="001A1512"/>
    <w:rsid w:val="001A16BD"/>
    <w:rsid w:val="001A5281"/>
    <w:rsid w:val="001B2C83"/>
    <w:rsid w:val="001C298C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87504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312F73"/>
    <w:rsid w:val="00322501"/>
    <w:rsid w:val="0033587B"/>
    <w:rsid w:val="00342BCC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41656"/>
    <w:rsid w:val="00441680"/>
    <w:rsid w:val="004452A3"/>
    <w:rsid w:val="00453DFA"/>
    <w:rsid w:val="00454527"/>
    <w:rsid w:val="00456BC4"/>
    <w:rsid w:val="0047022D"/>
    <w:rsid w:val="00481B4A"/>
    <w:rsid w:val="004829DC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3627A"/>
    <w:rsid w:val="00642407"/>
    <w:rsid w:val="00644A4A"/>
    <w:rsid w:val="0064549B"/>
    <w:rsid w:val="00650ECC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4DE4"/>
    <w:rsid w:val="00727455"/>
    <w:rsid w:val="00731525"/>
    <w:rsid w:val="0073621C"/>
    <w:rsid w:val="0074109B"/>
    <w:rsid w:val="00744D40"/>
    <w:rsid w:val="00750B33"/>
    <w:rsid w:val="007519AD"/>
    <w:rsid w:val="00752A9E"/>
    <w:rsid w:val="00760032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7F59F3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57461"/>
    <w:rsid w:val="00960F6C"/>
    <w:rsid w:val="00961932"/>
    <w:rsid w:val="00967362"/>
    <w:rsid w:val="009727BC"/>
    <w:rsid w:val="009831E8"/>
    <w:rsid w:val="009838DC"/>
    <w:rsid w:val="009C6D8D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48CA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47F9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2D0E"/>
    <w:rsid w:val="00BD501C"/>
    <w:rsid w:val="00BF14CC"/>
    <w:rsid w:val="00BF2AA5"/>
    <w:rsid w:val="00BF4D95"/>
    <w:rsid w:val="00BF64CC"/>
    <w:rsid w:val="00BF7730"/>
    <w:rsid w:val="00C10FA1"/>
    <w:rsid w:val="00C1355F"/>
    <w:rsid w:val="00C25B8D"/>
    <w:rsid w:val="00C34403"/>
    <w:rsid w:val="00C467DC"/>
    <w:rsid w:val="00C616FA"/>
    <w:rsid w:val="00C62CD6"/>
    <w:rsid w:val="00C722B1"/>
    <w:rsid w:val="00C814A9"/>
    <w:rsid w:val="00C8189C"/>
    <w:rsid w:val="00C8266B"/>
    <w:rsid w:val="00CA19DD"/>
    <w:rsid w:val="00CA7874"/>
    <w:rsid w:val="00CB239B"/>
    <w:rsid w:val="00CB378D"/>
    <w:rsid w:val="00CC5F84"/>
    <w:rsid w:val="00CD1E65"/>
    <w:rsid w:val="00CE2597"/>
    <w:rsid w:val="00CE6678"/>
    <w:rsid w:val="00CF22AD"/>
    <w:rsid w:val="00CF312E"/>
    <w:rsid w:val="00CF48E2"/>
    <w:rsid w:val="00CF6336"/>
    <w:rsid w:val="00D03843"/>
    <w:rsid w:val="00D05AEA"/>
    <w:rsid w:val="00D074E6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650A4"/>
    <w:rsid w:val="00E86EFE"/>
    <w:rsid w:val="00E911DF"/>
    <w:rsid w:val="00E97EAD"/>
    <w:rsid w:val="00EA2CEA"/>
    <w:rsid w:val="00EC530A"/>
    <w:rsid w:val="00ED3243"/>
    <w:rsid w:val="00ED71B7"/>
    <w:rsid w:val="00EF4BCC"/>
    <w:rsid w:val="00F017BF"/>
    <w:rsid w:val="00F122C1"/>
    <w:rsid w:val="00F132D5"/>
    <w:rsid w:val="00F14968"/>
    <w:rsid w:val="00F16AD3"/>
    <w:rsid w:val="00F24B19"/>
    <w:rsid w:val="00F319F4"/>
    <w:rsid w:val="00F341D5"/>
    <w:rsid w:val="00F3511F"/>
    <w:rsid w:val="00F4024E"/>
    <w:rsid w:val="00F42785"/>
    <w:rsid w:val="00F53344"/>
    <w:rsid w:val="00F57ED4"/>
    <w:rsid w:val="00F661B3"/>
    <w:rsid w:val="00F6684E"/>
    <w:rsid w:val="00F82D5B"/>
    <w:rsid w:val="00F84C4D"/>
    <w:rsid w:val="00F90656"/>
    <w:rsid w:val="00F91FE7"/>
    <w:rsid w:val="00F92F5D"/>
    <w:rsid w:val="00FA22C8"/>
    <w:rsid w:val="00FA3ECD"/>
    <w:rsid w:val="00FA6608"/>
    <w:rsid w:val="00FB18B3"/>
    <w:rsid w:val="00FC3D8E"/>
    <w:rsid w:val="00FC47CC"/>
    <w:rsid w:val="00FC7F37"/>
    <w:rsid w:val="00FD0872"/>
    <w:rsid w:val="00FD20CB"/>
    <w:rsid w:val="00FD2F1A"/>
    <w:rsid w:val="00FD6AB7"/>
    <w:rsid w:val="00FE22AB"/>
    <w:rsid w:val="00FE5A79"/>
    <w:rsid w:val="00FE6CE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customXml/itemProps3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3</cp:revision>
  <cp:lastPrinted>2021-07-01T11:43:00Z</cp:lastPrinted>
  <dcterms:created xsi:type="dcterms:W3CDTF">2026-04-30T13:52:00Z</dcterms:created>
  <dcterms:modified xsi:type="dcterms:W3CDTF">2026-04-30T14:12:00Z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