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576DDE3A" w:rsidR="00045F40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  <w:lang w:val="lv-LV"/>
        </w:rPr>
      </w:pPr>
      <w:r>
        <w:rPr>
          <w:rFonts w:asciiTheme="majorHAnsi" w:hAnsiTheme="majorHAnsi"/>
          <w:b/>
          <w:sz w:val="28"/>
          <w:szCs w:val="18"/>
          <w:lang w:val="lv-LV"/>
        </w:rPr>
        <w:t>INFORMACJA PRASOWA</w:t>
      </w:r>
    </w:p>
    <w:p w14:paraId="04A0027E" w14:textId="0E4344D6" w:rsidR="00045F40" w:rsidRDefault="000460C8">
      <w:pPr>
        <w:jc w:val="both"/>
        <w:rPr>
          <w:rFonts w:asciiTheme="majorHAnsi" w:hAnsiTheme="majorHAnsi"/>
          <w:sz w:val="18"/>
          <w:szCs w:val="18"/>
          <w:lang w:val="lv-LV"/>
        </w:rPr>
      </w:pPr>
      <w:r w:rsidRPr="000E64BF">
        <w:rPr>
          <w:rFonts w:asciiTheme="majorHAnsi" w:hAnsiTheme="majorHAnsi"/>
          <w:sz w:val="18"/>
          <w:szCs w:val="18"/>
          <w:lang w:val="lv-LV"/>
        </w:rPr>
        <w:t>Gdańsk,</w:t>
      </w:r>
      <w:r w:rsidR="00CD27B8">
        <w:rPr>
          <w:rFonts w:asciiTheme="majorHAnsi" w:hAnsiTheme="majorHAnsi"/>
          <w:sz w:val="18"/>
          <w:szCs w:val="18"/>
          <w:lang w:val="lv-LV"/>
        </w:rPr>
        <w:t xml:space="preserve"> </w:t>
      </w:r>
      <w:r w:rsidR="005E5614">
        <w:rPr>
          <w:rFonts w:asciiTheme="majorHAnsi" w:hAnsiTheme="majorHAnsi"/>
          <w:sz w:val="18"/>
          <w:szCs w:val="18"/>
          <w:lang w:val="lv-LV"/>
        </w:rPr>
        <w:t>5 maja</w:t>
      </w:r>
      <w:r w:rsidRPr="00F52596">
        <w:rPr>
          <w:rFonts w:asciiTheme="majorHAnsi" w:hAnsiTheme="majorHAnsi"/>
          <w:sz w:val="18"/>
          <w:szCs w:val="18"/>
          <w:lang w:val="lv-LV"/>
        </w:rPr>
        <w:t xml:space="preserve"> 202</w:t>
      </w:r>
      <w:r w:rsidR="006950D4">
        <w:rPr>
          <w:rFonts w:asciiTheme="majorHAnsi" w:hAnsiTheme="majorHAnsi"/>
          <w:sz w:val="18"/>
          <w:szCs w:val="18"/>
          <w:lang w:val="lv-LV"/>
        </w:rPr>
        <w:t>6</w:t>
      </w:r>
      <w:r w:rsidRPr="00F52596">
        <w:rPr>
          <w:rFonts w:asciiTheme="majorHAnsi" w:hAnsiTheme="majorHAnsi"/>
          <w:sz w:val="18"/>
          <w:szCs w:val="18"/>
          <w:lang w:val="lv-LV"/>
        </w:rPr>
        <w:t xml:space="preserve"> r</w:t>
      </w:r>
      <w:r w:rsidR="00BA49AA" w:rsidRPr="00F52596">
        <w:rPr>
          <w:rFonts w:asciiTheme="majorHAnsi" w:hAnsiTheme="majorHAnsi"/>
          <w:sz w:val="18"/>
          <w:szCs w:val="18"/>
          <w:lang w:val="lv-LV"/>
        </w:rPr>
        <w:t>.</w:t>
      </w:r>
    </w:p>
    <w:p w14:paraId="7E8F2083" w14:textId="77777777" w:rsidR="005F6846" w:rsidRDefault="005F6846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6FDAF58D" w14:textId="72A32BC7" w:rsidR="00655E88" w:rsidRDefault="00F71642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  <w:r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  <w:t>R</w:t>
      </w:r>
      <w:r w:rsidR="00804591" w:rsidRPr="00804591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yn</w:t>
      </w:r>
      <w:r w:rsidR="005F6846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ek</w:t>
      </w:r>
      <w:r w:rsidR="00804591" w:rsidRPr="00804591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wierzytelności</w:t>
      </w:r>
      <w:r w:rsidR="00A126A5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</w:t>
      </w:r>
      <w:r w:rsidR="005F6846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w Polsce. Średnia wartość zobowiązania </w:t>
      </w: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przekroczyła </w:t>
      </w:r>
      <w:r w:rsidR="005F6846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10 tys. zł.</w:t>
      </w:r>
    </w:p>
    <w:p w14:paraId="1F2C6EA3" w14:textId="77777777" w:rsidR="00A126A5" w:rsidRDefault="00A126A5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FAA7C8E" w14:textId="5A8D9B9D" w:rsidR="007B7788" w:rsidRDefault="00990D60" w:rsidP="5715EF78">
      <w:pPr>
        <w:spacing w:line="276" w:lineRule="auto"/>
        <w:jc w:val="both"/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</w:pPr>
      <w:r w:rsidRPr="5715EF78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>Na koniec 2025 r. firmy zarządzające wierzytelnościami obsługiwały w Polsce</w:t>
      </w:r>
      <w:r w:rsidR="002F72BF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 xml:space="preserve"> </w:t>
      </w:r>
      <w:r w:rsidRPr="5715EF78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>20 mln</w:t>
      </w:r>
      <w:r w:rsidR="00F71642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 xml:space="preserve"> </w:t>
      </w:r>
      <w:r w:rsidRPr="5715EF78">
        <w:rPr>
          <w:rFonts w:asciiTheme="majorHAnsi" w:hAnsiTheme="majorHAnsi" w:cs="Calibri"/>
          <w:b/>
          <w:bCs/>
          <w:color w:val="auto"/>
          <w:spacing w:val="-2"/>
          <w:sz w:val="21"/>
          <w:szCs w:val="21"/>
        </w:rPr>
        <w:t>zobowiązań o łącznej wartości 202,4 mld zł. Dane ZPF wskazują na dalszy wzrost rynku zarówno pod względem liczby obsługiwanych spraw, jak i ich wartości.</w:t>
      </w:r>
    </w:p>
    <w:p w14:paraId="5973E78F" w14:textId="77777777" w:rsidR="00990D60" w:rsidRDefault="00990D60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81CDC97" w14:textId="168AE33D" w:rsidR="00804591" w:rsidRDefault="00A126A5" w:rsidP="5715EF78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bookmarkStart w:id="0" w:name="_Hlk120263354"/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To wynik 5</w:t>
      </w:r>
      <w:r w:rsidR="00F85EB4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8</w:t>
      </w: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. edycji badania, które ZPF prowadzi wśród podmiotów zarządzających wierzytelnościami w Polsce. Jego efektem jest cykliczny raport „Wielkość polskiego rynku wierzytelności”. Wnioski z</w:t>
      </w:r>
      <w:r w:rsidR="00F71642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badania</w:t>
      </w: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można traktować jako aktualny obraz sytuacji w branży.</w:t>
      </w:r>
      <w:r w:rsidR="00F85EB4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</w:p>
    <w:p w14:paraId="09305D08" w14:textId="77777777" w:rsidR="00804591" w:rsidRPr="00804591" w:rsidRDefault="00804591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1C828DF" w14:textId="75401D38" w:rsidR="00AE0B06" w:rsidRPr="00F85EB4" w:rsidRDefault="00804591" w:rsidP="00AE0B06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F85EB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 jakim tempie rośnie rynek</w:t>
      </w:r>
      <w:r w:rsidR="001F1252" w:rsidRPr="00F85EB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wierzytelności</w:t>
      </w:r>
      <w:r w:rsidRPr="00F85EB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?</w:t>
      </w:r>
      <w:r w:rsidR="00AE0B06" w:rsidRPr="00F85EB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</w:p>
    <w:p w14:paraId="36478916" w14:textId="76D497A6" w:rsidR="00804591" w:rsidRPr="00F85EB4" w:rsidRDefault="00804591" w:rsidP="00804591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14C079E" w14:textId="6394CEF7" w:rsidR="00AE0B06" w:rsidRDefault="001F1252" w:rsidP="5715EF78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Z raportu ZPF wynika</w:t>
      </w:r>
      <w:r w:rsidR="00AE0B06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,</w:t>
      </w: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że</w:t>
      </w:r>
      <w:r w:rsidR="00AE0B06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na koniec 2025 r. firmy z sektora zarządzania wierzytelnościami obsługiwały </w:t>
      </w:r>
      <w:r w:rsidR="00181545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20</w:t>
      </w:r>
      <w:r w:rsidR="00AE0B06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mln</w:t>
      </w:r>
      <w:r w:rsidR="00394272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="00AE0B06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zobowiązań o łącznej wartości 202,</w:t>
      </w:r>
      <w:r w:rsidR="00181545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4</w:t>
      </w:r>
      <w:r w:rsidR="00AE0B06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mld zł. Oznacza to wzrost o 2,1 proc. w ujęciu kwartalnym i o 3,2 proc. rok do roku pod względem liczby obsługiwanych wierzytelności oraz odpowiednio o 4,5 proc. i 8,7 proc. w ujęciu wartościowym.</w:t>
      </w:r>
    </w:p>
    <w:p w14:paraId="20336F6E" w14:textId="77777777" w:rsidR="00161303" w:rsidRDefault="00161303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EAB6468" w14:textId="56A0E02C" w:rsidR="000D200F" w:rsidRDefault="00181545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Wielkość polskiego rynku wierzytelności w IV kw. 2025 r. prezentujemy na poniższej grafice</w:t>
      </w:r>
      <w:r w:rsidR="003D606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3F982778" w14:textId="77777777" w:rsidR="003D6060" w:rsidRDefault="003D6060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2762A5B" w14:textId="461BB6EA" w:rsidR="003D6060" w:rsidRDefault="003D6060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drawing>
          <wp:inline distT="0" distB="0" distL="0" distR="0" wp14:anchorId="304500E8" wp14:editId="03622987">
            <wp:extent cx="5676900" cy="2980373"/>
            <wp:effectExtent l="0" t="0" r="0" b="0"/>
            <wp:docPr id="11404528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52807" name="Obraz 114045280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468" cy="299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6F7F" w14:textId="44C06CA3" w:rsidR="001F1252" w:rsidRDefault="001F1252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3AC5B36" w14:textId="25147891" w:rsidR="000D200F" w:rsidRDefault="000D200F" w:rsidP="000D200F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803A4FC" w14:textId="77777777" w:rsidR="00804591" w:rsidRPr="00804591" w:rsidRDefault="00804591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63FF0E3" w14:textId="77777777" w:rsidR="0086418A" w:rsidRPr="0086418A" w:rsidRDefault="0086418A" w:rsidP="0086418A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8768183" w14:textId="77777777" w:rsidR="00F15560" w:rsidRDefault="00F15560" w:rsidP="0086418A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45EDAE3E" w14:textId="77777777" w:rsidR="00F15560" w:rsidRDefault="00F15560" w:rsidP="0086418A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CF38614" w14:textId="77777777" w:rsidR="00F15560" w:rsidRDefault="00F15560" w:rsidP="0086418A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5B2D179F" w14:textId="4A424F93" w:rsidR="0086418A" w:rsidRPr="0086418A" w:rsidRDefault="0086418A" w:rsidP="0086418A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86418A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lastRenderedPageBreak/>
        <w:t>Własne fundusze wierzytelności dominują w strukturze portfela</w:t>
      </w:r>
    </w:p>
    <w:p w14:paraId="6BF00287" w14:textId="77777777" w:rsidR="0086418A" w:rsidRPr="0086418A" w:rsidRDefault="0086418A" w:rsidP="0086418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0D86743" w14:textId="17196F56" w:rsidR="0086418A" w:rsidRDefault="0086418A" w:rsidP="5715EF78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Jak wynika z raportu ZPF, w portfelu wierzytelności przeważają pod względem ilościowym te zarządzane na rzecz własnych funduszy wierzytelności</w:t>
      </w:r>
      <w:r w:rsidR="00734B2B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="00734B2B" w:rsidRPr="00FB40B6">
        <w:rPr>
          <w:rFonts w:ascii="Cambria" w:hAnsi="Cambria" w:cs="Times New Roman"/>
          <w:sz w:val="21"/>
          <w:szCs w:val="21"/>
        </w:rPr>
        <w:t>–</w:t>
      </w:r>
      <w:r w:rsidR="00734B2B">
        <w:rPr>
          <w:rFonts w:ascii="Cambria" w:hAnsi="Cambria" w:cs="Times New Roman"/>
          <w:sz w:val="21"/>
          <w:szCs w:val="21"/>
        </w:rPr>
        <w:t xml:space="preserve"> </w:t>
      </w: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stanowią one 6</w:t>
      </w:r>
      <w:r w:rsidR="00181545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5,5</w:t>
      </w: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proc. wszystkich obsługiwanych spraw. Drugie miejsce zajmują wierzytelności obsługiwane w imieniu własnym, z udziałem na poziomie 16,7 proc., a trzecie</w:t>
      </w:r>
      <w:r w:rsidR="00C84C30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="00C84C30" w:rsidRPr="00FB40B6">
        <w:rPr>
          <w:rFonts w:ascii="Cambria" w:hAnsi="Cambria" w:cs="Times New Roman"/>
          <w:sz w:val="21"/>
          <w:szCs w:val="21"/>
        </w:rPr>
        <w:t>–</w:t>
      </w:r>
      <w:r w:rsidR="00181545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wierzytelności </w:t>
      </w:r>
      <w:r w:rsidR="00AD7BBA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obsługiwane </w:t>
      </w: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na rzecz pozostałych funduszy</w:t>
      </w:r>
      <w:r w:rsidR="00AD7BBA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(9,9 proc.).</w:t>
      </w:r>
    </w:p>
    <w:p w14:paraId="2E0C03A5" w14:textId="77777777" w:rsidR="0086418A" w:rsidRDefault="0086418A" w:rsidP="0086418A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BA9489C" w14:textId="6BEF5ABD" w:rsidR="00F721B9" w:rsidRPr="00417DE2" w:rsidRDefault="00F721B9" w:rsidP="00F721B9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417DE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Średni</w:t>
      </w:r>
      <w:r w:rsidR="00626D43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e zadłużenie w stabilnym trendzie wzrostowym</w:t>
      </w:r>
    </w:p>
    <w:p w14:paraId="6C92EA76" w14:textId="385353D3" w:rsidR="00804591" w:rsidRPr="00417DE2" w:rsidRDefault="00804591" w:rsidP="00804591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5B40175E" w14:textId="48BEDEC7" w:rsidR="000A5674" w:rsidRDefault="00F721B9" w:rsidP="5715EF78">
      <w:pPr>
        <w:spacing w:line="276" w:lineRule="auto"/>
        <w:jc w:val="both"/>
        <w:rPr>
          <w:rFonts w:asciiTheme="majorHAnsi" w:hAnsiTheme="majorHAnsi" w:cs="Calibri"/>
          <w:color w:val="auto"/>
          <w:spacing w:val="-2"/>
          <w:sz w:val="21"/>
          <w:szCs w:val="21"/>
        </w:rPr>
      </w:pP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Dane ZPF pozwalają też oszacować średnią kwotę pojedynczej wierzytelności w portfelach podmiotów z sektora zarządzania wierzytelnościami. Wynika z nich, że na koniec 2025 r. wyniosła ona 10,1</w:t>
      </w:r>
      <w:r w:rsidR="00CD266C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>2</w:t>
      </w:r>
      <w:r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tys. zł (+2,4 proc. k/k i +5,3 proc. r/r).</w:t>
      </w:r>
      <w:r w:rsidR="008841BA" w:rsidRPr="5715EF78">
        <w:rPr>
          <w:rFonts w:asciiTheme="majorHAnsi" w:hAnsiTheme="majorHAnsi" w:cs="Calibri"/>
          <w:color w:val="auto"/>
          <w:spacing w:val="-2"/>
          <w:sz w:val="21"/>
          <w:szCs w:val="21"/>
        </w:rPr>
        <w:t xml:space="preserve"> </w:t>
      </w:r>
    </w:p>
    <w:p w14:paraId="0B876462" w14:textId="77777777" w:rsidR="000A5674" w:rsidRDefault="000A5674" w:rsidP="00F721B9">
      <w:pPr>
        <w:spacing w:line="276" w:lineRule="auto"/>
        <w:jc w:val="both"/>
        <w:rPr>
          <w:rFonts w:ascii="Cambria" w:hAnsi="Cambria" w:cs="Times New Roman"/>
          <w:sz w:val="21"/>
          <w:szCs w:val="21"/>
        </w:rPr>
      </w:pPr>
    </w:p>
    <w:p w14:paraId="5BA537F0" w14:textId="3483C32B" w:rsidR="00F721B9" w:rsidRDefault="000A5674" w:rsidP="00F721B9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FB40B6">
        <w:rPr>
          <w:rFonts w:ascii="Cambria" w:hAnsi="Cambria" w:cs="Times New Roman"/>
          <w:sz w:val="21"/>
          <w:szCs w:val="21"/>
        </w:rPr>
        <w:t xml:space="preserve">–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Ś</w:t>
      </w:r>
      <w:r w:rsidR="008841BA" w:rsidRPr="008841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rednia wartość wierzytelności utrzymuje stabilny trend wzrostowy.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7C40A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Od początku 202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</w:t>
      </w:r>
      <w:r w:rsidRPr="007C40A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</w:t>
      </w:r>
      <w:r w:rsidR="00162F4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Pr="007C40A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przeciętna wartość wierzytelności rośnie średnio o 1,6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7C40A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kwartalnie oraz o 6,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 proc.</w:t>
      </w:r>
      <w:r w:rsidRPr="007C40A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ocznie </w:t>
      </w:r>
      <w:r w:rsidRPr="00FB40B6">
        <w:rPr>
          <w:rFonts w:ascii="Cambria" w:hAnsi="Cambria" w:cs="Times New Roman"/>
          <w:sz w:val="21"/>
          <w:szCs w:val="21"/>
        </w:rPr>
        <w:t>–</w:t>
      </w:r>
      <w:r>
        <w:rPr>
          <w:rFonts w:ascii="Cambria" w:hAnsi="Cambria" w:cs="Times New Roman"/>
          <w:sz w:val="21"/>
          <w:szCs w:val="21"/>
        </w:rPr>
        <w:t xml:space="preserve"> wyjaśnia </w:t>
      </w: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Agnieszka Kozioł,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</w:t>
      </w: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yrektor Departamentu Raportów i Analiz ZPF.</w:t>
      </w:r>
    </w:p>
    <w:p w14:paraId="7843FBDA" w14:textId="77777777" w:rsidR="00CD266C" w:rsidRDefault="00CD266C" w:rsidP="00F721B9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46A7FF6" w14:textId="51003473" w:rsidR="00F721B9" w:rsidRDefault="00FE107A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FE10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Ś</w:t>
      </w:r>
      <w:r w:rsidR="00CD266C" w:rsidRPr="00FE10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redni</w:t>
      </w:r>
      <w:r w:rsidRPr="00FE10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ą</w:t>
      </w:r>
      <w:r w:rsidR="00CD266C" w:rsidRPr="00FE10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wartość jednej obsługiwanej wierzytelności</w:t>
      </w:r>
      <w:r w:rsidRPr="00FE10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</w:t>
      </w:r>
      <w:r w:rsidR="00CD266C" w:rsidRPr="00FE10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IV kwarta</w:t>
      </w:r>
      <w:r w:rsidR="00F1556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le</w:t>
      </w:r>
      <w:r w:rsidR="00CD266C" w:rsidRPr="00FE10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2025</w:t>
      </w:r>
      <w:r w:rsidRPr="00FE10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pr</w:t>
      </w:r>
      <w:r w:rsidR="00C50B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zedstawiamy</w:t>
      </w:r>
      <w:r w:rsidRPr="00FE10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na poniższej grafice.</w:t>
      </w:r>
    </w:p>
    <w:p w14:paraId="7D65EFE2" w14:textId="77777777" w:rsidR="00597CFC" w:rsidRDefault="00597CFC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5C8A383" w14:textId="069C8BFB" w:rsidR="00597CFC" w:rsidRDefault="00597CFC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drawing>
          <wp:inline distT="0" distB="0" distL="0" distR="0" wp14:anchorId="3EB2D548" wp14:editId="40D6033D">
            <wp:extent cx="5737860" cy="3012377"/>
            <wp:effectExtent l="0" t="0" r="0" b="0"/>
            <wp:docPr id="10230311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31152" name="Obraz 102303115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62" cy="30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E3E5" w14:textId="141CB078" w:rsidR="002733FD" w:rsidRDefault="002733FD" w:rsidP="0034057A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EEB699A" w14:textId="77777777" w:rsidR="00804591" w:rsidRPr="00804591" w:rsidRDefault="00804591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C8CAA46" w14:textId="77777777" w:rsidR="00F85EB4" w:rsidRDefault="00F85EB4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FDD26DE" w14:textId="6FE53A6D" w:rsidR="00F85EB4" w:rsidRDefault="00F85EB4" w:rsidP="00804591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B8459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Udział </w:t>
      </w:r>
      <w:proofErr w:type="spellStart"/>
      <w:r w:rsidRPr="00B8459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multidłużników</w:t>
      </w:r>
      <w:proofErr w:type="spellEnd"/>
      <w:r w:rsidRPr="00B8459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626D43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bez </w:t>
      </w:r>
      <w:r w:rsidR="007C40A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większych</w:t>
      </w:r>
      <w:r w:rsidR="00626D43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zmian</w:t>
      </w:r>
      <w:r w:rsidRPr="00B84597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</w:p>
    <w:p w14:paraId="456E8975" w14:textId="77777777" w:rsidR="00391751" w:rsidRPr="00B84597" w:rsidRDefault="00391751" w:rsidP="00804591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78FBF4CC" w14:textId="7926D01B" w:rsidR="00B84597" w:rsidRDefault="00F721B9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Raport ZPF wskazuje także o</w:t>
      </w:r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dsetek tzw. </w:t>
      </w:r>
      <w:proofErr w:type="spellStart"/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multidłużników</w:t>
      </w:r>
      <w:proofErr w:type="spellEnd"/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a więc osób, które mają do spłaty więcej niż jedno zobowiązanie w instytucjach zarządzających wierzytelnościami</w:t>
      </w:r>
      <w:r w:rsidR="00F34C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W</w:t>
      </w:r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F34C7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IV </w:t>
      </w:r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kwartale 202</w:t>
      </w:r>
      <w:r w:rsidR="00A73464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wyniósł </w:t>
      </w:r>
      <w:r w:rsid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on</w:t>
      </w:r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</w:t>
      </w: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3</w:t>
      </w:r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</w:t>
      </w:r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wobec 2</w:t>
      </w: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</w:t>
      </w:r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</w:t>
      </w:r>
      <w:r w:rsidR="00804591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rok wcześniej</w:t>
      </w:r>
      <w:r w:rsidR="00B84597"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23,2 proc. przed kwartałem. </w:t>
      </w:r>
    </w:p>
    <w:p w14:paraId="7E0E96CD" w14:textId="77777777" w:rsidR="00B84597" w:rsidRPr="00B84597" w:rsidRDefault="00B84597" w:rsidP="00B84597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7354F5A" w14:textId="6CF8DDEA" w:rsidR="00804591" w:rsidRDefault="00B84597" w:rsidP="00B84597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FB40B6">
        <w:rPr>
          <w:rFonts w:ascii="Cambria" w:hAnsi="Cambria" w:cs="Times New Roman"/>
          <w:sz w:val="21"/>
          <w:szCs w:val="21"/>
        </w:rPr>
        <w:lastRenderedPageBreak/>
        <w:t xml:space="preserve">– </w:t>
      </w: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Aktualne dane dotyczące struktury zadłużenia pokazują, że sytuacja posiadania więcej niż jednego zobowiązania nie nasila się w krótkim okresie, lecz pozostaje stałą cechą struktury rynku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FB40B6">
        <w:rPr>
          <w:rFonts w:ascii="Cambria" w:hAnsi="Cambria" w:cs="Times New Roman"/>
          <w:sz w:val="21"/>
          <w:szCs w:val="21"/>
        </w:rPr>
        <w:t>–</w:t>
      </w:r>
      <w:r>
        <w:rPr>
          <w:rFonts w:ascii="Cambria" w:hAnsi="Cambria" w:cs="Times New Roman"/>
          <w:sz w:val="21"/>
          <w:szCs w:val="21"/>
        </w:rPr>
        <w:t xml:space="preserve"> </w:t>
      </w:r>
      <w:r w:rsidRPr="00B84597">
        <w:rPr>
          <w:rFonts w:ascii="Cambria" w:hAnsi="Cambria" w:cs="Times New Roman"/>
          <w:sz w:val="21"/>
          <w:szCs w:val="21"/>
        </w:rPr>
        <w:t>podsumowuje</w:t>
      </w: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0A567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ekspert</w:t>
      </w:r>
      <w:r w:rsidR="009255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</w:t>
      </w:r>
      <w:r w:rsidR="000A567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r w:rsidRPr="00B845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ZPF.</w:t>
      </w:r>
    </w:p>
    <w:p w14:paraId="5D20EA4C" w14:textId="77777777" w:rsidR="00717213" w:rsidRPr="00BF3D06" w:rsidRDefault="00717213" w:rsidP="00B84597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1076AF37" w14:textId="32723346" w:rsidR="00717213" w:rsidRPr="00BF3D06" w:rsidRDefault="00717213" w:rsidP="00717213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BF3D0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Rynek wierzytelności umacnia swoje fundamenty</w:t>
      </w:r>
      <w:r w:rsidR="00BF3D0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. Komentarz Marcina </w:t>
      </w:r>
      <w:proofErr w:type="spellStart"/>
      <w:r w:rsidR="00BF3D0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Czugana</w:t>
      </w:r>
      <w:proofErr w:type="spellEnd"/>
      <w:r w:rsidR="00BF3D0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, Prezesa ZPF</w:t>
      </w:r>
    </w:p>
    <w:p w14:paraId="12EF3BD2" w14:textId="77777777" w:rsidR="00BF3D06" w:rsidRDefault="00BF3D06" w:rsidP="00717213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4224DA3" w14:textId="27F586F7" w:rsidR="009974B3" w:rsidRDefault="00BF3D06" w:rsidP="00BF3D0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FB40B6">
        <w:rPr>
          <w:rFonts w:ascii="Cambria" w:hAnsi="Cambria" w:cs="Times New Roman"/>
          <w:sz w:val="21"/>
          <w:szCs w:val="21"/>
        </w:rPr>
        <w:t>–</w:t>
      </w:r>
      <w:r>
        <w:rPr>
          <w:rFonts w:ascii="Cambria" w:hAnsi="Cambria" w:cs="Times New Roman"/>
          <w:sz w:val="21"/>
          <w:szCs w:val="21"/>
        </w:rPr>
        <w:t xml:space="preserve"> </w:t>
      </w:r>
      <w:r w:rsidRPr="00BF3D0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Wyniki za IV kwartał 2025 r. potwierdzają, że sektor zarządzania wierzytelnościami pozostaje segmentem o rosnącej skali, ale też coraz większej dojrzałości operacyjnej. Wzrost wartości i liczby obsługiwanych wierzytelności pokazuje, że branża skutecznie odpowiada na potrzeby rynku, a jednocześnie rozwija zdolność do działania w </w:t>
      </w:r>
      <w:r w:rsidR="009255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coraz </w:t>
      </w:r>
      <w:r w:rsidRPr="00BF3D0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bardziej konkurencyjnym i wymagającym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kosztowo </w:t>
      </w:r>
      <w:r w:rsidRPr="00BF3D0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otoczeniu. Z makroekonomicznego punktu widzenia dojrzały sektor zarządzania wierzytelnościami pełni ważną funkcję </w:t>
      </w:r>
      <w:r w:rsidR="006E10D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gwarancyjną</w:t>
      </w:r>
      <w:r w:rsidR="006E10DE" w:rsidRPr="00BF3D0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BF3D0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obszarze odzyskiwania należności, wspierając płynność obrotu i przewidywalność relacji gospodarczych. Z perspektywy ZPF obserwujemy wyraźnie, że rozwój tego sektora coraz silniej opiera się nie tylko na skali, ale również na jakości zarządzania i trwałości modelu biznesowego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FB40B6">
        <w:rPr>
          <w:rFonts w:ascii="Cambria" w:hAnsi="Cambria" w:cs="Times New Roman"/>
          <w:sz w:val="21"/>
          <w:szCs w:val="21"/>
        </w:rPr>
        <w:t>–</w:t>
      </w:r>
      <w:r>
        <w:rPr>
          <w:rFonts w:ascii="Cambria" w:hAnsi="Cambria" w:cs="Times New Roman"/>
          <w:sz w:val="21"/>
          <w:szCs w:val="21"/>
        </w:rPr>
        <w:t xml:space="preserve"> </w:t>
      </w:r>
      <w:r w:rsidR="00162F44">
        <w:rPr>
          <w:rFonts w:ascii="Cambria" w:hAnsi="Cambria" w:cs="Times New Roman"/>
          <w:sz w:val="21"/>
          <w:szCs w:val="21"/>
        </w:rPr>
        <w:t>komentuje</w:t>
      </w:r>
      <w:r>
        <w:rPr>
          <w:rFonts w:ascii="Cambria" w:hAnsi="Cambria" w:cs="Times New Roman"/>
          <w:sz w:val="21"/>
          <w:szCs w:val="21"/>
        </w:rPr>
        <w:t xml:space="preserve"> Marcin Czugan, Prezes ZPF.</w:t>
      </w:r>
    </w:p>
    <w:p w14:paraId="40D35C1D" w14:textId="77777777" w:rsidR="00932214" w:rsidRPr="00804591" w:rsidRDefault="00932214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EDAA619" w14:textId="77777777" w:rsidR="00932214" w:rsidRDefault="00932214" w:rsidP="00827C73">
      <w:pPr>
        <w:jc w:val="center"/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0FBFFBEB" w14:textId="35C62DDF" w:rsidR="00932214" w:rsidRPr="00804591" w:rsidRDefault="00932214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1ADC621" w14:textId="2EFD0F2C" w:rsidR="00804591" w:rsidRDefault="00804591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0459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Wyniki najnowszej edycj</w:t>
      </w:r>
      <w:r w:rsidR="000E397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</w:t>
      </w:r>
      <w:r w:rsidRPr="0080459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badania ZPF dotyczą końca</w:t>
      </w:r>
      <w:r w:rsidR="00A74E4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IV kw.</w:t>
      </w:r>
      <w:r w:rsidRPr="0080459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202</w:t>
      </w:r>
      <w:r w:rsidR="00A74E4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80459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</w:t>
      </w:r>
    </w:p>
    <w:p w14:paraId="4292A8F2" w14:textId="77777777" w:rsidR="0034057A" w:rsidRPr="00804591" w:rsidRDefault="0034057A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DA16713" w14:textId="63D754DD" w:rsidR="00997CA8" w:rsidRDefault="00804591" w:rsidP="0080459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80459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Szczegółowe informacje o badaniu i aktualnym raporcie „Wielkość polskiego rynku wierzytelności”</w:t>
      </w:r>
      <w:r w:rsidR="0071519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0459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dostępne </w:t>
      </w:r>
      <w:r w:rsidR="00A7346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są </w:t>
      </w:r>
      <w:r w:rsidRPr="0080459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 stronie: </w:t>
      </w:r>
      <w:hyperlink r:id="rId13" w:history="1">
        <w:r w:rsidR="000D2D31" w:rsidRPr="005008E6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https://zpf.pl/wielkosc-polskiego-rynku-wierzytelnosci/</w:t>
        </w:r>
      </w:hyperlink>
      <w:r w:rsidR="000D2D3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4B485D5D" w14:textId="77777777" w:rsidR="006204EC" w:rsidRDefault="006204EC" w:rsidP="006204E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1316BA8" w14:textId="77777777" w:rsidR="009D6361" w:rsidRDefault="009D6361" w:rsidP="00A73464">
      <w:pPr>
        <w:jc w:val="center"/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19C993EB" w14:textId="77777777" w:rsidR="00A73464" w:rsidRPr="0065044E" w:rsidRDefault="00A73464" w:rsidP="00A734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65044E">
        <w:rPr>
          <w:rFonts w:ascii="Cambria" w:hAnsi="Cambria"/>
          <w:sz w:val="18"/>
          <w:szCs w:val="18"/>
        </w:rPr>
        <w:t>fintech</w:t>
      </w:r>
      <w:proofErr w:type="spellEnd"/>
      <w:r w:rsidRPr="0065044E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65044E">
        <w:rPr>
          <w:rFonts w:ascii="Cambria" w:hAnsi="Cambria"/>
          <w:sz w:val="18"/>
          <w:szCs w:val="18"/>
        </w:rPr>
        <w:t>multisektorową</w:t>
      </w:r>
      <w:proofErr w:type="spellEnd"/>
      <w:r w:rsidRPr="0065044E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653C4E8C" w14:textId="77777777" w:rsidR="00A73464" w:rsidRPr="0065044E" w:rsidRDefault="00A73464" w:rsidP="00A7346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59E4931" w14:textId="77777777" w:rsidR="00A73464" w:rsidRPr="0065044E" w:rsidRDefault="00A73464" w:rsidP="00A734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National</w:t>
      </w:r>
      <w:proofErr w:type="spellEnd"/>
      <w:r w:rsidRPr="0065044E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346AD211" w14:textId="77777777" w:rsidR="00A73464" w:rsidRPr="0065044E" w:rsidRDefault="00A73464" w:rsidP="00A7346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10993EC" w14:textId="77777777" w:rsidR="00A73464" w:rsidRPr="0065044E" w:rsidRDefault="00A73464" w:rsidP="00A734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65044E">
        <w:rPr>
          <w:rFonts w:ascii="Cambria" w:hAnsi="Cambria"/>
          <w:sz w:val="18"/>
          <w:szCs w:val="18"/>
        </w:rPr>
        <w:t>webinarów</w:t>
      </w:r>
      <w:proofErr w:type="spellEnd"/>
      <w:r w:rsidRPr="0065044E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1F634E0E" w14:textId="51309E30" w:rsidR="009D6361" w:rsidRDefault="009D6361" w:rsidP="00DD156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4A002B8" w14:textId="77777777" w:rsidR="00045F40" w:rsidRDefault="00045F40">
      <w:pPr>
        <w:jc w:val="both"/>
        <w:rPr>
          <w:rFonts w:asciiTheme="majorHAnsi" w:hAnsiTheme="majorHAnsi"/>
        </w:rPr>
      </w:pPr>
    </w:p>
    <w:p w14:paraId="04A002B9" w14:textId="77777777" w:rsidR="00045F40" w:rsidRDefault="000460C8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04A002C2" wp14:editId="3A740580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02BB" w14:textId="4D4087B1" w:rsidR="00045F40" w:rsidRDefault="000460C8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5" w:history="1">
        <w:r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  <w:bookmarkEnd w:id="0"/>
    </w:p>
    <w:p w14:paraId="06FA49EC" w14:textId="77777777" w:rsidR="00337009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Default="00337009" w:rsidP="00E67710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B44D3A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02BC" w14:textId="77777777" w:rsidR="00045F40" w:rsidRDefault="00045F40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045F40">
      <w:headerReference w:type="default" r:id="rId17"/>
      <w:footerReference w:type="default" r:id="rId18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E909" w14:textId="77777777" w:rsidR="004A62EF" w:rsidRDefault="004A62EF">
      <w:r>
        <w:separator/>
      </w:r>
    </w:p>
    <w:p w14:paraId="045DB4E5" w14:textId="77777777" w:rsidR="004A62EF" w:rsidRDefault="004A62EF"/>
  </w:endnote>
  <w:endnote w:type="continuationSeparator" w:id="0">
    <w:p w14:paraId="5FAD7E3F" w14:textId="77777777" w:rsidR="004A62EF" w:rsidRDefault="004A62EF">
      <w:r>
        <w:continuationSeparator/>
      </w:r>
    </w:p>
    <w:p w14:paraId="1DD114D9" w14:textId="77777777" w:rsidR="004A62EF" w:rsidRDefault="004A6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0FAA" w14:textId="77777777" w:rsidR="004A62EF" w:rsidRDefault="004A62EF">
      <w:r>
        <w:separator/>
      </w:r>
    </w:p>
    <w:p w14:paraId="72D3B73C" w14:textId="77777777" w:rsidR="004A62EF" w:rsidRDefault="004A62EF"/>
  </w:footnote>
  <w:footnote w:type="continuationSeparator" w:id="0">
    <w:p w14:paraId="327EA47E" w14:textId="77777777" w:rsidR="004A62EF" w:rsidRDefault="004A62EF">
      <w:r>
        <w:continuationSeparator/>
      </w:r>
    </w:p>
    <w:p w14:paraId="3F794AE4" w14:textId="77777777" w:rsidR="004A62EF" w:rsidRDefault="004A6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1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29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2"/>
  </w:num>
  <w:num w:numId="6" w16cid:durableId="598292792">
    <w:abstractNumId w:val="16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4"/>
  </w:num>
  <w:num w:numId="11" w16cid:durableId="482158256">
    <w:abstractNumId w:val="11"/>
  </w:num>
  <w:num w:numId="12" w16cid:durableId="1822187499">
    <w:abstractNumId w:val="22"/>
  </w:num>
  <w:num w:numId="13" w16cid:durableId="1256595171">
    <w:abstractNumId w:val="15"/>
  </w:num>
  <w:num w:numId="14" w16cid:durableId="362557525">
    <w:abstractNumId w:val="19"/>
  </w:num>
  <w:num w:numId="15" w16cid:durableId="1500197127">
    <w:abstractNumId w:val="25"/>
  </w:num>
  <w:num w:numId="16" w16cid:durableId="395982433">
    <w:abstractNumId w:val="26"/>
  </w:num>
  <w:num w:numId="17" w16cid:durableId="1426803212">
    <w:abstractNumId w:val="20"/>
  </w:num>
  <w:num w:numId="18" w16cid:durableId="1896617993">
    <w:abstractNumId w:val="10"/>
  </w:num>
  <w:num w:numId="19" w16cid:durableId="432365694">
    <w:abstractNumId w:val="21"/>
  </w:num>
  <w:num w:numId="20" w16cid:durableId="1095058326">
    <w:abstractNumId w:val="14"/>
  </w:num>
  <w:num w:numId="21" w16cid:durableId="193081461">
    <w:abstractNumId w:val="27"/>
  </w:num>
  <w:num w:numId="22" w16cid:durableId="1131940714">
    <w:abstractNumId w:val="2"/>
  </w:num>
  <w:num w:numId="23" w16cid:durableId="1727991563">
    <w:abstractNumId w:val="17"/>
  </w:num>
  <w:num w:numId="24" w16cid:durableId="617488062">
    <w:abstractNumId w:val="30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3"/>
  </w:num>
  <w:num w:numId="28" w16cid:durableId="777801040">
    <w:abstractNumId w:val="28"/>
  </w:num>
  <w:num w:numId="29" w16cid:durableId="1350133745">
    <w:abstractNumId w:val="18"/>
  </w:num>
  <w:num w:numId="30" w16cid:durableId="219362212">
    <w:abstractNumId w:val="13"/>
  </w:num>
  <w:num w:numId="31" w16cid:durableId="72772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3DF8"/>
    <w:rsid w:val="00004A7F"/>
    <w:rsid w:val="00007AFD"/>
    <w:rsid w:val="00010349"/>
    <w:rsid w:val="000105FA"/>
    <w:rsid w:val="000134EE"/>
    <w:rsid w:val="0002587A"/>
    <w:rsid w:val="000260F2"/>
    <w:rsid w:val="00027524"/>
    <w:rsid w:val="00027757"/>
    <w:rsid w:val="00027973"/>
    <w:rsid w:val="000340E1"/>
    <w:rsid w:val="00035C48"/>
    <w:rsid w:val="000374B6"/>
    <w:rsid w:val="00045F40"/>
    <w:rsid w:val="000460C8"/>
    <w:rsid w:val="00047132"/>
    <w:rsid w:val="00050142"/>
    <w:rsid w:val="00051EB0"/>
    <w:rsid w:val="00055F50"/>
    <w:rsid w:val="00061B5E"/>
    <w:rsid w:val="00067F4E"/>
    <w:rsid w:val="00075FE5"/>
    <w:rsid w:val="0008045D"/>
    <w:rsid w:val="0008331E"/>
    <w:rsid w:val="0009204F"/>
    <w:rsid w:val="00093E47"/>
    <w:rsid w:val="00094A0E"/>
    <w:rsid w:val="00095A92"/>
    <w:rsid w:val="00097094"/>
    <w:rsid w:val="000A192C"/>
    <w:rsid w:val="000A5674"/>
    <w:rsid w:val="000A5FF0"/>
    <w:rsid w:val="000A66E4"/>
    <w:rsid w:val="000B126C"/>
    <w:rsid w:val="000B4092"/>
    <w:rsid w:val="000B4D45"/>
    <w:rsid w:val="000C37B6"/>
    <w:rsid w:val="000D0D81"/>
    <w:rsid w:val="000D200F"/>
    <w:rsid w:val="000D2D31"/>
    <w:rsid w:val="000D7EF3"/>
    <w:rsid w:val="000E397B"/>
    <w:rsid w:val="000E64BF"/>
    <w:rsid w:val="000F3899"/>
    <w:rsid w:val="000F5963"/>
    <w:rsid w:val="00101855"/>
    <w:rsid w:val="00102328"/>
    <w:rsid w:val="001044C1"/>
    <w:rsid w:val="0010640C"/>
    <w:rsid w:val="00106F77"/>
    <w:rsid w:val="001137CD"/>
    <w:rsid w:val="00117585"/>
    <w:rsid w:val="001179F1"/>
    <w:rsid w:val="0012278C"/>
    <w:rsid w:val="00124A28"/>
    <w:rsid w:val="00124DF7"/>
    <w:rsid w:val="00132CC5"/>
    <w:rsid w:val="0015118E"/>
    <w:rsid w:val="001545D8"/>
    <w:rsid w:val="00161303"/>
    <w:rsid w:val="00162F44"/>
    <w:rsid w:val="00166556"/>
    <w:rsid w:val="00167E29"/>
    <w:rsid w:val="00173926"/>
    <w:rsid w:val="00176218"/>
    <w:rsid w:val="00181545"/>
    <w:rsid w:val="00184B05"/>
    <w:rsid w:val="001A4C83"/>
    <w:rsid w:val="001C3BD3"/>
    <w:rsid w:val="001C62E0"/>
    <w:rsid w:val="001C78EF"/>
    <w:rsid w:val="001D0D1E"/>
    <w:rsid w:val="001D1BA0"/>
    <w:rsid w:val="001D64FE"/>
    <w:rsid w:val="001D6812"/>
    <w:rsid w:val="001E4E98"/>
    <w:rsid w:val="001F0FED"/>
    <w:rsid w:val="001F1252"/>
    <w:rsid w:val="001F18CE"/>
    <w:rsid w:val="001F209A"/>
    <w:rsid w:val="001F28EC"/>
    <w:rsid w:val="001F6B12"/>
    <w:rsid w:val="0020511C"/>
    <w:rsid w:val="00205E39"/>
    <w:rsid w:val="00213338"/>
    <w:rsid w:val="00213A23"/>
    <w:rsid w:val="002179CD"/>
    <w:rsid w:val="00222664"/>
    <w:rsid w:val="00223913"/>
    <w:rsid w:val="00226538"/>
    <w:rsid w:val="00231315"/>
    <w:rsid w:val="00232679"/>
    <w:rsid w:val="0023306E"/>
    <w:rsid w:val="00235676"/>
    <w:rsid w:val="00246DC6"/>
    <w:rsid w:val="00247CD5"/>
    <w:rsid w:val="00254E47"/>
    <w:rsid w:val="0026127E"/>
    <w:rsid w:val="00261B47"/>
    <w:rsid w:val="00270DDD"/>
    <w:rsid w:val="002727AF"/>
    <w:rsid w:val="002733FD"/>
    <w:rsid w:val="0028340C"/>
    <w:rsid w:val="00290B51"/>
    <w:rsid w:val="00290D93"/>
    <w:rsid w:val="00291BA1"/>
    <w:rsid w:val="00293878"/>
    <w:rsid w:val="002945C8"/>
    <w:rsid w:val="00297FE7"/>
    <w:rsid w:val="002B047D"/>
    <w:rsid w:val="002B0F77"/>
    <w:rsid w:val="002B3C61"/>
    <w:rsid w:val="002B423A"/>
    <w:rsid w:val="002C2F51"/>
    <w:rsid w:val="002C34A0"/>
    <w:rsid w:val="002C58DF"/>
    <w:rsid w:val="002D5609"/>
    <w:rsid w:val="002E379D"/>
    <w:rsid w:val="002E4215"/>
    <w:rsid w:val="002E61D4"/>
    <w:rsid w:val="002E7B7F"/>
    <w:rsid w:val="002E7ED0"/>
    <w:rsid w:val="002F5B1C"/>
    <w:rsid w:val="002F72BF"/>
    <w:rsid w:val="00300207"/>
    <w:rsid w:val="00300652"/>
    <w:rsid w:val="00307DB2"/>
    <w:rsid w:val="003204F5"/>
    <w:rsid w:val="00321B05"/>
    <w:rsid w:val="0032709E"/>
    <w:rsid w:val="0033464E"/>
    <w:rsid w:val="003356F9"/>
    <w:rsid w:val="003357A8"/>
    <w:rsid w:val="00335F86"/>
    <w:rsid w:val="00337009"/>
    <w:rsid w:val="0034057A"/>
    <w:rsid w:val="00345E1B"/>
    <w:rsid w:val="0034697B"/>
    <w:rsid w:val="00347442"/>
    <w:rsid w:val="00355F1A"/>
    <w:rsid w:val="00356EF9"/>
    <w:rsid w:val="00356F06"/>
    <w:rsid w:val="003633EA"/>
    <w:rsid w:val="00363671"/>
    <w:rsid w:val="003668A5"/>
    <w:rsid w:val="00371904"/>
    <w:rsid w:val="00373A1E"/>
    <w:rsid w:val="0037514B"/>
    <w:rsid w:val="0037776B"/>
    <w:rsid w:val="0038607C"/>
    <w:rsid w:val="00391751"/>
    <w:rsid w:val="00392F95"/>
    <w:rsid w:val="00394272"/>
    <w:rsid w:val="003944E5"/>
    <w:rsid w:val="00397F5D"/>
    <w:rsid w:val="003A08FF"/>
    <w:rsid w:val="003A1F99"/>
    <w:rsid w:val="003A320F"/>
    <w:rsid w:val="003A3A0F"/>
    <w:rsid w:val="003A4CED"/>
    <w:rsid w:val="003B395D"/>
    <w:rsid w:val="003B473B"/>
    <w:rsid w:val="003C546D"/>
    <w:rsid w:val="003D08B1"/>
    <w:rsid w:val="003D6060"/>
    <w:rsid w:val="003D68BB"/>
    <w:rsid w:val="003E11E7"/>
    <w:rsid w:val="003E1CF7"/>
    <w:rsid w:val="003E42C0"/>
    <w:rsid w:val="003E5932"/>
    <w:rsid w:val="003E6D68"/>
    <w:rsid w:val="003E7F55"/>
    <w:rsid w:val="003F3E4D"/>
    <w:rsid w:val="003F5740"/>
    <w:rsid w:val="004011C5"/>
    <w:rsid w:val="00402382"/>
    <w:rsid w:val="00403F78"/>
    <w:rsid w:val="00404DE5"/>
    <w:rsid w:val="00417DE2"/>
    <w:rsid w:val="00420316"/>
    <w:rsid w:val="0042061B"/>
    <w:rsid w:val="00420B43"/>
    <w:rsid w:val="00422136"/>
    <w:rsid w:val="004264D8"/>
    <w:rsid w:val="00427FB1"/>
    <w:rsid w:val="00432E18"/>
    <w:rsid w:val="00435229"/>
    <w:rsid w:val="004401D8"/>
    <w:rsid w:val="00443D95"/>
    <w:rsid w:val="00447FD6"/>
    <w:rsid w:val="00450BB6"/>
    <w:rsid w:val="0045202B"/>
    <w:rsid w:val="004523A8"/>
    <w:rsid w:val="00455A98"/>
    <w:rsid w:val="00462C7C"/>
    <w:rsid w:val="00463DCA"/>
    <w:rsid w:val="00472DD4"/>
    <w:rsid w:val="00474116"/>
    <w:rsid w:val="00474FBD"/>
    <w:rsid w:val="00475C17"/>
    <w:rsid w:val="00476EF2"/>
    <w:rsid w:val="00485296"/>
    <w:rsid w:val="00485ADC"/>
    <w:rsid w:val="00487DBF"/>
    <w:rsid w:val="00495998"/>
    <w:rsid w:val="00497C84"/>
    <w:rsid w:val="004A62EF"/>
    <w:rsid w:val="004A69C3"/>
    <w:rsid w:val="004B1929"/>
    <w:rsid w:val="004B375C"/>
    <w:rsid w:val="004B483F"/>
    <w:rsid w:val="004C0E8D"/>
    <w:rsid w:val="004C59E3"/>
    <w:rsid w:val="004C6A46"/>
    <w:rsid w:val="004D1462"/>
    <w:rsid w:val="004D26F5"/>
    <w:rsid w:val="004D2D40"/>
    <w:rsid w:val="004D74BD"/>
    <w:rsid w:val="004E294B"/>
    <w:rsid w:val="004E2C1D"/>
    <w:rsid w:val="004E724B"/>
    <w:rsid w:val="004E7FF6"/>
    <w:rsid w:val="004F08AD"/>
    <w:rsid w:val="004F1A33"/>
    <w:rsid w:val="004F67D8"/>
    <w:rsid w:val="004F720C"/>
    <w:rsid w:val="0050102F"/>
    <w:rsid w:val="00504BED"/>
    <w:rsid w:val="00512CD7"/>
    <w:rsid w:val="00522196"/>
    <w:rsid w:val="00522B8F"/>
    <w:rsid w:val="00523F9F"/>
    <w:rsid w:val="0052444F"/>
    <w:rsid w:val="00524A94"/>
    <w:rsid w:val="0052781A"/>
    <w:rsid w:val="00534132"/>
    <w:rsid w:val="0054360B"/>
    <w:rsid w:val="0054416D"/>
    <w:rsid w:val="00550D73"/>
    <w:rsid w:val="005510AB"/>
    <w:rsid w:val="00555117"/>
    <w:rsid w:val="00567278"/>
    <w:rsid w:val="005725A4"/>
    <w:rsid w:val="005738A7"/>
    <w:rsid w:val="005748CE"/>
    <w:rsid w:val="005906AA"/>
    <w:rsid w:val="00590DDB"/>
    <w:rsid w:val="00592AE6"/>
    <w:rsid w:val="00597CFC"/>
    <w:rsid w:val="005A2573"/>
    <w:rsid w:val="005B54BF"/>
    <w:rsid w:val="005C1321"/>
    <w:rsid w:val="005C15A4"/>
    <w:rsid w:val="005C5FC6"/>
    <w:rsid w:val="005D2C31"/>
    <w:rsid w:val="005D7181"/>
    <w:rsid w:val="005D7F9F"/>
    <w:rsid w:val="005E2CB0"/>
    <w:rsid w:val="005E5058"/>
    <w:rsid w:val="005E5614"/>
    <w:rsid w:val="005E5D40"/>
    <w:rsid w:val="005E63F7"/>
    <w:rsid w:val="005F0E26"/>
    <w:rsid w:val="005F6846"/>
    <w:rsid w:val="00600F19"/>
    <w:rsid w:val="006044C6"/>
    <w:rsid w:val="0060775B"/>
    <w:rsid w:val="006204EC"/>
    <w:rsid w:val="00623D84"/>
    <w:rsid w:val="00626D43"/>
    <w:rsid w:val="00631F45"/>
    <w:rsid w:val="0064291B"/>
    <w:rsid w:val="006435E6"/>
    <w:rsid w:val="00647CDF"/>
    <w:rsid w:val="00650CB6"/>
    <w:rsid w:val="00653776"/>
    <w:rsid w:val="00655E88"/>
    <w:rsid w:val="00656763"/>
    <w:rsid w:val="00665B98"/>
    <w:rsid w:val="00666B3A"/>
    <w:rsid w:val="00674F2D"/>
    <w:rsid w:val="0067777F"/>
    <w:rsid w:val="00685A42"/>
    <w:rsid w:val="00687E91"/>
    <w:rsid w:val="006950D4"/>
    <w:rsid w:val="006951BE"/>
    <w:rsid w:val="00696B0A"/>
    <w:rsid w:val="006A1C50"/>
    <w:rsid w:val="006A323A"/>
    <w:rsid w:val="006A39AD"/>
    <w:rsid w:val="006A4B79"/>
    <w:rsid w:val="006A7B09"/>
    <w:rsid w:val="006B0455"/>
    <w:rsid w:val="006B1226"/>
    <w:rsid w:val="006B67D2"/>
    <w:rsid w:val="006C1E09"/>
    <w:rsid w:val="006C29AB"/>
    <w:rsid w:val="006D3914"/>
    <w:rsid w:val="006D5193"/>
    <w:rsid w:val="006D725F"/>
    <w:rsid w:val="006D74B4"/>
    <w:rsid w:val="006E10DE"/>
    <w:rsid w:val="006E2373"/>
    <w:rsid w:val="006E473E"/>
    <w:rsid w:val="006E54F7"/>
    <w:rsid w:val="006E5CEB"/>
    <w:rsid w:val="006E729C"/>
    <w:rsid w:val="006F150A"/>
    <w:rsid w:val="00700E63"/>
    <w:rsid w:val="007028CF"/>
    <w:rsid w:val="00707E85"/>
    <w:rsid w:val="007103E2"/>
    <w:rsid w:val="0071381E"/>
    <w:rsid w:val="0071519F"/>
    <w:rsid w:val="00716B46"/>
    <w:rsid w:val="00717213"/>
    <w:rsid w:val="00717BB7"/>
    <w:rsid w:val="00720B81"/>
    <w:rsid w:val="00721EAD"/>
    <w:rsid w:val="00724228"/>
    <w:rsid w:val="0072491F"/>
    <w:rsid w:val="00732DB5"/>
    <w:rsid w:val="00734B2B"/>
    <w:rsid w:val="00735BEE"/>
    <w:rsid w:val="00741555"/>
    <w:rsid w:val="007431C9"/>
    <w:rsid w:val="007471BE"/>
    <w:rsid w:val="00752745"/>
    <w:rsid w:val="0075406F"/>
    <w:rsid w:val="00760557"/>
    <w:rsid w:val="00762777"/>
    <w:rsid w:val="00765A16"/>
    <w:rsid w:val="00765CA7"/>
    <w:rsid w:val="00772FCD"/>
    <w:rsid w:val="00773A4A"/>
    <w:rsid w:val="00773B89"/>
    <w:rsid w:val="007841A3"/>
    <w:rsid w:val="00784E7C"/>
    <w:rsid w:val="007958F7"/>
    <w:rsid w:val="007A1A60"/>
    <w:rsid w:val="007A5E1E"/>
    <w:rsid w:val="007A79E1"/>
    <w:rsid w:val="007B2049"/>
    <w:rsid w:val="007B468A"/>
    <w:rsid w:val="007B7788"/>
    <w:rsid w:val="007B7F3A"/>
    <w:rsid w:val="007C40A1"/>
    <w:rsid w:val="007C45E7"/>
    <w:rsid w:val="007C55AA"/>
    <w:rsid w:val="007D5F40"/>
    <w:rsid w:val="007D62E9"/>
    <w:rsid w:val="007E0FA5"/>
    <w:rsid w:val="007E3FDE"/>
    <w:rsid w:val="007E452C"/>
    <w:rsid w:val="007F0CDD"/>
    <w:rsid w:val="007F0F5E"/>
    <w:rsid w:val="007F2328"/>
    <w:rsid w:val="007F239B"/>
    <w:rsid w:val="007F5F90"/>
    <w:rsid w:val="00801890"/>
    <w:rsid w:val="00804591"/>
    <w:rsid w:val="0080774E"/>
    <w:rsid w:val="00810832"/>
    <w:rsid w:val="008118CF"/>
    <w:rsid w:val="00812A83"/>
    <w:rsid w:val="008148BE"/>
    <w:rsid w:val="00815832"/>
    <w:rsid w:val="00816FA2"/>
    <w:rsid w:val="0082040C"/>
    <w:rsid w:val="0082218B"/>
    <w:rsid w:val="00822425"/>
    <w:rsid w:val="00822BEC"/>
    <w:rsid w:val="00827C73"/>
    <w:rsid w:val="00835103"/>
    <w:rsid w:val="0084602A"/>
    <w:rsid w:val="008461FC"/>
    <w:rsid w:val="008477BC"/>
    <w:rsid w:val="00852DBE"/>
    <w:rsid w:val="00860235"/>
    <w:rsid w:val="00860321"/>
    <w:rsid w:val="0086418A"/>
    <w:rsid w:val="00867D06"/>
    <w:rsid w:val="00875769"/>
    <w:rsid w:val="00881317"/>
    <w:rsid w:val="00883FFA"/>
    <w:rsid w:val="008841BA"/>
    <w:rsid w:val="00887292"/>
    <w:rsid w:val="00890401"/>
    <w:rsid w:val="0089079E"/>
    <w:rsid w:val="00890A96"/>
    <w:rsid w:val="008B0395"/>
    <w:rsid w:val="008B245F"/>
    <w:rsid w:val="008B7729"/>
    <w:rsid w:val="008C130B"/>
    <w:rsid w:val="008C1D80"/>
    <w:rsid w:val="008C39CB"/>
    <w:rsid w:val="008C49F6"/>
    <w:rsid w:val="008C7143"/>
    <w:rsid w:val="008E3CC0"/>
    <w:rsid w:val="008F306E"/>
    <w:rsid w:val="008F44A0"/>
    <w:rsid w:val="008F57F6"/>
    <w:rsid w:val="009011C7"/>
    <w:rsid w:val="009107CD"/>
    <w:rsid w:val="00911FE8"/>
    <w:rsid w:val="009133E5"/>
    <w:rsid w:val="00915598"/>
    <w:rsid w:val="00923298"/>
    <w:rsid w:val="00923D2B"/>
    <w:rsid w:val="0092445A"/>
    <w:rsid w:val="00925500"/>
    <w:rsid w:val="00926BB9"/>
    <w:rsid w:val="00930AF5"/>
    <w:rsid w:val="00932214"/>
    <w:rsid w:val="00932E3D"/>
    <w:rsid w:val="00934BD3"/>
    <w:rsid w:val="00936F62"/>
    <w:rsid w:val="0095097E"/>
    <w:rsid w:val="00951A61"/>
    <w:rsid w:val="0095577C"/>
    <w:rsid w:val="0095716C"/>
    <w:rsid w:val="009601FB"/>
    <w:rsid w:val="00964C3B"/>
    <w:rsid w:val="009656FC"/>
    <w:rsid w:val="00974C18"/>
    <w:rsid w:val="009779E9"/>
    <w:rsid w:val="0098417C"/>
    <w:rsid w:val="0098455D"/>
    <w:rsid w:val="00990D60"/>
    <w:rsid w:val="0099441B"/>
    <w:rsid w:val="00995199"/>
    <w:rsid w:val="009962AF"/>
    <w:rsid w:val="009974B3"/>
    <w:rsid w:val="00997CA8"/>
    <w:rsid w:val="009A14E9"/>
    <w:rsid w:val="009B1322"/>
    <w:rsid w:val="009B3D83"/>
    <w:rsid w:val="009B4773"/>
    <w:rsid w:val="009B7CF8"/>
    <w:rsid w:val="009C0674"/>
    <w:rsid w:val="009C7E83"/>
    <w:rsid w:val="009D0442"/>
    <w:rsid w:val="009D3E23"/>
    <w:rsid w:val="009D537A"/>
    <w:rsid w:val="009D6361"/>
    <w:rsid w:val="009E1C35"/>
    <w:rsid w:val="009F1C9F"/>
    <w:rsid w:val="009F258A"/>
    <w:rsid w:val="009F5F02"/>
    <w:rsid w:val="009F78E0"/>
    <w:rsid w:val="00A04423"/>
    <w:rsid w:val="00A045E4"/>
    <w:rsid w:val="00A110A6"/>
    <w:rsid w:val="00A126A5"/>
    <w:rsid w:val="00A13EA3"/>
    <w:rsid w:val="00A243BE"/>
    <w:rsid w:val="00A24FCF"/>
    <w:rsid w:val="00A25580"/>
    <w:rsid w:val="00A25DE2"/>
    <w:rsid w:val="00A279A8"/>
    <w:rsid w:val="00A34332"/>
    <w:rsid w:val="00A45BD3"/>
    <w:rsid w:val="00A54E3E"/>
    <w:rsid w:val="00A56080"/>
    <w:rsid w:val="00A72280"/>
    <w:rsid w:val="00A73464"/>
    <w:rsid w:val="00A73DA7"/>
    <w:rsid w:val="00A74E4A"/>
    <w:rsid w:val="00A80E80"/>
    <w:rsid w:val="00A82568"/>
    <w:rsid w:val="00A90507"/>
    <w:rsid w:val="00A90F06"/>
    <w:rsid w:val="00A9442B"/>
    <w:rsid w:val="00AA32BB"/>
    <w:rsid w:val="00AB676F"/>
    <w:rsid w:val="00AB753A"/>
    <w:rsid w:val="00AB7550"/>
    <w:rsid w:val="00AC40F5"/>
    <w:rsid w:val="00AD483A"/>
    <w:rsid w:val="00AD5345"/>
    <w:rsid w:val="00AD58CC"/>
    <w:rsid w:val="00AD7BBA"/>
    <w:rsid w:val="00AE0B06"/>
    <w:rsid w:val="00AE3AFD"/>
    <w:rsid w:val="00AE42F0"/>
    <w:rsid w:val="00AE4A72"/>
    <w:rsid w:val="00AE79E4"/>
    <w:rsid w:val="00AF0515"/>
    <w:rsid w:val="00AF0D8C"/>
    <w:rsid w:val="00AF10A5"/>
    <w:rsid w:val="00B142A5"/>
    <w:rsid w:val="00B143DC"/>
    <w:rsid w:val="00B17E69"/>
    <w:rsid w:val="00B21C7B"/>
    <w:rsid w:val="00B254D5"/>
    <w:rsid w:val="00B3031F"/>
    <w:rsid w:val="00B329A0"/>
    <w:rsid w:val="00B357FF"/>
    <w:rsid w:val="00B403BF"/>
    <w:rsid w:val="00B41BF6"/>
    <w:rsid w:val="00B42D73"/>
    <w:rsid w:val="00B4378E"/>
    <w:rsid w:val="00B522C5"/>
    <w:rsid w:val="00B63A3B"/>
    <w:rsid w:val="00B7026F"/>
    <w:rsid w:val="00B76729"/>
    <w:rsid w:val="00B84597"/>
    <w:rsid w:val="00B846E4"/>
    <w:rsid w:val="00B862DA"/>
    <w:rsid w:val="00B96278"/>
    <w:rsid w:val="00B963EB"/>
    <w:rsid w:val="00BA0BB9"/>
    <w:rsid w:val="00BA2839"/>
    <w:rsid w:val="00BA30AB"/>
    <w:rsid w:val="00BA49AA"/>
    <w:rsid w:val="00BA6D41"/>
    <w:rsid w:val="00BB0F0F"/>
    <w:rsid w:val="00BB4826"/>
    <w:rsid w:val="00BC1752"/>
    <w:rsid w:val="00BC2A88"/>
    <w:rsid w:val="00BC4881"/>
    <w:rsid w:val="00BC7431"/>
    <w:rsid w:val="00BD2825"/>
    <w:rsid w:val="00BD4F9F"/>
    <w:rsid w:val="00BE533A"/>
    <w:rsid w:val="00BE5540"/>
    <w:rsid w:val="00BF3987"/>
    <w:rsid w:val="00BF3D06"/>
    <w:rsid w:val="00BF51A5"/>
    <w:rsid w:val="00BF617C"/>
    <w:rsid w:val="00BF6E16"/>
    <w:rsid w:val="00C0375D"/>
    <w:rsid w:val="00C1039C"/>
    <w:rsid w:val="00C1280B"/>
    <w:rsid w:val="00C1655C"/>
    <w:rsid w:val="00C25B52"/>
    <w:rsid w:val="00C307B3"/>
    <w:rsid w:val="00C375E6"/>
    <w:rsid w:val="00C431D7"/>
    <w:rsid w:val="00C45010"/>
    <w:rsid w:val="00C46BA3"/>
    <w:rsid w:val="00C50B49"/>
    <w:rsid w:val="00C60CCB"/>
    <w:rsid w:val="00C665E9"/>
    <w:rsid w:val="00C83792"/>
    <w:rsid w:val="00C84C30"/>
    <w:rsid w:val="00C86521"/>
    <w:rsid w:val="00CA585A"/>
    <w:rsid w:val="00CB31C0"/>
    <w:rsid w:val="00CB3541"/>
    <w:rsid w:val="00CB6AD7"/>
    <w:rsid w:val="00CC25A3"/>
    <w:rsid w:val="00CC40C6"/>
    <w:rsid w:val="00CD266C"/>
    <w:rsid w:val="00CD27B8"/>
    <w:rsid w:val="00CD760D"/>
    <w:rsid w:val="00CD7DD5"/>
    <w:rsid w:val="00CE4F69"/>
    <w:rsid w:val="00CF078F"/>
    <w:rsid w:val="00CF46D7"/>
    <w:rsid w:val="00D0192F"/>
    <w:rsid w:val="00D02AF8"/>
    <w:rsid w:val="00D047B9"/>
    <w:rsid w:val="00D0503D"/>
    <w:rsid w:val="00D12874"/>
    <w:rsid w:val="00D147BC"/>
    <w:rsid w:val="00D206EE"/>
    <w:rsid w:val="00D22BE6"/>
    <w:rsid w:val="00D247A8"/>
    <w:rsid w:val="00D25552"/>
    <w:rsid w:val="00D26CFB"/>
    <w:rsid w:val="00D35689"/>
    <w:rsid w:val="00D35DE3"/>
    <w:rsid w:val="00D36452"/>
    <w:rsid w:val="00D40E41"/>
    <w:rsid w:val="00D41C90"/>
    <w:rsid w:val="00D5152B"/>
    <w:rsid w:val="00D541C3"/>
    <w:rsid w:val="00D6271B"/>
    <w:rsid w:val="00D66817"/>
    <w:rsid w:val="00D66A18"/>
    <w:rsid w:val="00D7067A"/>
    <w:rsid w:val="00D72A57"/>
    <w:rsid w:val="00D74429"/>
    <w:rsid w:val="00D766B3"/>
    <w:rsid w:val="00D811F6"/>
    <w:rsid w:val="00D85372"/>
    <w:rsid w:val="00D94D26"/>
    <w:rsid w:val="00DA3B60"/>
    <w:rsid w:val="00DB7286"/>
    <w:rsid w:val="00DB7E9A"/>
    <w:rsid w:val="00DC0586"/>
    <w:rsid w:val="00DD156E"/>
    <w:rsid w:val="00DD2717"/>
    <w:rsid w:val="00DE05BD"/>
    <w:rsid w:val="00DE0F99"/>
    <w:rsid w:val="00DE22DD"/>
    <w:rsid w:val="00DE2FD3"/>
    <w:rsid w:val="00DF5C57"/>
    <w:rsid w:val="00E01A80"/>
    <w:rsid w:val="00E20F76"/>
    <w:rsid w:val="00E2394C"/>
    <w:rsid w:val="00E30934"/>
    <w:rsid w:val="00E35D3E"/>
    <w:rsid w:val="00E4058C"/>
    <w:rsid w:val="00E4301A"/>
    <w:rsid w:val="00E434A5"/>
    <w:rsid w:val="00E443B0"/>
    <w:rsid w:val="00E45140"/>
    <w:rsid w:val="00E45220"/>
    <w:rsid w:val="00E62F9A"/>
    <w:rsid w:val="00E67710"/>
    <w:rsid w:val="00E82A9F"/>
    <w:rsid w:val="00E836FE"/>
    <w:rsid w:val="00E87DEC"/>
    <w:rsid w:val="00E90FBD"/>
    <w:rsid w:val="00E962F5"/>
    <w:rsid w:val="00E97A34"/>
    <w:rsid w:val="00EA0B4D"/>
    <w:rsid w:val="00EA5F54"/>
    <w:rsid w:val="00EB00D1"/>
    <w:rsid w:val="00EB3D18"/>
    <w:rsid w:val="00EB3EDA"/>
    <w:rsid w:val="00EC012C"/>
    <w:rsid w:val="00EC5992"/>
    <w:rsid w:val="00ED18CB"/>
    <w:rsid w:val="00ED343C"/>
    <w:rsid w:val="00ED3F71"/>
    <w:rsid w:val="00ED4D46"/>
    <w:rsid w:val="00EE0154"/>
    <w:rsid w:val="00EE2251"/>
    <w:rsid w:val="00EE4A98"/>
    <w:rsid w:val="00EE60AA"/>
    <w:rsid w:val="00EF0AA9"/>
    <w:rsid w:val="00EF32AA"/>
    <w:rsid w:val="00EF5560"/>
    <w:rsid w:val="00F03137"/>
    <w:rsid w:val="00F06BF0"/>
    <w:rsid w:val="00F06F86"/>
    <w:rsid w:val="00F11F48"/>
    <w:rsid w:val="00F13536"/>
    <w:rsid w:val="00F15560"/>
    <w:rsid w:val="00F2094C"/>
    <w:rsid w:val="00F209AE"/>
    <w:rsid w:val="00F22587"/>
    <w:rsid w:val="00F319FE"/>
    <w:rsid w:val="00F34C7A"/>
    <w:rsid w:val="00F35DE4"/>
    <w:rsid w:val="00F42639"/>
    <w:rsid w:val="00F436EC"/>
    <w:rsid w:val="00F44368"/>
    <w:rsid w:val="00F45602"/>
    <w:rsid w:val="00F52596"/>
    <w:rsid w:val="00F53C36"/>
    <w:rsid w:val="00F66BE3"/>
    <w:rsid w:val="00F71642"/>
    <w:rsid w:val="00F721B9"/>
    <w:rsid w:val="00F73568"/>
    <w:rsid w:val="00F807E3"/>
    <w:rsid w:val="00F80B57"/>
    <w:rsid w:val="00F814FF"/>
    <w:rsid w:val="00F84A72"/>
    <w:rsid w:val="00F84D6A"/>
    <w:rsid w:val="00F85702"/>
    <w:rsid w:val="00F85EB4"/>
    <w:rsid w:val="00F915E6"/>
    <w:rsid w:val="00F91A5E"/>
    <w:rsid w:val="00F91DC2"/>
    <w:rsid w:val="00F93488"/>
    <w:rsid w:val="00F953C8"/>
    <w:rsid w:val="00F964FB"/>
    <w:rsid w:val="00F97EFD"/>
    <w:rsid w:val="00FA100F"/>
    <w:rsid w:val="00FA416D"/>
    <w:rsid w:val="00FB015D"/>
    <w:rsid w:val="00FB2448"/>
    <w:rsid w:val="00FC412B"/>
    <w:rsid w:val="00FD013E"/>
    <w:rsid w:val="00FD063E"/>
    <w:rsid w:val="00FD1DDE"/>
    <w:rsid w:val="00FD6425"/>
    <w:rsid w:val="00FD7BB6"/>
    <w:rsid w:val="00FE107A"/>
    <w:rsid w:val="00FE2E40"/>
    <w:rsid w:val="00FE312E"/>
    <w:rsid w:val="00FE4F2F"/>
    <w:rsid w:val="00FE6BEE"/>
    <w:rsid w:val="00FF2923"/>
    <w:rsid w:val="5715E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pf.pl/wielkosc-polskiego-rynku-wierzytelnosci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company/zp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5350</CharactersWithSpaces>
  <SharedDoc>false</SharedDoc>
  <HLinks>
    <vt:vector size="12" baseType="variant"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http://www.linkedin.com/company/zpf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https://zpf.pl/wielkosc-polskiego-rynku-wierzytelnosci/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2</cp:revision>
  <cp:lastPrinted>2026-04-21T09:48:00Z</cp:lastPrinted>
  <dcterms:created xsi:type="dcterms:W3CDTF">2026-05-04T09:10:00Z</dcterms:created>
  <dcterms:modified xsi:type="dcterms:W3CDTF">2026-05-04T09:10:00Z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