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08358" w14:textId="66401C11" w:rsidR="003C3854" w:rsidRPr="00250C83" w:rsidRDefault="006D266B">
      <w:pPr>
        <w:spacing w:line="276" w:lineRule="auto"/>
        <w:jc w:val="right"/>
        <w:rPr>
          <w:rFonts w:ascii="Calibri" w:eastAsia="Calibri" w:hAnsi="Calibri" w:cs="Calibri"/>
          <w:color w:val="000000" w:themeColor="text1"/>
        </w:rPr>
      </w:pPr>
      <w:r w:rsidRPr="00250C83">
        <w:rPr>
          <w:rFonts w:ascii="Calibri" w:eastAsia="Calibri" w:hAnsi="Calibri" w:cs="Calibri"/>
          <w:color w:val="000000" w:themeColor="text1"/>
        </w:rPr>
        <w:t>Warsaw,</w:t>
      </w:r>
      <w:r w:rsidR="00306A75">
        <w:rPr>
          <w:rFonts w:ascii="Calibri" w:eastAsia="Calibri" w:hAnsi="Calibri" w:cs="Calibri"/>
          <w:color w:val="000000" w:themeColor="text1"/>
        </w:rPr>
        <w:t xml:space="preserve"> 28 </w:t>
      </w:r>
      <w:r w:rsidR="0026541F">
        <w:rPr>
          <w:rFonts w:ascii="Calibri" w:eastAsia="Calibri" w:hAnsi="Calibri" w:cs="Calibri"/>
          <w:color w:val="000000" w:themeColor="text1"/>
        </w:rPr>
        <w:t>May</w:t>
      </w:r>
      <w:r w:rsidR="007B5BFF">
        <w:rPr>
          <w:rFonts w:ascii="Calibri" w:eastAsia="Calibri" w:hAnsi="Calibri" w:cs="Calibri"/>
          <w:color w:val="000000" w:themeColor="text1"/>
        </w:rPr>
        <w:t xml:space="preserve"> 2026</w:t>
      </w:r>
    </w:p>
    <w:p w14:paraId="5C3B702E" w14:textId="77777777" w:rsidR="003C3854" w:rsidRPr="00250C83" w:rsidRDefault="003C3854">
      <w:pPr>
        <w:spacing w:line="276" w:lineRule="auto"/>
        <w:jc w:val="both"/>
        <w:rPr>
          <w:rFonts w:ascii="Calibri" w:eastAsia="Calibri" w:hAnsi="Calibri" w:cs="Calibri"/>
          <w:color w:val="000000" w:themeColor="text1"/>
        </w:rPr>
      </w:pPr>
    </w:p>
    <w:p w14:paraId="3B4D2F5D" w14:textId="311A5FB1" w:rsidR="003C3854" w:rsidRPr="00250C83" w:rsidRDefault="006D266B">
      <w:pPr>
        <w:spacing w:line="276" w:lineRule="auto"/>
        <w:jc w:val="both"/>
        <w:rPr>
          <w:rFonts w:ascii="Calibri" w:eastAsia="Calibri" w:hAnsi="Calibri" w:cs="Calibri"/>
          <w:color w:val="000000" w:themeColor="text1"/>
          <w:u w:val="single"/>
        </w:rPr>
      </w:pPr>
      <w:r w:rsidRPr="00250C83">
        <w:rPr>
          <w:rFonts w:ascii="Calibri" w:eastAsia="Calibri" w:hAnsi="Calibri" w:cs="Calibri"/>
          <w:color w:val="000000" w:themeColor="text1"/>
          <w:u w:val="single"/>
        </w:rPr>
        <w:t>Press release</w:t>
      </w:r>
    </w:p>
    <w:p w14:paraId="5A913BE3" w14:textId="77777777" w:rsidR="00FA5EFC" w:rsidRDefault="00FA5EFC" w:rsidP="00FA5EFC">
      <w:pPr>
        <w:spacing w:line="276" w:lineRule="auto"/>
        <w:jc w:val="both"/>
        <w:rPr>
          <w:rFonts w:ascii="Calibri" w:eastAsia="Calibri" w:hAnsi="Calibri" w:cs="Calibri"/>
          <w:color w:val="000000" w:themeColor="text1"/>
        </w:rPr>
      </w:pPr>
    </w:p>
    <w:p w14:paraId="7AF0DD22" w14:textId="77777777" w:rsidR="00704C64" w:rsidRDefault="00704C64" w:rsidP="00FA5EFC">
      <w:pPr>
        <w:spacing w:line="276" w:lineRule="auto"/>
        <w:jc w:val="both"/>
        <w:rPr>
          <w:rFonts w:ascii="Calibri" w:eastAsia="Calibri" w:hAnsi="Calibri" w:cs="Calibri"/>
          <w:color w:val="000000" w:themeColor="text1"/>
        </w:rPr>
      </w:pPr>
    </w:p>
    <w:p w14:paraId="5CB2D325" w14:textId="382FFDC1" w:rsidR="008A7B6F" w:rsidRDefault="000A234C" w:rsidP="00704C64">
      <w:pPr>
        <w:spacing w:line="276" w:lineRule="auto"/>
        <w:jc w:val="center"/>
        <w:rPr>
          <w:rFonts w:ascii="Calibri" w:eastAsia="Calibri" w:hAnsi="Calibri" w:cs="Calibri"/>
          <w:b/>
          <w:bCs/>
          <w:color w:val="000000" w:themeColor="text1"/>
          <w:sz w:val="28"/>
          <w:szCs w:val="28"/>
        </w:rPr>
      </w:pPr>
      <w:r w:rsidRPr="000A234C">
        <w:rPr>
          <w:rFonts w:ascii="Calibri" w:eastAsia="Calibri" w:hAnsi="Calibri" w:cs="Calibri"/>
          <w:b/>
          <w:bCs/>
          <w:color w:val="000000" w:themeColor="text1"/>
          <w:sz w:val="28"/>
          <w:szCs w:val="28"/>
        </w:rPr>
        <w:t xml:space="preserve">DXC Technology </w:t>
      </w:r>
      <w:proofErr w:type="spellStart"/>
      <w:r w:rsidR="00CB0042">
        <w:rPr>
          <w:rFonts w:ascii="Calibri" w:eastAsia="Calibri" w:hAnsi="Calibri" w:cs="Calibri"/>
          <w:b/>
          <w:bCs/>
          <w:color w:val="000000" w:themeColor="text1"/>
          <w:sz w:val="28"/>
          <w:szCs w:val="28"/>
        </w:rPr>
        <w:t>stays</w:t>
      </w:r>
      <w:proofErr w:type="spellEnd"/>
      <w:r w:rsidRPr="000A234C">
        <w:rPr>
          <w:rFonts w:ascii="Calibri" w:eastAsia="Calibri" w:hAnsi="Calibri" w:cs="Calibri"/>
          <w:b/>
          <w:bCs/>
          <w:color w:val="000000" w:themeColor="text1"/>
          <w:sz w:val="28"/>
          <w:szCs w:val="28"/>
        </w:rPr>
        <w:t xml:space="preserve"> </w:t>
      </w:r>
      <w:proofErr w:type="spellStart"/>
      <w:r w:rsidRPr="000A234C">
        <w:rPr>
          <w:rFonts w:ascii="Calibri" w:eastAsia="Calibri" w:hAnsi="Calibri" w:cs="Calibri"/>
          <w:b/>
          <w:bCs/>
          <w:color w:val="000000" w:themeColor="text1"/>
          <w:sz w:val="28"/>
          <w:szCs w:val="28"/>
        </w:rPr>
        <w:t>at</w:t>
      </w:r>
      <w:proofErr w:type="spellEnd"/>
      <w:r w:rsidRPr="000A234C">
        <w:rPr>
          <w:rFonts w:ascii="Calibri" w:eastAsia="Calibri" w:hAnsi="Calibri" w:cs="Calibri"/>
          <w:b/>
          <w:bCs/>
          <w:color w:val="000000" w:themeColor="text1"/>
          <w:sz w:val="28"/>
          <w:szCs w:val="28"/>
        </w:rPr>
        <w:t xml:space="preserve"> </w:t>
      </w:r>
      <w:proofErr w:type="spellStart"/>
      <w:r w:rsidRPr="000A234C">
        <w:rPr>
          <w:rFonts w:ascii="Calibri" w:eastAsia="Calibri" w:hAnsi="Calibri" w:cs="Calibri"/>
          <w:b/>
          <w:bCs/>
          <w:color w:val="000000" w:themeColor="text1"/>
          <w:sz w:val="28"/>
          <w:szCs w:val="28"/>
        </w:rPr>
        <w:t>Skyliner</w:t>
      </w:r>
      <w:proofErr w:type="spellEnd"/>
      <w:r w:rsidRPr="000A234C">
        <w:rPr>
          <w:rFonts w:ascii="Calibri" w:eastAsia="Calibri" w:hAnsi="Calibri" w:cs="Calibri"/>
          <w:b/>
          <w:bCs/>
          <w:color w:val="000000" w:themeColor="text1"/>
          <w:sz w:val="28"/>
          <w:szCs w:val="28"/>
        </w:rPr>
        <w:t xml:space="preserve"> </w:t>
      </w:r>
      <w:proofErr w:type="spellStart"/>
      <w:r w:rsidRPr="000A234C">
        <w:rPr>
          <w:rFonts w:ascii="Calibri" w:eastAsia="Calibri" w:hAnsi="Calibri" w:cs="Calibri"/>
          <w:b/>
          <w:bCs/>
          <w:color w:val="000000" w:themeColor="text1"/>
          <w:sz w:val="28"/>
          <w:szCs w:val="28"/>
        </w:rPr>
        <w:t>until</w:t>
      </w:r>
      <w:proofErr w:type="spellEnd"/>
      <w:r w:rsidRPr="000A234C">
        <w:rPr>
          <w:rFonts w:ascii="Calibri" w:eastAsia="Calibri" w:hAnsi="Calibri" w:cs="Calibri"/>
          <w:b/>
          <w:bCs/>
          <w:color w:val="000000" w:themeColor="text1"/>
          <w:sz w:val="28"/>
          <w:szCs w:val="28"/>
        </w:rPr>
        <w:t xml:space="preserve"> 2032</w:t>
      </w:r>
    </w:p>
    <w:p w14:paraId="71EE73C9" w14:textId="6F239B7F" w:rsidR="000A234C" w:rsidRDefault="000A234C" w:rsidP="008A7B6F">
      <w:pPr>
        <w:pStyle w:val="NormalnyWeb"/>
        <w:spacing w:line="276" w:lineRule="auto"/>
        <w:jc w:val="both"/>
        <w:rPr>
          <w:rFonts w:ascii="Calibri" w:hAnsi="Calibri" w:cs="Calibri"/>
          <w:b/>
          <w:bCs/>
          <w:color w:val="000000"/>
        </w:rPr>
      </w:pPr>
      <w:r w:rsidRPr="000A234C">
        <w:rPr>
          <w:rFonts w:ascii="Calibri" w:hAnsi="Calibri" w:cs="Calibri"/>
          <w:b/>
          <w:bCs/>
          <w:color w:val="000000"/>
        </w:rPr>
        <w:t xml:space="preserve">DXC Technology has extended its lease agreement for space in </w:t>
      </w:r>
      <w:r>
        <w:rPr>
          <w:rFonts w:ascii="Calibri" w:hAnsi="Calibri" w:cs="Calibri"/>
          <w:b/>
          <w:bCs/>
          <w:color w:val="000000"/>
        </w:rPr>
        <w:t xml:space="preserve">Warsaw’s </w:t>
      </w:r>
      <w:r w:rsidRPr="000A234C">
        <w:rPr>
          <w:rFonts w:ascii="Calibri" w:hAnsi="Calibri" w:cs="Calibri"/>
          <w:b/>
          <w:bCs/>
          <w:color w:val="000000"/>
        </w:rPr>
        <w:t xml:space="preserve">Skyliner. The global IT services leader will </w:t>
      </w:r>
      <w:proofErr w:type="spellStart"/>
      <w:r w:rsidRPr="000A234C">
        <w:rPr>
          <w:rFonts w:ascii="Calibri" w:hAnsi="Calibri" w:cs="Calibri"/>
          <w:b/>
          <w:bCs/>
          <w:color w:val="000000"/>
        </w:rPr>
        <w:t>remain</w:t>
      </w:r>
      <w:proofErr w:type="spellEnd"/>
      <w:r w:rsidRPr="000A234C">
        <w:rPr>
          <w:rFonts w:ascii="Calibri" w:hAnsi="Calibri" w:cs="Calibri"/>
          <w:b/>
          <w:bCs/>
          <w:color w:val="000000"/>
        </w:rPr>
        <w:t xml:space="preserve"> </w:t>
      </w:r>
      <w:r w:rsidR="007B2857">
        <w:rPr>
          <w:rFonts w:ascii="Calibri" w:hAnsi="Calibri" w:cs="Calibri"/>
          <w:b/>
          <w:bCs/>
          <w:color w:val="000000"/>
        </w:rPr>
        <w:t xml:space="preserve">in </w:t>
      </w:r>
      <w:proofErr w:type="spellStart"/>
      <w:r w:rsidRPr="000A234C">
        <w:rPr>
          <w:rFonts w:ascii="Calibri" w:hAnsi="Calibri" w:cs="Calibri"/>
          <w:b/>
          <w:bCs/>
          <w:color w:val="000000"/>
        </w:rPr>
        <w:t>Karimpol</w:t>
      </w:r>
      <w:proofErr w:type="spellEnd"/>
      <w:r w:rsidRPr="000A234C">
        <w:rPr>
          <w:rFonts w:ascii="Calibri" w:hAnsi="Calibri" w:cs="Calibri"/>
          <w:b/>
          <w:bCs/>
          <w:color w:val="000000"/>
        </w:rPr>
        <w:t xml:space="preserve"> </w:t>
      </w:r>
      <w:proofErr w:type="spellStart"/>
      <w:r w:rsidR="00CB0042">
        <w:rPr>
          <w:rFonts w:ascii="Calibri" w:hAnsi="Calibri" w:cs="Calibri"/>
          <w:b/>
          <w:bCs/>
          <w:color w:val="000000"/>
        </w:rPr>
        <w:t>Group</w:t>
      </w:r>
      <w:r w:rsidRPr="000A234C">
        <w:rPr>
          <w:rFonts w:ascii="Calibri" w:hAnsi="Calibri" w:cs="Calibri"/>
          <w:b/>
          <w:bCs/>
          <w:color w:val="000000"/>
        </w:rPr>
        <w:t>’s</w:t>
      </w:r>
      <w:proofErr w:type="spellEnd"/>
      <w:r w:rsidRPr="000A234C">
        <w:rPr>
          <w:rFonts w:ascii="Calibri" w:hAnsi="Calibri" w:cs="Calibri"/>
          <w:b/>
          <w:bCs/>
          <w:color w:val="000000"/>
        </w:rPr>
        <w:t xml:space="preserve"> </w:t>
      </w:r>
      <w:proofErr w:type="spellStart"/>
      <w:r w:rsidRPr="000A234C">
        <w:rPr>
          <w:rFonts w:ascii="Calibri" w:hAnsi="Calibri" w:cs="Calibri"/>
          <w:b/>
          <w:bCs/>
          <w:color w:val="000000"/>
        </w:rPr>
        <w:t>flagship</w:t>
      </w:r>
      <w:proofErr w:type="spellEnd"/>
      <w:r w:rsidRPr="000A234C">
        <w:rPr>
          <w:rFonts w:ascii="Calibri" w:hAnsi="Calibri" w:cs="Calibri"/>
          <w:b/>
          <w:bCs/>
          <w:color w:val="000000"/>
        </w:rPr>
        <w:t xml:space="preserve"> </w:t>
      </w:r>
      <w:proofErr w:type="spellStart"/>
      <w:r w:rsidRPr="000A234C">
        <w:rPr>
          <w:rFonts w:ascii="Calibri" w:hAnsi="Calibri" w:cs="Calibri"/>
          <w:b/>
          <w:bCs/>
          <w:color w:val="000000"/>
        </w:rPr>
        <w:t>office</w:t>
      </w:r>
      <w:proofErr w:type="spellEnd"/>
      <w:r w:rsidRPr="000A234C">
        <w:rPr>
          <w:rFonts w:ascii="Calibri" w:hAnsi="Calibri" w:cs="Calibri"/>
          <w:b/>
          <w:bCs/>
          <w:color w:val="000000"/>
        </w:rPr>
        <w:t xml:space="preserve"> </w:t>
      </w:r>
      <w:proofErr w:type="spellStart"/>
      <w:r w:rsidRPr="000A234C">
        <w:rPr>
          <w:rFonts w:ascii="Calibri" w:hAnsi="Calibri" w:cs="Calibri"/>
          <w:b/>
          <w:bCs/>
          <w:color w:val="000000"/>
        </w:rPr>
        <w:t>building</w:t>
      </w:r>
      <w:proofErr w:type="spellEnd"/>
      <w:r w:rsidRPr="000A234C">
        <w:rPr>
          <w:rFonts w:ascii="Calibri" w:hAnsi="Calibri" w:cs="Calibri"/>
          <w:b/>
          <w:bCs/>
          <w:color w:val="000000"/>
        </w:rPr>
        <w:t xml:space="preserve"> until 2032. The company currently occupies </w:t>
      </w:r>
      <w:r w:rsidR="007B2857">
        <w:rPr>
          <w:rFonts w:ascii="Calibri" w:hAnsi="Calibri" w:cs="Calibri"/>
          <w:b/>
          <w:bCs/>
          <w:color w:val="000000"/>
        </w:rPr>
        <w:t>nearly 4,600 sq m across three floors of the building</w:t>
      </w:r>
      <w:r w:rsidRPr="000A234C">
        <w:rPr>
          <w:rFonts w:ascii="Calibri" w:hAnsi="Calibri" w:cs="Calibri"/>
          <w:b/>
          <w:bCs/>
          <w:color w:val="000000"/>
        </w:rPr>
        <w:t xml:space="preserve">. </w:t>
      </w:r>
      <w:r w:rsidR="00A355B4" w:rsidRPr="00A355B4">
        <w:rPr>
          <w:rFonts w:ascii="Calibri" w:hAnsi="Calibri" w:cs="Calibri"/>
          <w:b/>
          <w:bCs/>
          <w:color w:val="000000"/>
        </w:rPr>
        <w:t>In 2021, it moved into Skyliner alongside Luxoft, marking the start of a new phase in the integration of the two organisations.</w:t>
      </w:r>
    </w:p>
    <w:p w14:paraId="6B503EFA" w14:textId="0B7DF80F" w:rsidR="000A234C" w:rsidRDefault="000A234C" w:rsidP="000A234C">
      <w:pPr>
        <w:pStyle w:val="NormalnyWeb"/>
        <w:spacing w:line="276" w:lineRule="auto"/>
        <w:jc w:val="both"/>
        <w:rPr>
          <w:rFonts w:ascii="Calibri" w:hAnsi="Calibri" w:cs="Calibri"/>
          <w:color w:val="000000"/>
        </w:rPr>
      </w:pPr>
      <w:r w:rsidRPr="000A234C">
        <w:rPr>
          <w:rFonts w:ascii="Calibri" w:hAnsi="Calibri" w:cs="Calibri"/>
          <w:color w:val="000000"/>
        </w:rPr>
        <w:t xml:space="preserve">DXC Technology, a global company </w:t>
      </w:r>
      <w:r w:rsidR="00A355B4">
        <w:rPr>
          <w:rFonts w:ascii="Calibri" w:hAnsi="Calibri" w:cs="Calibri"/>
          <w:color w:val="000000"/>
        </w:rPr>
        <w:t xml:space="preserve">listed </w:t>
      </w:r>
      <w:r w:rsidR="00A355B4" w:rsidRPr="00A355B4">
        <w:rPr>
          <w:rFonts w:ascii="Calibri" w:hAnsi="Calibri" w:cs="Calibri"/>
          <w:color w:val="000000"/>
        </w:rPr>
        <w:t xml:space="preserve">among the </w:t>
      </w:r>
      <w:r w:rsidR="00A355B4">
        <w:rPr>
          <w:rFonts w:ascii="Calibri" w:hAnsi="Calibri" w:cs="Calibri"/>
          <w:color w:val="000000"/>
        </w:rPr>
        <w:t xml:space="preserve">Fortune 500 </w:t>
      </w:r>
      <w:r w:rsidR="00A355B4" w:rsidRPr="00A355B4">
        <w:rPr>
          <w:rFonts w:ascii="Calibri" w:hAnsi="Calibri" w:cs="Calibri"/>
          <w:color w:val="000000"/>
        </w:rPr>
        <w:t>business giants</w:t>
      </w:r>
      <w:r w:rsidR="00A355B4">
        <w:rPr>
          <w:rFonts w:ascii="Calibri" w:hAnsi="Calibri" w:cs="Calibri"/>
          <w:color w:val="000000"/>
        </w:rPr>
        <w:t xml:space="preserve">, </w:t>
      </w:r>
      <w:r w:rsidRPr="000A234C">
        <w:rPr>
          <w:rFonts w:ascii="Calibri" w:hAnsi="Calibri" w:cs="Calibri"/>
          <w:color w:val="000000"/>
        </w:rPr>
        <w:t xml:space="preserve">has decided to extend its lease at Skyliner for a further five years. The current headquarters of DXC Technology </w:t>
      </w:r>
      <w:r w:rsidR="00A355B4">
        <w:rPr>
          <w:rFonts w:ascii="Calibri" w:hAnsi="Calibri" w:cs="Calibri"/>
          <w:color w:val="000000"/>
        </w:rPr>
        <w:t xml:space="preserve">and Luxoft </w:t>
      </w:r>
      <w:r w:rsidRPr="000A234C">
        <w:rPr>
          <w:rFonts w:ascii="Calibri" w:hAnsi="Calibri" w:cs="Calibri"/>
          <w:color w:val="000000"/>
        </w:rPr>
        <w:t xml:space="preserve">comprises </w:t>
      </w:r>
      <w:r w:rsidR="007B2857">
        <w:rPr>
          <w:rFonts w:ascii="Calibri" w:hAnsi="Calibri" w:cs="Calibri"/>
          <w:color w:val="000000"/>
        </w:rPr>
        <w:t>nearly</w:t>
      </w:r>
      <w:r w:rsidRPr="007B2857">
        <w:rPr>
          <w:rFonts w:ascii="Calibri" w:hAnsi="Calibri" w:cs="Calibri"/>
          <w:color w:val="000000"/>
        </w:rPr>
        <w:t xml:space="preserve"> 4,</w:t>
      </w:r>
      <w:r w:rsidR="007B2857" w:rsidRPr="007B2857">
        <w:rPr>
          <w:rFonts w:ascii="Calibri" w:hAnsi="Calibri" w:cs="Calibri"/>
          <w:color w:val="000000"/>
        </w:rPr>
        <w:t xml:space="preserve">600 </w:t>
      </w:r>
      <w:r w:rsidRPr="007B2857">
        <w:rPr>
          <w:rFonts w:ascii="Calibri" w:hAnsi="Calibri" w:cs="Calibri"/>
          <w:color w:val="000000"/>
        </w:rPr>
        <w:t>sq m of office space</w:t>
      </w:r>
      <w:r w:rsidRPr="000A234C">
        <w:rPr>
          <w:rFonts w:ascii="Calibri" w:hAnsi="Calibri" w:cs="Calibri"/>
          <w:color w:val="000000"/>
        </w:rPr>
        <w:t>, located on the 25th, 26th and 27th floors of Skyliner.</w:t>
      </w:r>
    </w:p>
    <w:p w14:paraId="008CE7D2" w14:textId="7A1624F1" w:rsidR="000A234C" w:rsidRPr="00E1570E" w:rsidRDefault="000A234C" w:rsidP="00E1570E">
      <w:pPr>
        <w:pStyle w:val="NormalnyWeb"/>
        <w:spacing w:line="276" w:lineRule="auto"/>
        <w:jc w:val="both"/>
        <w:rPr>
          <w:color w:val="000000"/>
        </w:rPr>
      </w:pPr>
      <w:r w:rsidRPr="00E1570E">
        <w:rPr>
          <w:rFonts w:ascii="Calibri" w:hAnsi="Calibri" w:cs="Calibri"/>
          <w:i/>
          <w:iCs/>
          <w:color w:val="000000"/>
        </w:rPr>
        <w:t>“</w:t>
      </w:r>
      <w:proofErr w:type="spellStart"/>
      <w:r w:rsidR="00E1570E" w:rsidRPr="00E1570E">
        <w:rPr>
          <w:rFonts w:ascii="Calibri" w:hAnsi="Calibri" w:cs="Calibri"/>
          <w:i/>
          <w:iCs/>
          <w:color w:val="000000"/>
        </w:rPr>
        <w:t>Extending</w:t>
      </w:r>
      <w:proofErr w:type="spellEnd"/>
      <w:r w:rsidR="00E1570E" w:rsidRPr="00E1570E">
        <w:rPr>
          <w:rFonts w:ascii="Calibri" w:hAnsi="Calibri" w:cs="Calibri"/>
          <w:i/>
          <w:iCs/>
          <w:color w:val="000000"/>
        </w:rPr>
        <w:t xml:space="preserve"> the </w:t>
      </w:r>
      <w:proofErr w:type="spellStart"/>
      <w:r w:rsidR="00E1570E" w:rsidRPr="00E1570E">
        <w:rPr>
          <w:rFonts w:ascii="Calibri" w:hAnsi="Calibri" w:cs="Calibri"/>
          <w:i/>
          <w:iCs/>
          <w:color w:val="000000"/>
        </w:rPr>
        <w:t>lease</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is</w:t>
      </w:r>
      <w:proofErr w:type="spellEnd"/>
      <w:r w:rsidR="00E1570E" w:rsidRPr="00E1570E">
        <w:rPr>
          <w:rFonts w:ascii="Calibri" w:hAnsi="Calibri" w:cs="Calibri"/>
          <w:i/>
          <w:iCs/>
          <w:color w:val="000000"/>
        </w:rPr>
        <w:t xml:space="preserve"> a </w:t>
      </w:r>
      <w:proofErr w:type="spellStart"/>
      <w:r w:rsidR="00E1570E" w:rsidRPr="00E1570E">
        <w:rPr>
          <w:rFonts w:ascii="Calibri" w:hAnsi="Calibri" w:cs="Calibri"/>
          <w:i/>
          <w:iCs/>
          <w:color w:val="000000"/>
        </w:rPr>
        <w:t>natural</w:t>
      </w:r>
      <w:proofErr w:type="spellEnd"/>
      <w:r w:rsidR="00E1570E" w:rsidRPr="00E1570E">
        <w:rPr>
          <w:rFonts w:ascii="Calibri" w:hAnsi="Calibri" w:cs="Calibri"/>
          <w:i/>
          <w:iCs/>
          <w:color w:val="000000"/>
        </w:rPr>
        <w:t xml:space="preserve"> step </w:t>
      </w:r>
      <w:proofErr w:type="spellStart"/>
      <w:r w:rsidR="00E1570E" w:rsidRPr="00E1570E">
        <w:rPr>
          <w:rFonts w:ascii="Calibri" w:hAnsi="Calibri" w:cs="Calibri"/>
          <w:i/>
          <w:iCs/>
          <w:color w:val="000000"/>
        </w:rPr>
        <w:t>based</w:t>
      </w:r>
      <w:proofErr w:type="spellEnd"/>
      <w:r w:rsidR="00E1570E" w:rsidRPr="00E1570E">
        <w:rPr>
          <w:rFonts w:ascii="Calibri" w:hAnsi="Calibri" w:cs="Calibri"/>
          <w:i/>
          <w:iCs/>
          <w:color w:val="000000"/>
        </w:rPr>
        <w:t xml:space="preserve"> on </w:t>
      </w:r>
      <w:proofErr w:type="spellStart"/>
      <w:r w:rsidR="00E1570E" w:rsidRPr="00E1570E">
        <w:rPr>
          <w:rFonts w:ascii="Calibri" w:hAnsi="Calibri" w:cs="Calibri"/>
          <w:i/>
          <w:iCs/>
          <w:color w:val="000000"/>
        </w:rPr>
        <w:t>our</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experience</w:t>
      </w:r>
      <w:proofErr w:type="spellEnd"/>
      <w:r w:rsidR="00E1570E" w:rsidRPr="00E1570E">
        <w:rPr>
          <w:rFonts w:ascii="Calibri" w:hAnsi="Calibri" w:cs="Calibri"/>
          <w:i/>
          <w:iCs/>
          <w:color w:val="000000"/>
        </w:rPr>
        <w:t xml:space="preserve"> of </w:t>
      </w:r>
      <w:proofErr w:type="spellStart"/>
      <w:r w:rsidR="00E1570E" w:rsidRPr="00E1570E">
        <w:rPr>
          <w:rFonts w:ascii="Calibri" w:hAnsi="Calibri" w:cs="Calibri"/>
          <w:i/>
          <w:iCs/>
          <w:color w:val="000000"/>
        </w:rPr>
        <w:t>operating</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at</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Skyliner</w:t>
      </w:r>
      <w:proofErr w:type="spellEnd"/>
      <w:r w:rsidR="00E1570E" w:rsidRPr="00E1570E">
        <w:rPr>
          <w:rFonts w:ascii="Calibri" w:hAnsi="Calibri" w:cs="Calibri"/>
          <w:i/>
          <w:iCs/>
          <w:color w:val="000000"/>
        </w:rPr>
        <w:t xml:space="preserve">. From the </w:t>
      </w:r>
      <w:proofErr w:type="spellStart"/>
      <w:r w:rsidR="00E1570E" w:rsidRPr="00E1570E">
        <w:rPr>
          <w:rFonts w:ascii="Calibri" w:hAnsi="Calibri" w:cs="Calibri"/>
          <w:i/>
          <w:iCs/>
          <w:color w:val="000000"/>
        </w:rPr>
        <w:t>outset</w:t>
      </w:r>
      <w:proofErr w:type="spellEnd"/>
      <w:r w:rsidR="00E1570E" w:rsidRPr="00E1570E">
        <w:rPr>
          <w:rFonts w:ascii="Calibri" w:hAnsi="Calibri" w:cs="Calibri"/>
          <w:i/>
          <w:iCs/>
          <w:color w:val="000000"/>
        </w:rPr>
        <w:t xml:space="preserve">, we </w:t>
      </w:r>
      <w:proofErr w:type="spellStart"/>
      <w:r w:rsidR="00E1570E" w:rsidRPr="00E1570E">
        <w:rPr>
          <w:rFonts w:ascii="Calibri" w:hAnsi="Calibri" w:cs="Calibri"/>
          <w:i/>
          <w:iCs/>
          <w:color w:val="000000"/>
        </w:rPr>
        <w:t>were</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keen</w:t>
      </w:r>
      <w:proofErr w:type="spellEnd"/>
      <w:r w:rsidR="00E1570E" w:rsidRPr="00E1570E">
        <w:rPr>
          <w:rFonts w:ascii="Calibri" w:hAnsi="Calibri" w:cs="Calibri"/>
          <w:i/>
          <w:iCs/>
          <w:color w:val="000000"/>
        </w:rPr>
        <w:t xml:space="preserve"> to </w:t>
      </w:r>
      <w:proofErr w:type="spellStart"/>
      <w:r w:rsidR="00E1570E" w:rsidRPr="00E1570E">
        <w:rPr>
          <w:rFonts w:ascii="Calibri" w:hAnsi="Calibri" w:cs="Calibri"/>
          <w:i/>
          <w:iCs/>
          <w:color w:val="000000"/>
        </w:rPr>
        <w:t>create</w:t>
      </w:r>
      <w:proofErr w:type="spellEnd"/>
      <w:r w:rsidR="00E1570E" w:rsidRPr="00E1570E">
        <w:rPr>
          <w:rFonts w:ascii="Calibri" w:hAnsi="Calibri" w:cs="Calibri"/>
          <w:i/>
          <w:iCs/>
          <w:color w:val="000000"/>
        </w:rPr>
        <w:t xml:space="preserve"> a </w:t>
      </w:r>
      <w:proofErr w:type="spellStart"/>
      <w:r w:rsidR="00E1570E" w:rsidRPr="00E1570E">
        <w:rPr>
          <w:rFonts w:ascii="Calibri" w:hAnsi="Calibri" w:cs="Calibri"/>
          <w:i/>
          <w:iCs/>
          <w:color w:val="000000"/>
        </w:rPr>
        <w:t>working</w:t>
      </w:r>
      <w:proofErr w:type="spellEnd"/>
      <w:r w:rsidR="00E1570E" w:rsidRPr="00E1570E">
        <w:rPr>
          <w:rFonts w:ascii="Calibri" w:hAnsi="Calibri" w:cs="Calibri"/>
          <w:i/>
          <w:iCs/>
          <w:color w:val="000000"/>
        </w:rPr>
        <w:t xml:space="preserve"> environment </w:t>
      </w:r>
      <w:proofErr w:type="spellStart"/>
      <w:r w:rsidR="00E1570E" w:rsidRPr="00E1570E">
        <w:rPr>
          <w:rFonts w:ascii="Calibri" w:hAnsi="Calibri" w:cs="Calibri"/>
          <w:i/>
          <w:iCs/>
          <w:color w:val="000000"/>
        </w:rPr>
        <w:t>that</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meets</w:t>
      </w:r>
      <w:proofErr w:type="spellEnd"/>
      <w:r w:rsidR="00E1570E" w:rsidRPr="00E1570E">
        <w:rPr>
          <w:rFonts w:ascii="Calibri" w:hAnsi="Calibri" w:cs="Calibri"/>
          <w:i/>
          <w:iCs/>
          <w:color w:val="000000"/>
        </w:rPr>
        <w:t xml:space="preserve"> the modern </w:t>
      </w:r>
      <w:proofErr w:type="spellStart"/>
      <w:r w:rsidR="00E1570E" w:rsidRPr="00E1570E">
        <w:rPr>
          <w:rFonts w:ascii="Calibri" w:hAnsi="Calibri" w:cs="Calibri"/>
          <w:i/>
          <w:iCs/>
          <w:color w:val="000000"/>
        </w:rPr>
        <w:t>needs</w:t>
      </w:r>
      <w:proofErr w:type="spellEnd"/>
      <w:r w:rsidR="00E1570E" w:rsidRPr="00E1570E">
        <w:rPr>
          <w:rFonts w:ascii="Calibri" w:hAnsi="Calibri" w:cs="Calibri"/>
          <w:i/>
          <w:iCs/>
          <w:color w:val="000000"/>
        </w:rPr>
        <w:t xml:space="preserve"> of </w:t>
      </w:r>
      <w:proofErr w:type="spellStart"/>
      <w:r w:rsidR="00E1570E" w:rsidRPr="00E1570E">
        <w:rPr>
          <w:rFonts w:ascii="Calibri" w:hAnsi="Calibri" w:cs="Calibri"/>
          <w:i/>
          <w:iCs/>
          <w:color w:val="000000"/>
        </w:rPr>
        <w:t>our</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teams</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flexible</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comfortable</w:t>
      </w:r>
      <w:proofErr w:type="spellEnd"/>
      <w:r w:rsidR="00E1570E" w:rsidRPr="00E1570E">
        <w:rPr>
          <w:rFonts w:ascii="Calibri" w:hAnsi="Calibri" w:cs="Calibri"/>
          <w:i/>
          <w:iCs/>
          <w:color w:val="000000"/>
        </w:rPr>
        <w:t xml:space="preserve"> and </w:t>
      </w:r>
      <w:proofErr w:type="spellStart"/>
      <w:r w:rsidR="00E1570E" w:rsidRPr="00E1570E">
        <w:rPr>
          <w:rFonts w:ascii="Calibri" w:hAnsi="Calibri" w:cs="Calibri"/>
          <w:i/>
          <w:iCs/>
          <w:color w:val="000000"/>
        </w:rPr>
        <w:t>conducive</w:t>
      </w:r>
      <w:proofErr w:type="spellEnd"/>
      <w:r w:rsidR="00E1570E" w:rsidRPr="00E1570E">
        <w:rPr>
          <w:rFonts w:ascii="Calibri" w:hAnsi="Calibri" w:cs="Calibri"/>
          <w:i/>
          <w:iCs/>
          <w:color w:val="000000"/>
        </w:rPr>
        <w:t xml:space="preserve"> to </w:t>
      </w:r>
      <w:proofErr w:type="spellStart"/>
      <w:r w:rsidR="00E1570E" w:rsidRPr="00E1570E">
        <w:rPr>
          <w:rFonts w:ascii="Calibri" w:hAnsi="Calibri" w:cs="Calibri"/>
          <w:i/>
          <w:iCs/>
          <w:color w:val="000000"/>
        </w:rPr>
        <w:t>collaboration</w:t>
      </w:r>
      <w:proofErr w:type="spellEnd"/>
      <w:r w:rsidR="00E1570E" w:rsidRPr="00E1570E">
        <w:rPr>
          <w:rFonts w:ascii="Calibri" w:hAnsi="Calibri" w:cs="Calibri"/>
          <w:i/>
          <w:iCs/>
          <w:color w:val="000000"/>
        </w:rPr>
        <w:t xml:space="preserve">. The </w:t>
      </w:r>
      <w:proofErr w:type="spellStart"/>
      <w:r w:rsidR="00E1570E" w:rsidRPr="00E1570E">
        <w:rPr>
          <w:rFonts w:ascii="Calibri" w:hAnsi="Calibri" w:cs="Calibri"/>
          <w:i/>
          <w:iCs/>
          <w:color w:val="000000"/>
        </w:rPr>
        <w:t>current</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space</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is</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well-suited</w:t>
      </w:r>
      <w:proofErr w:type="spellEnd"/>
      <w:r w:rsidR="00E1570E" w:rsidRPr="00E1570E">
        <w:rPr>
          <w:rFonts w:ascii="Calibri" w:hAnsi="Calibri" w:cs="Calibri"/>
          <w:i/>
          <w:iCs/>
          <w:color w:val="000000"/>
        </w:rPr>
        <w:t xml:space="preserve"> to </w:t>
      </w:r>
      <w:proofErr w:type="spellStart"/>
      <w:r w:rsidR="00E1570E" w:rsidRPr="00E1570E">
        <w:rPr>
          <w:rFonts w:ascii="Calibri" w:hAnsi="Calibri" w:cs="Calibri"/>
          <w:i/>
          <w:iCs/>
          <w:color w:val="000000"/>
        </w:rPr>
        <w:t>this</w:t>
      </w:r>
      <w:proofErr w:type="spellEnd"/>
      <w:r w:rsidR="00E1570E" w:rsidRPr="00E1570E">
        <w:rPr>
          <w:rFonts w:ascii="Calibri" w:hAnsi="Calibri" w:cs="Calibri"/>
          <w:i/>
          <w:iCs/>
          <w:color w:val="000000"/>
        </w:rPr>
        <w:t xml:space="preserve"> model and </w:t>
      </w:r>
      <w:proofErr w:type="spellStart"/>
      <w:r w:rsidR="00E1570E" w:rsidRPr="00E1570E">
        <w:rPr>
          <w:rFonts w:ascii="Calibri" w:hAnsi="Calibri" w:cs="Calibri"/>
          <w:i/>
          <w:iCs/>
          <w:color w:val="000000"/>
        </w:rPr>
        <w:t>remains</w:t>
      </w:r>
      <w:proofErr w:type="spellEnd"/>
      <w:r w:rsidR="00E1570E" w:rsidRPr="00E1570E">
        <w:rPr>
          <w:rFonts w:ascii="Calibri" w:hAnsi="Calibri" w:cs="Calibri"/>
          <w:i/>
          <w:iCs/>
          <w:color w:val="000000"/>
        </w:rPr>
        <w:t xml:space="preserve"> a </w:t>
      </w:r>
      <w:proofErr w:type="spellStart"/>
      <w:r w:rsidR="00E1570E" w:rsidRPr="00E1570E">
        <w:rPr>
          <w:rFonts w:ascii="Calibri" w:hAnsi="Calibri" w:cs="Calibri"/>
          <w:i/>
          <w:iCs/>
          <w:color w:val="000000"/>
        </w:rPr>
        <w:t>key</w:t>
      </w:r>
      <w:proofErr w:type="spellEnd"/>
      <w:r w:rsidR="00E1570E" w:rsidRPr="00E1570E">
        <w:rPr>
          <w:rFonts w:ascii="Calibri" w:hAnsi="Calibri" w:cs="Calibri"/>
          <w:i/>
          <w:iCs/>
          <w:color w:val="000000"/>
        </w:rPr>
        <w:t xml:space="preserve"> component of </w:t>
      </w:r>
      <w:proofErr w:type="spellStart"/>
      <w:r w:rsidR="00E1570E" w:rsidRPr="00E1570E">
        <w:rPr>
          <w:rFonts w:ascii="Calibri" w:hAnsi="Calibri" w:cs="Calibri"/>
          <w:i/>
          <w:iCs/>
          <w:color w:val="000000"/>
        </w:rPr>
        <w:t>our</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approach</w:t>
      </w:r>
      <w:proofErr w:type="spellEnd"/>
      <w:r w:rsidR="00E1570E" w:rsidRPr="00E1570E">
        <w:rPr>
          <w:rFonts w:ascii="Calibri" w:hAnsi="Calibri" w:cs="Calibri"/>
          <w:i/>
          <w:iCs/>
          <w:color w:val="000000"/>
        </w:rPr>
        <w:t xml:space="preserve"> to </w:t>
      </w:r>
      <w:proofErr w:type="spellStart"/>
      <w:r w:rsidR="00E1570E" w:rsidRPr="00E1570E">
        <w:rPr>
          <w:rFonts w:ascii="Calibri" w:hAnsi="Calibri" w:cs="Calibri"/>
          <w:i/>
          <w:iCs/>
          <w:color w:val="000000"/>
        </w:rPr>
        <w:t>organising</w:t>
      </w:r>
      <w:proofErr w:type="spellEnd"/>
      <w:r w:rsidR="00E1570E" w:rsidRPr="00E1570E">
        <w:rPr>
          <w:rFonts w:ascii="Calibri" w:hAnsi="Calibri" w:cs="Calibri"/>
          <w:i/>
          <w:iCs/>
          <w:color w:val="000000"/>
        </w:rPr>
        <w:t xml:space="preserve"> </w:t>
      </w:r>
      <w:proofErr w:type="spellStart"/>
      <w:r w:rsidR="00E1570E" w:rsidRPr="00E1570E">
        <w:rPr>
          <w:rFonts w:ascii="Calibri" w:hAnsi="Calibri" w:cs="Calibri"/>
          <w:i/>
          <w:iCs/>
          <w:color w:val="000000"/>
        </w:rPr>
        <w:t>work</w:t>
      </w:r>
      <w:proofErr w:type="spellEnd"/>
      <w:r w:rsidRPr="00E1570E">
        <w:rPr>
          <w:rFonts w:ascii="Calibri" w:hAnsi="Calibri" w:cs="Calibri"/>
          <w:i/>
          <w:iCs/>
          <w:color w:val="000000"/>
        </w:rPr>
        <w:t>,”</w:t>
      </w:r>
      <w:r w:rsidRPr="000A234C">
        <w:rPr>
          <w:rFonts w:ascii="Calibri" w:hAnsi="Calibri" w:cs="Calibri"/>
          <w:color w:val="000000"/>
        </w:rPr>
        <w:t xml:space="preserve"> </w:t>
      </w:r>
      <w:proofErr w:type="spellStart"/>
      <w:r w:rsidRPr="000A234C">
        <w:rPr>
          <w:rFonts w:ascii="Calibri" w:hAnsi="Calibri" w:cs="Calibri"/>
          <w:color w:val="000000"/>
        </w:rPr>
        <w:t>says</w:t>
      </w:r>
      <w:proofErr w:type="spellEnd"/>
      <w:r w:rsidRPr="000A234C">
        <w:rPr>
          <w:rFonts w:ascii="Calibri" w:hAnsi="Calibri" w:cs="Calibri"/>
          <w:color w:val="000000"/>
        </w:rPr>
        <w:t xml:space="preserve"> </w:t>
      </w:r>
      <w:r w:rsidRPr="000A234C">
        <w:rPr>
          <w:rFonts w:ascii="Calibri" w:hAnsi="Calibri" w:cs="Calibri"/>
          <w:b/>
          <w:bCs/>
          <w:color w:val="000000"/>
        </w:rPr>
        <w:t xml:space="preserve">Patryk Falkowski, </w:t>
      </w:r>
      <w:proofErr w:type="spellStart"/>
      <w:r w:rsidRPr="000A234C">
        <w:rPr>
          <w:rFonts w:ascii="Calibri" w:hAnsi="Calibri" w:cs="Calibri"/>
          <w:b/>
          <w:bCs/>
          <w:color w:val="000000"/>
        </w:rPr>
        <w:t>Head</w:t>
      </w:r>
      <w:proofErr w:type="spellEnd"/>
      <w:r w:rsidRPr="000A234C">
        <w:rPr>
          <w:rFonts w:ascii="Calibri" w:hAnsi="Calibri" w:cs="Calibri"/>
          <w:b/>
          <w:bCs/>
          <w:color w:val="000000"/>
        </w:rPr>
        <w:t xml:space="preserve"> of RE&amp;F Poland, Real Estate and Facilities at DXC Technology</w:t>
      </w:r>
      <w:r w:rsidRPr="000A234C">
        <w:rPr>
          <w:rFonts w:ascii="Calibri" w:hAnsi="Calibri" w:cs="Calibri"/>
          <w:color w:val="000000"/>
        </w:rPr>
        <w:t>.</w:t>
      </w:r>
    </w:p>
    <w:p w14:paraId="75CA5BDC" w14:textId="52AC9B88" w:rsidR="00A355B4" w:rsidRPr="000A234C" w:rsidRDefault="009102A0" w:rsidP="00A355B4">
      <w:pPr>
        <w:pStyle w:val="NormalnyWeb"/>
        <w:spacing w:line="276" w:lineRule="auto"/>
        <w:jc w:val="both"/>
        <w:rPr>
          <w:rFonts w:ascii="Calibri" w:hAnsi="Calibri" w:cs="Calibri"/>
          <w:color w:val="000000"/>
        </w:rPr>
      </w:pPr>
      <w:r w:rsidRPr="009102A0">
        <w:rPr>
          <w:rFonts w:asciiTheme="minorHAnsi" w:eastAsia="Calibri" w:hAnsiTheme="minorHAnsi" w:cstheme="minorHAnsi"/>
        </w:rPr>
        <w:t xml:space="preserve">DXC Technology (NYSE: DXC) is a leading technology and innovation partner for enterprises and public sector organisations. The company </w:t>
      </w:r>
      <w:proofErr w:type="spellStart"/>
      <w:r w:rsidRPr="009102A0">
        <w:rPr>
          <w:rFonts w:asciiTheme="minorHAnsi" w:eastAsia="Calibri" w:hAnsiTheme="minorHAnsi" w:cstheme="minorHAnsi"/>
        </w:rPr>
        <w:t>provides</w:t>
      </w:r>
      <w:proofErr w:type="spellEnd"/>
      <w:r w:rsidRPr="009102A0">
        <w:rPr>
          <w:rFonts w:asciiTheme="minorHAnsi" w:eastAsia="Calibri" w:hAnsiTheme="minorHAnsi" w:cstheme="minorHAnsi"/>
        </w:rPr>
        <w:t xml:space="preserve"> software, services and </w:t>
      </w:r>
      <w:proofErr w:type="spellStart"/>
      <w:r w:rsidRPr="009102A0">
        <w:rPr>
          <w:rFonts w:asciiTheme="minorHAnsi" w:eastAsia="Calibri" w:hAnsiTheme="minorHAnsi" w:cstheme="minorHAnsi"/>
        </w:rPr>
        <w:t>solutions</w:t>
      </w:r>
      <w:proofErr w:type="spellEnd"/>
      <w:r w:rsidRPr="009102A0">
        <w:rPr>
          <w:rFonts w:asciiTheme="minorHAnsi" w:eastAsia="Calibri" w:hAnsiTheme="minorHAnsi" w:cstheme="minorHAnsi"/>
        </w:rPr>
        <w:t xml:space="preserve"> </w:t>
      </w:r>
      <w:proofErr w:type="spellStart"/>
      <w:r w:rsidRPr="009102A0">
        <w:rPr>
          <w:rFonts w:asciiTheme="minorHAnsi" w:eastAsia="Calibri" w:hAnsiTheme="minorHAnsi" w:cstheme="minorHAnsi"/>
        </w:rPr>
        <w:t>that</w:t>
      </w:r>
      <w:proofErr w:type="spellEnd"/>
      <w:r w:rsidRPr="009102A0">
        <w:rPr>
          <w:rFonts w:asciiTheme="minorHAnsi" w:eastAsia="Calibri" w:hAnsiTheme="minorHAnsi" w:cstheme="minorHAnsi"/>
        </w:rPr>
        <w:t xml:space="preserve"> </w:t>
      </w:r>
      <w:proofErr w:type="spellStart"/>
      <w:r w:rsidRPr="009102A0">
        <w:rPr>
          <w:rFonts w:asciiTheme="minorHAnsi" w:eastAsia="Calibri" w:hAnsiTheme="minorHAnsi" w:cstheme="minorHAnsi"/>
        </w:rPr>
        <w:t>help</w:t>
      </w:r>
      <w:proofErr w:type="spellEnd"/>
      <w:r w:rsidRPr="009102A0">
        <w:rPr>
          <w:rFonts w:asciiTheme="minorHAnsi" w:eastAsia="Calibri" w:hAnsiTheme="minorHAnsi" w:cstheme="minorHAnsi"/>
        </w:rPr>
        <w:t xml:space="preserve"> organisations worldwide leverage artificial intelligence to achieve tangible results during times of rapid transformation. With deep expertise in infrastructure management services, application modernisation and industry-specific software solutions, DXC modernises, secures and </w:t>
      </w:r>
      <w:proofErr w:type="spellStart"/>
      <w:r w:rsidRPr="009102A0">
        <w:rPr>
          <w:rFonts w:asciiTheme="minorHAnsi" w:eastAsia="Calibri" w:hAnsiTheme="minorHAnsi" w:cstheme="minorHAnsi"/>
        </w:rPr>
        <w:t>supports</w:t>
      </w:r>
      <w:proofErr w:type="spellEnd"/>
      <w:r w:rsidRPr="009102A0">
        <w:rPr>
          <w:rFonts w:asciiTheme="minorHAnsi" w:eastAsia="Calibri" w:hAnsiTheme="minorHAnsi" w:cstheme="minorHAnsi"/>
        </w:rPr>
        <w:t xml:space="preserve"> </w:t>
      </w:r>
      <w:proofErr w:type="spellStart"/>
      <w:r w:rsidRPr="009102A0">
        <w:rPr>
          <w:rFonts w:asciiTheme="minorHAnsi" w:eastAsia="Calibri" w:hAnsiTheme="minorHAnsi" w:cstheme="minorHAnsi"/>
        </w:rPr>
        <w:t>some</w:t>
      </w:r>
      <w:proofErr w:type="spellEnd"/>
      <w:r w:rsidRPr="009102A0">
        <w:rPr>
          <w:rFonts w:asciiTheme="minorHAnsi" w:eastAsia="Calibri" w:hAnsiTheme="minorHAnsi" w:cstheme="minorHAnsi"/>
        </w:rPr>
        <w:t xml:space="preserve"> of the </w:t>
      </w:r>
      <w:proofErr w:type="spellStart"/>
      <w:r w:rsidRPr="009102A0">
        <w:rPr>
          <w:rFonts w:asciiTheme="minorHAnsi" w:eastAsia="Calibri" w:hAnsiTheme="minorHAnsi" w:cstheme="minorHAnsi"/>
        </w:rPr>
        <w:t>world’s</w:t>
      </w:r>
      <w:proofErr w:type="spellEnd"/>
      <w:r w:rsidRPr="009102A0">
        <w:rPr>
          <w:rFonts w:asciiTheme="minorHAnsi" w:eastAsia="Calibri" w:hAnsiTheme="minorHAnsi" w:cstheme="minorHAnsi"/>
        </w:rPr>
        <w:t xml:space="preserve"> most complex technology environments. </w:t>
      </w:r>
      <w:r w:rsidR="00A355B4" w:rsidRPr="000A234C">
        <w:rPr>
          <w:rFonts w:ascii="Calibri" w:hAnsi="Calibri" w:cs="Calibri"/>
          <w:color w:val="000000"/>
        </w:rPr>
        <w:t xml:space="preserve">The company operates in over 70 countries and </w:t>
      </w:r>
      <w:r w:rsidR="00A355B4" w:rsidRPr="00A355B4">
        <w:rPr>
          <w:rFonts w:ascii="Calibri" w:hAnsi="Calibri" w:cs="Calibri"/>
          <w:color w:val="000000"/>
        </w:rPr>
        <w:t>serves approximately 6,000 clients in the public and private sectors</w:t>
      </w:r>
      <w:r w:rsidR="00A355B4" w:rsidRPr="000A234C">
        <w:rPr>
          <w:rFonts w:ascii="Calibri" w:hAnsi="Calibri" w:cs="Calibri"/>
          <w:color w:val="000000"/>
        </w:rPr>
        <w:t xml:space="preserve">. </w:t>
      </w:r>
      <w:r w:rsidR="00A355B4">
        <w:rPr>
          <w:rFonts w:asciiTheme="minorHAnsi" w:eastAsia="Calibri" w:hAnsiTheme="minorHAnsi" w:cstheme="minorHAnsi"/>
        </w:rPr>
        <w:t xml:space="preserve">Luxoft </w:t>
      </w:r>
      <w:r w:rsidR="00A355B4" w:rsidRPr="0080046D">
        <w:rPr>
          <w:rFonts w:asciiTheme="minorHAnsi" w:eastAsia="Calibri" w:hAnsiTheme="minorHAnsi" w:cstheme="minorHAnsi"/>
        </w:rPr>
        <w:t>is a digital strategy and software engineering firm founded over</w:t>
      </w:r>
      <w:r w:rsidR="00A355B4">
        <w:rPr>
          <w:rFonts w:asciiTheme="minorHAnsi" w:eastAsia="Calibri" w:hAnsiTheme="minorHAnsi" w:cstheme="minorHAnsi"/>
        </w:rPr>
        <w:t xml:space="preserve"> 25 </w:t>
      </w:r>
      <w:r w:rsidR="00A355B4" w:rsidRPr="0080046D">
        <w:rPr>
          <w:rFonts w:asciiTheme="minorHAnsi" w:eastAsia="Calibri" w:hAnsiTheme="minorHAnsi" w:cstheme="minorHAnsi"/>
        </w:rPr>
        <w:t xml:space="preserve">years ago. </w:t>
      </w:r>
      <w:r w:rsidR="00A355B4">
        <w:rPr>
          <w:rFonts w:asciiTheme="minorHAnsi" w:eastAsia="Calibri" w:hAnsiTheme="minorHAnsi" w:cstheme="minorHAnsi"/>
        </w:rPr>
        <w:t xml:space="preserve">It has been part </w:t>
      </w:r>
      <w:r w:rsidR="00A355B4" w:rsidRPr="0080046D">
        <w:rPr>
          <w:rFonts w:asciiTheme="minorHAnsi" w:eastAsia="Calibri" w:hAnsiTheme="minorHAnsi" w:cstheme="minorHAnsi"/>
        </w:rPr>
        <w:t xml:space="preserve">of DXC Technology </w:t>
      </w:r>
      <w:r w:rsidR="00A355B4">
        <w:rPr>
          <w:rFonts w:asciiTheme="minorHAnsi" w:eastAsia="Calibri" w:hAnsiTheme="minorHAnsi" w:cstheme="minorHAnsi"/>
        </w:rPr>
        <w:t xml:space="preserve">since 2019. </w:t>
      </w:r>
    </w:p>
    <w:p w14:paraId="58F79587" w14:textId="41035042" w:rsidR="000A234C" w:rsidRPr="000A234C" w:rsidRDefault="000A234C" w:rsidP="000A234C">
      <w:pPr>
        <w:pStyle w:val="NormalnyWeb"/>
        <w:spacing w:line="276" w:lineRule="auto"/>
        <w:jc w:val="both"/>
        <w:rPr>
          <w:rFonts w:ascii="Calibri" w:hAnsi="Calibri" w:cs="Calibri"/>
          <w:color w:val="000000"/>
        </w:rPr>
      </w:pPr>
      <w:r w:rsidRPr="000A234C">
        <w:rPr>
          <w:rFonts w:ascii="Calibri" w:hAnsi="Calibri" w:cs="Calibri"/>
          <w:i/>
          <w:iCs/>
          <w:color w:val="000000"/>
        </w:rPr>
        <w:t>“We are particularly pleased when companies decide to stay with us for years to come. This is the best proof that an office today is not merely an address, but an element that supports day-</w:t>
      </w:r>
      <w:r w:rsidRPr="000A234C">
        <w:rPr>
          <w:rFonts w:ascii="Calibri" w:hAnsi="Calibri" w:cs="Calibri"/>
          <w:i/>
          <w:iCs/>
          <w:color w:val="000000"/>
        </w:rPr>
        <w:lastRenderedPageBreak/>
        <w:t>to-day work, organisational development and the employee experience</w:t>
      </w:r>
      <w:r w:rsidRPr="000A234C">
        <w:rPr>
          <w:rFonts w:ascii="Calibri" w:hAnsi="Calibri" w:cs="Calibri"/>
          <w:color w:val="000000"/>
        </w:rPr>
        <w:t xml:space="preserve">,” says </w:t>
      </w:r>
      <w:r w:rsidRPr="000A234C">
        <w:rPr>
          <w:rFonts w:ascii="Calibri" w:hAnsi="Calibri" w:cs="Calibri"/>
          <w:b/>
          <w:bCs/>
          <w:color w:val="000000"/>
        </w:rPr>
        <w:t>Michał Orłowski, Head of Leasing &amp; Asset Management at Karimpol Polska</w:t>
      </w:r>
      <w:r w:rsidRPr="000A234C">
        <w:rPr>
          <w:rFonts w:ascii="Calibri" w:hAnsi="Calibri" w:cs="Calibri"/>
          <w:color w:val="000000"/>
        </w:rPr>
        <w:t>.</w:t>
      </w:r>
    </w:p>
    <w:p w14:paraId="0946C5E6" w14:textId="456AD6A6" w:rsidR="00A355B4" w:rsidRPr="007B2857" w:rsidRDefault="000A234C" w:rsidP="007B2857">
      <w:pPr>
        <w:pStyle w:val="NormalnyWeb"/>
        <w:spacing w:line="276" w:lineRule="auto"/>
        <w:jc w:val="both"/>
        <w:rPr>
          <w:rFonts w:ascii="Calibri" w:hAnsi="Calibri" w:cs="Calibri"/>
          <w:color w:val="000000"/>
        </w:rPr>
      </w:pPr>
      <w:r w:rsidRPr="000A234C">
        <w:rPr>
          <w:rFonts w:ascii="Calibri" w:hAnsi="Calibri" w:cs="Calibri"/>
          <w:color w:val="000000"/>
        </w:rPr>
        <w:t>During the lease renegotiation process</w:t>
      </w:r>
      <w:r w:rsidRPr="007B2857">
        <w:rPr>
          <w:rFonts w:ascii="Calibri" w:hAnsi="Calibri" w:cs="Calibri"/>
          <w:color w:val="000000"/>
        </w:rPr>
        <w:t>,</w:t>
      </w:r>
      <w:r w:rsidRPr="000A234C">
        <w:rPr>
          <w:rFonts w:ascii="Calibri" w:hAnsi="Calibri" w:cs="Calibri"/>
          <w:color w:val="000000"/>
        </w:rPr>
        <w:t xml:space="preserve"> the tenant was represented </w:t>
      </w:r>
      <w:r w:rsidRPr="007B2857">
        <w:rPr>
          <w:rFonts w:ascii="Calibri" w:hAnsi="Calibri" w:cs="Calibri"/>
          <w:color w:val="000000"/>
        </w:rPr>
        <w:t>by JLL, whilst Argon Legal provided legal services on behalf of Karimpol Polska.</w:t>
      </w:r>
    </w:p>
    <w:p w14:paraId="4ECFDE40" w14:textId="3FFA327F" w:rsidR="00933EFA" w:rsidRPr="00933EFA" w:rsidRDefault="000A234C" w:rsidP="00306A75">
      <w:pPr>
        <w:pStyle w:val="Nagwek1"/>
        <w:spacing w:line="276" w:lineRule="auto"/>
        <w:ind w:right="-2"/>
        <w:jc w:val="both"/>
        <w:rPr>
          <w:rFonts w:ascii="Calibri" w:hAnsi="Calibri" w:cs="Calibri"/>
          <w:b w:val="0"/>
          <w:bCs/>
          <w:color w:val="000000"/>
          <w:sz w:val="24"/>
          <w:szCs w:val="24"/>
          <w:lang w:val="pl-PL"/>
        </w:rPr>
      </w:pPr>
      <w:r w:rsidRPr="000A234C">
        <w:rPr>
          <w:rFonts w:ascii="Calibri" w:hAnsi="Calibri" w:cs="Calibri"/>
          <w:b w:val="0"/>
          <w:bCs/>
          <w:color w:val="000000"/>
          <w:sz w:val="24"/>
          <w:szCs w:val="24"/>
          <w:lang w:val="pl-PL"/>
        </w:rPr>
        <w:t xml:space="preserve">Skyliner – one of the seven tallest office buildings in Poland (195 m) – was completed </w:t>
      </w:r>
      <w:r w:rsidR="007B2857">
        <w:rPr>
          <w:rFonts w:ascii="Calibri" w:hAnsi="Calibri" w:cs="Calibri"/>
          <w:b w:val="0"/>
          <w:bCs/>
          <w:color w:val="000000"/>
          <w:sz w:val="24"/>
          <w:szCs w:val="24"/>
          <w:lang w:val="pl-PL"/>
        </w:rPr>
        <w:br/>
      </w:r>
      <w:r w:rsidRPr="000A234C">
        <w:rPr>
          <w:rFonts w:ascii="Calibri" w:hAnsi="Calibri" w:cs="Calibri"/>
          <w:b w:val="0"/>
          <w:bCs/>
          <w:color w:val="000000"/>
          <w:sz w:val="24"/>
          <w:szCs w:val="24"/>
          <w:lang w:val="pl-PL"/>
        </w:rPr>
        <w:t xml:space="preserve">in January 2021 as the first part of the office complex. It holds a BREEAM Excellent certificate and is powered entirely by renewable energy sources. The total leasable office space is 45,000 sq m. Tenants of the complex’s first tower include: Aon, Bolt, Booksy, Capital.com, Coca-Cola Poland Services, Colonnade Insurance Poland Branch, X-Trade Brokers (XTB), DXC Technology, ENATA Bread, Falck, Greenville, </w:t>
      </w:r>
      <w:r w:rsidR="00933EFA">
        <w:rPr>
          <w:rFonts w:ascii="Calibri" w:hAnsi="Calibri" w:cs="Calibri"/>
          <w:b w:val="0"/>
          <w:bCs/>
          <w:color w:val="000000"/>
          <w:sz w:val="24"/>
          <w:szCs w:val="24"/>
          <w:lang w:val="pl-PL"/>
        </w:rPr>
        <w:t>Grid Dynamics, Mattel</w:t>
      </w:r>
      <w:r w:rsidRPr="000A234C">
        <w:rPr>
          <w:rFonts w:ascii="Calibri" w:hAnsi="Calibri" w:cs="Calibri"/>
          <w:b w:val="0"/>
          <w:bCs/>
          <w:color w:val="000000"/>
          <w:sz w:val="24"/>
          <w:szCs w:val="24"/>
          <w:lang w:val="pl-PL"/>
        </w:rPr>
        <w:t xml:space="preserve">, Meet &amp; Eat, Strategy, </w:t>
      </w:r>
      <w:r w:rsidR="00933EFA">
        <w:rPr>
          <w:rFonts w:ascii="Calibri" w:hAnsi="Calibri" w:cs="Calibri"/>
          <w:b w:val="0"/>
          <w:bCs/>
          <w:color w:val="000000"/>
          <w:sz w:val="24"/>
          <w:szCs w:val="24"/>
          <w:lang w:val="pl-PL"/>
        </w:rPr>
        <w:t xml:space="preserve">Luxoft,  MicroStrategy, </w:t>
      </w:r>
      <w:r w:rsidRPr="000A234C">
        <w:rPr>
          <w:rFonts w:ascii="Calibri" w:hAnsi="Calibri" w:cs="Calibri"/>
          <w:b w:val="0"/>
          <w:bCs/>
          <w:color w:val="000000"/>
          <w:sz w:val="24"/>
          <w:szCs w:val="24"/>
          <w:lang w:val="pl-PL"/>
        </w:rPr>
        <w:t xml:space="preserve">Noble Securities, Onwelo, Process Solutions, Tarkett, </w:t>
      </w:r>
      <w:r w:rsidR="00933EFA">
        <w:rPr>
          <w:rFonts w:ascii="Calibri" w:hAnsi="Calibri" w:cs="Calibri"/>
          <w:b w:val="0"/>
          <w:bCs/>
          <w:color w:val="000000"/>
          <w:sz w:val="24"/>
          <w:szCs w:val="24"/>
          <w:lang w:val="pl-PL"/>
        </w:rPr>
        <w:t>Wento, Werfen</w:t>
      </w:r>
      <w:r w:rsidRPr="000A234C">
        <w:rPr>
          <w:rFonts w:ascii="Calibri" w:hAnsi="Calibri" w:cs="Calibri"/>
          <w:b w:val="0"/>
          <w:bCs/>
          <w:color w:val="000000"/>
          <w:sz w:val="24"/>
          <w:szCs w:val="24"/>
          <w:lang w:val="pl-PL"/>
        </w:rPr>
        <w:t>, Vention, Villa Foksal (Look Up), Wento, global flexible office space operator Mindspace, and Xperi.</w:t>
      </w:r>
    </w:p>
    <w:p w14:paraId="19985715" w14:textId="77777777" w:rsidR="000A234C" w:rsidRDefault="000A234C" w:rsidP="000A234C">
      <w:pPr>
        <w:pStyle w:val="Nagwek1"/>
        <w:spacing w:line="276" w:lineRule="auto"/>
        <w:jc w:val="both"/>
        <w:rPr>
          <w:rFonts w:ascii="Calibri" w:hAnsi="Calibri" w:cs="Calibri"/>
          <w:b w:val="0"/>
          <w:bCs/>
          <w:color w:val="000000"/>
          <w:sz w:val="24"/>
          <w:szCs w:val="24"/>
          <w:lang w:val="pl-PL"/>
        </w:rPr>
      </w:pPr>
    </w:p>
    <w:p w14:paraId="3F4633C5" w14:textId="60D76265" w:rsidR="000A234C" w:rsidRPr="000A234C" w:rsidRDefault="000A234C" w:rsidP="00306A75">
      <w:pPr>
        <w:pStyle w:val="Nagwek1"/>
        <w:spacing w:line="276" w:lineRule="auto"/>
        <w:ind w:right="-2"/>
        <w:jc w:val="both"/>
        <w:rPr>
          <w:rFonts w:ascii="Calibri" w:hAnsi="Calibri" w:cs="Calibri"/>
          <w:b w:val="0"/>
          <w:bCs/>
          <w:color w:val="000000"/>
          <w:sz w:val="24"/>
          <w:szCs w:val="24"/>
          <w:lang w:val="pl-PL"/>
        </w:rPr>
      </w:pPr>
      <w:r w:rsidRPr="000A234C">
        <w:rPr>
          <w:rFonts w:ascii="Calibri" w:hAnsi="Calibri" w:cs="Calibri"/>
          <w:b w:val="0"/>
          <w:bCs/>
          <w:color w:val="000000"/>
          <w:sz w:val="24"/>
          <w:szCs w:val="24"/>
          <w:lang w:val="pl-PL"/>
        </w:rPr>
        <w:t xml:space="preserve">Construction of the second phase of the complex at Rondo Daszyńskiego has been underway since February 2024 and is scheduled for completion by the end of 2026. The second tower will be 130 metres tall, with 28 storeys and 24,000 sq m of lettable space. Most of the usable space – 23,000 sq m – will be allocated to offices. Retail and service premises on the ground floor of the building will occupy nearly 1,000 sq m. The standard floor area of an office floor will be approximately 1,100 sq m. Roof gardens will be created on the top floors of the building. Karimpol Polska has already received a BREEAM New Construction certificate at the Outstanding level for the building and – as with the first phase – plans to power the building using renewable energy sources. The main contractor for the project is WARBUD S.A., whilst the architectural design is being handled by the firm APA Wojciechowski Architekci. </w:t>
      </w:r>
      <w:r w:rsidR="00306A75">
        <w:rPr>
          <w:rFonts w:ascii="Calibri" w:hAnsi="Calibri" w:cs="Calibri"/>
          <w:b w:val="0"/>
          <w:bCs/>
          <w:color w:val="000000"/>
          <w:sz w:val="24"/>
          <w:szCs w:val="24"/>
          <w:lang w:val="pl-PL"/>
        </w:rPr>
        <w:br/>
      </w:r>
      <w:r w:rsidRPr="000A234C">
        <w:rPr>
          <w:rFonts w:ascii="Calibri" w:hAnsi="Calibri" w:cs="Calibri"/>
          <w:b w:val="0"/>
          <w:bCs/>
          <w:color w:val="000000"/>
          <w:sz w:val="24"/>
          <w:szCs w:val="24"/>
          <w:lang w:val="pl-PL"/>
        </w:rPr>
        <w:t>CBRE Poland is supporting the investor in the commercialisation of the second phase of the complex.</w:t>
      </w:r>
    </w:p>
    <w:p w14:paraId="360D655E" w14:textId="77777777" w:rsidR="007B5BFF" w:rsidRPr="007B5BFF" w:rsidRDefault="007B5BFF" w:rsidP="00E07819">
      <w:pPr>
        <w:pStyle w:val="Nagwek1"/>
        <w:rPr>
          <w:rStyle w:val="Pogrubienie"/>
          <w:rFonts w:ascii="Calibri" w:hAnsi="Calibri" w:cs="Calibri"/>
          <w:b/>
          <w:bCs w:val="0"/>
          <w:color w:val="000000"/>
          <w:sz w:val="24"/>
          <w:szCs w:val="24"/>
          <w:lang w:val="pl-PL"/>
        </w:rPr>
      </w:pPr>
    </w:p>
    <w:p w14:paraId="79853DC7" w14:textId="77777777" w:rsidR="003C3854" w:rsidRPr="00250C83" w:rsidRDefault="006D266B">
      <w:pPr>
        <w:spacing w:line="276" w:lineRule="auto"/>
        <w:jc w:val="both"/>
        <w:rPr>
          <w:rFonts w:ascii="Calibri" w:eastAsia="Calibri" w:hAnsi="Calibri" w:cs="Calibri"/>
          <w:b/>
          <w:color w:val="000000" w:themeColor="text1"/>
          <w:sz w:val="21"/>
          <w:szCs w:val="21"/>
        </w:rPr>
      </w:pPr>
      <w:r w:rsidRPr="00250C83">
        <w:rPr>
          <w:rFonts w:ascii="Calibri" w:eastAsia="Calibri" w:hAnsi="Calibri" w:cs="Calibri"/>
          <w:b/>
          <w:color w:val="000000" w:themeColor="text1"/>
          <w:sz w:val="21"/>
          <w:szCs w:val="21"/>
        </w:rPr>
        <w:t xml:space="preserve">Karimpol Polska Press Office: </w:t>
      </w:r>
    </w:p>
    <w:p w14:paraId="746D62FC" w14:textId="3DAF912A" w:rsidR="003C3854" w:rsidRPr="00250C83" w:rsidRDefault="00244D97">
      <w:pPr>
        <w:spacing w:line="276" w:lineRule="auto"/>
        <w:jc w:val="both"/>
        <w:rPr>
          <w:rFonts w:ascii="Calibri" w:eastAsia="Calibri" w:hAnsi="Calibri" w:cs="Calibri"/>
          <w:color w:val="000000" w:themeColor="text1"/>
          <w:sz w:val="21"/>
          <w:szCs w:val="21"/>
        </w:rPr>
      </w:pPr>
      <w:r w:rsidRPr="00250C83">
        <w:rPr>
          <w:rFonts w:ascii="Calibri" w:eastAsia="Calibri" w:hAnsi="Calibri" w:cs="Calibri"/>
          <w:color w:val="000000" w:themeColor="text1"/>
          <w:sz w:val="21"/>
          <w:szCs w:val="21"/>
        </w:rPr>
        <w:t>Lidia Piekarska-Juszczyk</w:t>
      </w:r>
    </w:p>
    <w:p w14:paraId="0620A6F9" w14:textId="3D844991" w:rsidR="00244D97" w:rsidRPr="00B73F69" w:rsidRDefault="00244D97">
      <w:pPr>
        <w:spacing w:line="276" w:lineRule="auto"/>
        <w:jc w:val="both"/>
        <w:rPr>
          <w:rFonts w:ascii="Calibri" w:eastAsia="Calibri" w:hAnsi="Calibri" w:cs="Calibri"/>
          <w:color w:val="000000" w:themeColor="text1"/>
          <w:sz w:val="21"/>
          <w:szCs w:val="21"/>
          <w:lang w:val="it-IT"/>
        </w:rPr>
      </w:pPr>
      <w:r w:rsidRPr="00B73F69">
        <w:rPr>
          <w:rFonts w:ascii="Calibri" w:eastAsia="Calibri" w:hAnsi="Calibri" w:cs="Calibri"/>
          <w:color w:val="000000" w:themeColor="text1"/>
          <w:sz w:val="21"/>
          <w:szCs w:val="21"/>
          <w:lang w:val="it-IT"/>
        </w:rPr>
        <w:t>email:</w:t>
      </w:r>
      <w:hyperlink r:id="rId9" w:history="1">
        <w:r w:rsidRPr="00B73F69">
          <w:rPr>
            <w:rStyle w:val="Hipercze"/>
            <w:rFonts w:ascii="Calibri" w:eastAsia="Calibri" w:hAnsi="Calibri" w:cs="Calibri"/>
            <w:color w:val="000000" w:themeColor="text1"/>
            <w:sz w:val="21"/>
            <w:szCs w:val="21"/>
            <w:lang w:val="it-IT"/>
          </w:rPr>
          <w:t>l.piekarska@bepr.pl</w:t>
        </w:r>
      </w:hyperlink>
      <w:r w:rsidRPr="00B73F69">
        <w:rPr>
          <w:rFonts w:ascii="Calibri" w:eastAsia="Calibri" w:hAnsi="Calibri" w:cs="Calibri"/>
          <w:color w:val="000000" w:themeColor="text1"/>
          <w:sz w:val="21"/>
          <w:szCs w:val="21"/>
          <w:lang w:val="it-IT"/>
        </w:rPr>
        <w:t xml:space="preserve"> </w:t>
      </w:r>
    </w:p>
    <w:p w14:paraId="44B94FAB" w14:textId="3EF952C9" w:rsidR="00244D97" w:rsidRPr="00250C83" w:rsidRDefault="00244D97">
      <w:pPr>
        <w:spacing w:line="276" w:lineRule="auto"/>
        <w:jc w:val="both"/>
        <w:rPr>
          <w:rFonts w:ascii="Calibri" w:eastAsia="Calibri" w:hAnsi="Calibri" w:cs="Calibri"/>
          <w:color w:val="000000" w:themeColor="text1"/>
          <w:sz w:val="21"/>
          <w:szCs w:val="21"/>
        </w:rPr>
      </w:pPr>
      <w:r w:rsidRPr="00250C83">
        <w:rPr>
          <w:rFonts w:ascii="Calibri" w:eastAsia="Calibri" w:hAnsi="Calibri" w:cs="Calibri"/>
          <w:color w:val="000000" w:themeColor="text1"/>
          <w:sz w:val="21"/>
          <w:szCs w:val="21"/>
        </w:rPr>
        <w:t>tel. 691 38 12 38</w:t>
      </w:r>
    </w:p>
    <w:p w14:paraId="237B5728" w14:textId="77777777" w:rsidR="003C3854" w:rsidRPr="00250C83" w:rsidRDefault="003C3854">
      <w:pPr>
        <w:spacing w:line="276" w:lineRule="auto"/>
        <w:jc w:val="both"/>
        <w:rPr>
          <w:rFonts w:ascii="Calibri" w:eastAsia="Calibri" w:hAnsi="Calibri" w:cs="Calibri"/>
          <w:color w:val="000000" w:themeColor="text1"/>
          <w:sz w:val="21"/>
          <w:szCs w:val="21"/>
        </w:rPr>
      </w:pPr>
    </w:p>
    <w:p w14:paraId="4DCB6BE0" w14:textId="77777777" w:rsidR="003C3854" w:rsidRPr="00250C83" w:rsidRDefault="003C3854">
      <w:pPr>
        <w:spacing w:line="276" w:lineRule="auto"/>
        <w:jc w:val="both"/>
        <w:rPr>
          <w:rFonts w:ascii="Calibri" w:eastAsia="Calibri" w:hAnsi="Calibri" w:cs="Calibri"/>
          <w:color w:val="000000" w:themeColor="text1"/>
          <w:sz w:val="22"/>
          <w:szCs w:val="22"/>
        </w:rPr>
      </w:pPr>
    </w:p>
    <w:p w14:paraId="0FF6621F" w14:textId="77777777" w:rsidR="003C3854" w:rsidRPr="00250C83" w:rsidRDefault="006D266B">
      <w:pPr>
        <w:spacing w:line="276" w:lineRule="auto"/>
        <w:jc w:val="center"/>
        <w:rPr>
          <w:rFonts w:ascii="Calibri" w:eastAsia="Calibri" w:hAnsi="Calibri" w:cs="Calibri"/>
          <w:color w:val="000000" w:themeColor="text1"/>
          <w:sz w:val="22"/>
          <w:szCs w:val="22"/>
        </w:rPr>
      </w:pPr>
      <w:r w:rsidRPr="00250C83">
        <w:rPr>
          <w:rFonts w:ascii="Calibri" w:eastAsia="Calibri" w:hAnsi="Calibri" w:cs="Calibri"/>
          <w:color w:val="000000" w:themeColor="text1"/>
          <w:sz w:val="22"/>
          <w:szCs w:val="22"/>
        </w:rPr>
        <w:t>***</w:t>
      </w:r>
    </w:p>
    <w:p w14:paraId="324EC7B6" w14:textId="66ED15DA" w:rsidR="005846C5" w:rsidRPr="00B73F69" w:rsidRDefault="006D266B">
      <w:pPr>
        <w:spacing w:line="276" w:lineRule="auto"/>
        <w:jc w:val="both"/>
        <w:rPr>
          <w:rFonts w:ascii="Calibri" w:eastAsia="Calibri" w:hAnsi="Calibri" w:cs="Calibri"/>
          <w:color w:val="000000" w:themeColor="text1"/>
          <w:sz w:val="18"/>
          <w:szCs w:val="18"/>
        </w:rPr>
      </w:pPr>
      <w:r w:rsidRPr="00250C83">
        <w:rPr>
          <w:rFonts w:ascii="Calibri" w:eastAsia="Calibri" w:hAnsi="Calibri" w:cs="Calibri"/>
          <w:b/>
          <w:color w:val="000000" w:themeColor="text1"/>
          <w:sz w:val="18"/>
          <w:szCs w:val="18"/>
        </w:rPr>
        <w:t xml:space="preserve">Karimpol Group </w:t>
      </w:r>
      <w:r w:rsidRPr="00250C83">
        <w:rPr>
          <w:rFonts w:ascii="Calibri" w:eastAsia="Calibri" w:hAnsi="Calibri" w:cs="Calibri"/>
          <w:color w:val="000000" w:themeColor="text1"/>
          <w:sz w:val="18"/>
          <w:szCs w:val="18"/>
          <w:shd w:val="clear" w:color="auto" w:fill="FEFEFE"/>
        </w:rPr>
        <w:t xml:space="preserve">is a property development company founded in 1991. Its aim is to build and let commercial premises in Central and Eastern Europe. Today, the Group operates in </w:t>
      </w:r>
      <w:r w:rsidR="0005056A">
        <w:rPr>
          <w:rFonts w:ascii="Calibri" w:eastAsia="Calibri" w:hAnsi="Calibri" w:cs="Calibri"/>
          <w:color w:val="000000" w:themeColor="text1"/>
          <w:sz w:val="18"/>
          <w:szCs w:val="18"/>
          <w:shd w:val="clear" w:color="auto" w:fill="FEFEFE"/>
        </w:rPr>
        <w:t xml:space="preserve">four </w:t>
      </w:r>
      <w:r w:rsidRPr="00250C83">
        <w:rPr>
          <w:rFonts w:ascii="Calibri" w:eastAsia="Calibri" w:hAnsi="Calibri" w:cs="Calibri"/>
          <w:color w:val="000000" w:themeColor="text1"/>
          <w:sz w:val="18"/>
          <w:szCs w:val="18"/>
          <w:shd w:val="clear" w:color="auto" w:fill="FEFEFE"/>
        </w:rPr>
        <w:t xml:space="preserve">countries in the region: Poland, the Czech Republic, Austria </w:t>
      </w:r>
      <w:r w:rsidR="0005056A">
        <w:rPr>
          <w:rFonts w:ascii="Calibri" w:eastAsia="Calibri" w:hAnsi="Calibri" w:cs="Calibri"/>
          <w:color w:val="000000" w:themeColor="text1"/>
          <w:sz w:val="18"/>
          <w:szCs w:val="18"/>
          <w:shd w:val="clear" w:color="auto" w:fill="FEFEFE"/>
        </w:rPr>
        <w:t xml:space="preserve">and </w:t>
      </w:r>
      <w:r w:rsidRPr="00250C83">
        <w:rPr>
          <w:rFonts w:ascii="Calibri" w:eastAsia="Calibri" w:hAnsi="Calibri" w:cs="Calibri"/>
          <w:color w:val="000000" w:themeColor="text1"/>
          <w:sz w:val="18"/>
          <w:szCs w:val="18"/>
          <w:shd w:val="clear" w:color="auto" w:fill="FEFEFE"/>
        </w:rPr>
        <w:t xml:space="preserve">Slovakia. The company’s Polish branch was opened in 1996. To date, Karimpol Polska has completed nine office projects in Warsaw: Stratos, Mistral, Passat, Taifun, Equator I, II, III and IV, as well as the Group’s largest and most prestigious project </w:t>
      </w:r>
      <w:r w:rsidR="009670E5">
        <w:rPr>
          <w:rFonts w:ascii="Calibri" w:eastAsia="Calibri" w:hAnsi="Calibri" w:cs="Calibri"/>
          <w:color w:val="000000" w:themeColor="text1"/>
          <w:sz w:val="18"/>
          <w:szCs w:val="18"/>
          <w:shd w:val="clear" w:color="auto" w:fill="FEFEFE"/>
        </w:rPr>
        <w:lastRenderedPageBreak/>
        <w:t xml:space="preserve">– the </w:t>
      </w:r>
      <w:r w:rsidRPr="00250C83">
        <w:rPr>
          <w:rFonts w:ascii="Calibri" w:eastAsia="Calibri" w:hAnsi="Calibri" w:cs="Calibri"/>
          <w:color w:val="000000" w:themeColor="text1"/>
          <w:sz w:val="18"/>
          <w:szCs w:val="18"/>
          <w:shd w:val="clear" w:color="auto" w:fill="FEFEFE"/>
        </w:rPr>
        <w:t xml:space="preserve">Skyliner </w:t>
      </w:r>
      <w:r w:rsidR="009670E5">
        <w:rPr>
          <w:rFonts w:ascii="Calibri" w:eastAsia="Calibri" w:hAnsi="Calibri" w:cs="Calibri"/>
          <w:color w:val="000000" w:themeColor="text1"/>
          <w:sz w:val="18"/>
          <w:szCs w:val="18"/>
          <w:shd w:val="clear" w:color="auto" w:fill="FEFEFE"/>
        </w:rPr>
        <w:t>office complex</w:t>
      </w:r>
      <w:r w:rsidRPr="00250C83">
        <w:rPr>
          <w:rFonts w:ascii="Calibri" w:eastAsia="Calibri" w:hAnsi="Calibri" w:cs="Calibri"/>
          <w:color w:val="000000" w:themeColor="text1"/>
          <w:sz w:val="18"/>
          <w:szCs w:val="18"/>
          <w:shd w:val="clear" w:color="auto" w:fill="FEFEFE"/>
        </w:rPr>
        <w:t>. The total lettable area of all developments in Poland amounts to nearly 200,000 sq m. Over more than 30 years of operation, the Karimpol Group has become one of the most efficiently run private property developers in Central and Eastern Europe.</w:t>
      </w:r>
    </w:p>
    <w:sectPr w:rsidR="005846C5" w:rsidRPr="00B73F69">
      <w:headerReference w:type="default" r:id="rId10"/>
      <w:footerReference w:type="default" r:id="rId11"/>
      <w:pgSz w:w="11906" w:h="16838"/>
      <w:pgMar w:top="1418"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682F9" w14:textId="77777777" w:rsidR="00815D16" w:rsidRDefault="00815D16">
      <w:r>
        <w:separator/>
      </w:r>
    </w:p>
  </w:endnote>
  <w:endnote w:type="continuationSeparator" w:id="0">
    <w:p w14:paraId="0FC9C127" w14:textId="77777777" w:rsidR="00815D16" w:rsidRDefault="00815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10F48A5-332B-C140-803B-DA6CD78058FF}"/>
  </w:font>
  <w:font w:name="Times New Roman">
    <w:panose1 w:val="02020603050405020304"/>
    <w:charset w:val="00"/>
    <w:family w:val="roman"/>
    <w:pitch w:val="variable"/>
    <w:sig w:usb0="E0002EFF" w:usb1="C000785B" w:usb2="00000009" w:usb3="00000000" w:csb0="000001FF" w:csb1="00000000"/>
    <w:embedRegular r:id="rId2" w:fontKey="{A90141A1-9E92-7C49-BF68-B9D80FB2391A}"/>
    <w:embedBold r:id="rId3" w:fontKey="{037101D8-DA53-6F4C-91D0-39877542B41E}"/>
    <w:embedItalic r:id="rId4" w:fontKey="{0FF68AD5-2622-C042-85A2-1BF36CA23D53}"/>
    <w:embedBoldItalic r:id="rId5" w:fontKey="{1CFA0A98-F515-7843-BA96-6CD313ED8D45}"/>
  </w:font>
  <w:font w:name="Courier New">
    <w:panose1 w:val="02070309020205020404"/>
    <w:charset w:val="00"/>
    <w:family w:val="modern"/>
    <w:pitch w:val="fixed"/>
    <w:sig w:usb0="E0002AFF" w:usb1="C0007843" w:usb2="00000009" w:usb3="00000000" w:csb0="000001FF" w:csb1="00000000"/>
    <w:embedRegular r:id="rId6" w:fontKey="{5B221F05-FE76-0549-A64D-2ED2EAC91B85}"/>
  </w:font>
  <w:font w:name="Wingdings">
    <w:panose1 w:val="05000000000000000000"/>
    <w:charset w:val="00"/>
    <w:family w:val="decorative"/>
    <w:pitch w:val="variable"/>
    <w:sig w:usb0="00000003" w:usb1="10000000" w:usb2="00000000" w:usb3="00000000" w:csb0="80000001" w:csb1="00000000"/>
    <w:embedRegular r:id="rId7" w:fontKey="{6625500F-73A2-084D-AB3B-E7B3170DDE8C}"/>
  </w:font>
  <w:font w:name="Garamond">
    <w:panose1 w:val="02020404030301010803"/>
    <w:charset w:val="00"/>
    <w:family w:val="roman"/>
    <w:pitch w:val="variable"/>
    <w:sig w:usb0="00000287" w:usb1="00000002" w:usb2="00000000" w:usb3="00000000" w:csb0="0000009F" w:csb1="00000000"/>
    <w:embedRegular r:id="rId8" w:fontKey="{324C3531-0177-A642-995D-893F270B2463}"/>
    <w:embedBold r:id="rId9" w:fontKey="{64E836FC-F339-8542-ACAB-A45222FDBF18}"/>
  </w:font>
  <w:font w:name="Arial">
    <w:panose1 w:val="020B0604020202020204"/>
    <w:charset w:val="00"/>
    <w:family w:val="swiss"/>
    <w:pitch w:val="variable"/>
    <w:sig w:usb0="E0002AFF" w:usb1="C0007843" w:usb2="00000009" w:usb3="00000000" w:csb0="000001FF" w:csb1="00000000"/>
    <w:embedRegular r:id="rId10" w:fontKey="{99165B2D-F24E-624D-8C01-51F4CE5ECAB4}"/>
    <w:embedBold r:id="rId11" w:fontKey="{67506BD3-6702-4242-A8A9-56DAA3B1D360}"/>
  </w:font>
  <w:font w:name="Calibri">
    <w:panose1 w:val="020F0502020204030204"/>
    <w:charset w:val="00"/>
    <w:family w:val="swiss"/>
    <w:pitch w:val="variable"/>
    <w:sig w:usb0="E0002AFF" w:usb1="C000247B" w:usb2="00000009" w:usb3="00000000" w:csb0="000001FF" w:csb1="00000000"/>
    <w:embedRegular r:id="rId12" w:fontKey="{87D7C455-F0A0-D040-976B-41C9C560B475}"/>
    <w:embedBold r:id="rId13" w:fontKey="{8B9E5849-7ABE-A949-8983-33971F0084CF}"/>
    <w:embedItalic r:id="rId14" w:fontKey="{52C01C70-C6E1-0346-8B24-AE5A732CF4F3}"/>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6" w:fontKey="{7A2CC7C3-13E9-C04C-9BD1-BBE2BFD8A98C}"/>
    <w:embedItalic r:id="rId17" w:fontKey="{471222DA-5D25-EA4A-9F9A-338A4B5A7FC5}"/>
  </w:font>
  <w:font w:name=".SF UI">
    <w:altName w:val="Cambria"/>
    <w:panose1 w:val="020B0604020202020204"/>
    <w:charset w:val="00"/>
    <w:family w:val="roman"/>
    <w:pitch w:val="default"/>
  </w:font>
  <w:font w:name=".SFUI-SemiboldItalic">
    <w:altName w:val="Cambria"/>
    <w:panose1 w:val="020B0604020202020204"/>
    <w:charset w:val="00"/>
    <w:family w:val="roman"/>
    <w:pitch w:val="default"/>
  </w:font>
  <w:font w:name=".SFUI-Semibold">
    <w:altName w:val="Cambria"/>
    <w:panose1 w:val="020B0604020202020204"/>
    <w:charset w:val="00"/>
    <w:family w:val="roman"/>
    <w:pitch w:val="default"/>
  </w:font>
  <w:font w:name=".SFUI-Heavy">
    <w:altName w:val="Cambria"/>
    <w:panose1 w:val="020B0604020202020204"/>
    <w:charset w:val="00"/>
    <w:family w:val="roman"/>
    <w:pitch w:val="default"/>
  </w:font>
  <w:font w:name="Calibri Light">
    <w:panose1 w:val="020F0302020204030204"/>
    <w:charset w:val="EE"/>
    <w:family w:val="swiss"/>
    <w:pitch w:val="variable"/>
    <w:sig w:usb0="E0002AFF" w:usb1="C000247B" w:usb2="00000009" w:usb3="00000000" w:csb0="000001FF" w:csb1="00000000"/>
    <w:embedRegular r:id="rId22" w:fontKey="{2BD564F1-3EB9-AA46-BD28-65666A189E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8F7A" w14:textId="77777777" w:rsidR="003C3854" w:rsidRDefault="006D266B">
    <w:pPr>
      <w:pBdr>
        <w:top w:val="single" w:sz="4" w:space="1" w:color="000000"/>
        <w:left w:val="nil"/>
        <w:bottom w:val="nil"/>
        <w:right w:val="nil"/>
        <w:between w:val="nil"/>
      </w:pBdr>
      <w:tabs>
        <w:tab w:val="center" w:pos="4536"/>
      </w:tabs>
      <w:ind w:right="-567"/>
      <w:rPr>
        <w:rFonts w:ascii="Arial" w:eastAsia="Arial" w:hAnsi="Arial" w:cs="Arial"/>
        <w:color w:val="0000FF"/>
        <w:sz w:val="16"/>
        <w:szCs w:val="16"/>
      </w:rPr>
    </w:pPr>
    <w:r>
      <w:rPr>
        <w:rFonts w:ascii="Arial" w:eastAsia="Arial" w:hAnsi="Arial" w:cs="Arial"/>
        <w:color w:val="0000FF"/>
        <w:sz w:val="16"/>
        <w:szCs w:val="16"/>
      </w:rPr>
      <w:tab/>
    </w:r>
  </w:p>
  <w:p w14:paraId="42FE1CBA" w14:textId="77777777" w:rsidR="003C3854" w:rsidRDefault="006D266B">
    <w:pPr>
      <w:pBdr>
        <w:top w:val="single" w:sz="4" w:space="1" w:color="000000"/>
        <w:left w:val="nil"/>
        <w:bottom w:val="nil"/>
        <w:right w:val="nil"/>
        <w:between w:val="nil"/>
      </w:pBdr>
      <w:tabs>
        <w:tab w:val="center" w:pos="4536"/>
      </w:tabs>
      <w:ind w:right="-567"/>
      <w:jc w:val="center"/>
      <w:rPr>
        <w:rFonts w:ascii="Arial" w:eastAsia="Arial" w:hAnsi="Arial" w:cs="Arial"/>
        <w:color w:val="000000"/>
        <w:sz w:val="16"/>
        <w:szCs w:val="16"/>
      </w:rPr>
    </w:pPr>
    <w:proofErr w:type="spellStart"/>
    <w:r>
      <w:rPr>
        <w:rFonts w:ascii="Arial" w:eastAsia="Arial" w:hAnsi="Arial" w:cs="Arial"/>
        <w:color w:val="000000"/>
        <w:sz w:val="16"/>
        <w:szCs w:val="16"/>
      </w:rPr>
      <w:t>Karimpol</w:t>
    </w:r>
    <w:proofErr w:type="spellEnd"/>
    <w:r>
      <w:rPr>
        <w:rFonts w:ascii="Arial" w:eastAsia="Arial" w:hAnsi="Arial" w:cs="Arial"/>
        <w:color w:val="000000"/>
        <w:sz w:val="16"/>
        <w:szCs w:val="16"/>
      </w:rPr>
      <w:t xml:space="preserve"> Polska Sp. z o.o.</w:t>
    </w:r>
  </w:p>
  <w:p w14:paraId="29A0EA82"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 xml:space="preserve">5 Ks. Skorupki </w:t>
    </w:r>
    <w:proofErr w:type="spellStart"/>
    <w:r>
      <w:rPr>
        <w:rFonts w:ascii="Arial" w:eastAsia="Arial" w:hAnsi="Arial" w:cs="Arial"/>
        <w:color w:val="000000"/>
        <w:sz w:val="16"/>
        <w:szCs w:val="16"/>
      </w:rPr>
      <w:t>Street</w:t>
    </w:r>
    <w:proofErr w:type="spellEnd"/>
    <w:r>
      <w:rPr>
        <w:rFonts w:ascii="Arial" w:eastAsia="Arial" w:hAnsi="Arial" w:cs="Arial"/>
        <w:color w:val="000000"/>
        <w:sz w:val="16"/>
        <w:szCs w:val="16"/>
      </w:rPr>
      <w:t xml:space="preserve">, 00-546 </w:t>
    </w:r>
    <w:proofErr w:type="spellStart"/>
    <w:r>
      <w:rPr>
        <w:rFonts w:ascii="Arial" w:eastAsia="Arial" w:hAnsi="Arial" w:cs="Arial"/>
        <w:color w:val="000000"/>
        <w:sz w:val="16"/>
        <w:szCs w:val="16"/>
      </w:rPr>
      <w:t>Warsaw</w:t>
    </w:r>
    <w:proofErr w:type="spellEnd"/>
  </w:p>
  <w:p w14:paraId="1D513606"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Tel. 22 58 37 200</w:t>
    </w:r>
  </w:p>
  <w:p w14:paraId="4F9251E1" w14:textId="77777777" w:rsidR="003C3854" w:rsidRDefault="006D266B">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78044" w14:textId="77777777" w:rsidR="00815D16" w:rsidRDefault="00815D16">
      <w:r>
        <w:separator/>
      </w:r>
    </w:p>
  </w:footnote>
  <w:footnote w:type="continuationSeparator" w:id="0">
    <w:p w14:paraId="4F4E4CE1" w14:textId="77777777" w:rsidR="00815D16" w:rsidRDefault="00815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C9F6" w14:textId="77777777" w:rsidR="003C3854" w:rsidRDefault="006D266B">
    <w:pPr>
      <w:pStyle w:val="Nagwek1"/>
      <w:tabs>
        <w:tab w:val="center" w:pos="4536"/>
      </w:tabs>
      <w:jc w:val="left"/>
      <w:rPr>
        <w:b w:val="0"/>
        <w:smallCaps/>
        <w:color w:val="0000FF"/>
      </w:rPr>
    </w:pPr>
    <w:r>
      <w:rPr>
        <w:b w:val="0"/>
        <w:smallCaps/>
        <w:noProof/>
        <w:color w:val="0000FF"/>
      </w:rPr>
      <w:drawing>
        <wp:inline distT="0" distB="0" distL="0" distR="0" wp14:anchorId="615138D9" wp14:editId="03FECA02">
          <wp:extent cx="1085850" cy="1076325"/>
          <wp:effectExtent l="0" t="0" r="0" b="0"/>
          <wp:docPr id="3" name="image1.jpg" descr="Karimpol logo"/>
          <wp:cNvGraphicFramePr/>
          <a:graphic xmlns:a="http://schemas.openxmlformats.org/drawingml/2006/main">
            <a:graphicData uri="http://schemas.openxmlformats.org/drawingml/2006/picture">
              <pic:pic xmlns:pic="http://schemas.openxmlformats.org/drawingml/2006/picture">
                <pic:nvPicPr>
                  <pic:cNvPr id="0" name="image1.jpg" descr="Karimpol logo"/>
                  <pic:cNvPicPr preferRelativeResize="0"/>
                </pic:nvPicPr>
                <pic:blipFill>
                  <a:blip r:embed="rId1"/>
                  <a:srcRect/>
                  <a:stretch>
                    <a:fillRect/>
                  </a:stretch>
                </pic:blipFill>
                <pic:spPr>
                  <a:xfrm>
                    <a:off x="0" y="0"/>
                    <a:ext cx="1085850" cy="1076325"/>
                  </a:xfrm>
                  <a:prstGeom prst="rect">
                    <a:avLst/>
                  </a:prstGeom>
                  <a:ln/>
                </pic:spPr>
              </pic:pic>
            </a:graphicData>
          </a:graphic>
        </wp:inline>
      </w:drawing>
    </w:r>
  </w:p>
  <w:p w14:paraId="26E1A907" w14:textId="77777777" w:rsidR="003C3854" w:rsidRDefault="003C38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1035AF"/>
    <w:multiLevelType w:val="multilevel"/>
    <w:tmpl w:val="52FE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4957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854"/>
    <w:rsid w:val="00002A9C"/>
    <w:rsid w:val="00015BAA"/>
    <w:rsid w:val="0005056A"/>
    <w:rsid w:val="00060920"/>
    <w:rsid w:val="000645CF"/>
    <w:rsid w:val="00073459"/>
    <w:rsid w:val="00075D9A"/>
    <w:rsid w:val="0009331C"/>
    <w:rsid w:val="000A234C"/>
    <w:rsid w:val="000A2D80"/>
    <w:rsid w:val="000A51CF"/>
    <w:rsid w:val="000C7A1C"/>
    <w:rsid w:val="000D4ABD"/>
    <w:rsid w:val="000D5C8A"/>
    <w:rsid w:val="00120C85"/>
    <w:rsid w:val="001426FE"/>
    <w:rsid w:val="00143B17"/>
    <w:rsid w:val="001670B4"/>
    <w:rsid w:val="00182C85"/>
    <w:rsid w:val="001842F6"/>
    <w:rsid w:val="00185679"/>
    <w:rsid w:val="00186605"/>
    <w:rsid w:val="001B632B"/>
    <w:rsid w:val="001F35E8"/>
    <w:rsid w:val="001F42DB"/>
    <w:rsid w:val="00200DD9"/>
    <w:rsid w:val="002159ED"/>
    <w:rsid w:val="0022300A"/>
    <w:rsid w:val="0022551F"/>
    <w:rsid w:val="00227EC1"/>
    <w:rsid w:val="002376AE"/>
    <w:rsid w:val="00244D97"/>
    <w:rsid w:val="00250C83"/>
    <w:rsid w:val="002512E1"/>
    <w:rsid w:val="0026541F"/>
    <w:rsid w:val="00273859"/>
    <w:rsid w:val="00280016"/>
    <w:rsid w:val="002C390D"/>
    <w:rsid w:val="002E7E53"/>
    <w:rsid w:val="002F1C13"/>
    <w:rsid w:val="002F2A50"/>
    <w:rsid w:val="00305B3E"/>
    <w:rsid w:val="00306A75"/>
    <w:rsid w:val="00306FC6"/>
    <w:rsid w:val="00323E15"/>
    <w:rsid w:val="00340A3F"/>
    <w:rsid w:val="0035450E"/>
    <w:rsid w:val="003573AC"/>
    <w:rsid w:val="00386C82"/>
    <w:rsid w:val="00392607"/>
    <w:rsid w:val="003B58A1"/>
    <w:rsid w:val="003C3854"/>
    <w:rsid w:val="003C6F96"/>
    <w:rsid w:val="003E6101"/>
    <w:rsid w:val="00407973"/>
    <w:rsid w:val="00412061"/>
    <w:rsid w:val="00430A31"/>
    <w:rsid w:val="00430E49"/>
    <w:rsid w:val="00432C7A"/>
    <w:rsid w:val="00443127"/>
    <w:rsid w:val="00464A8A"/>
    <w:rsid w:val="0046786B"/>
    <w:rsid w:val="004849C6"/>
    <w:rsid w:val="00484F46"/>
    <w:rsid w:val="004A5924"/>
    <w:rsid w:val="004B1281"/>
    <w:rsid w:val="004B1BB5"/>
    <w:rsid w:val="004B3E55"/>
    <w:rsid w:val="004B3ED8"/>
    <w:rsid w:val="004B57DF"/>
    <w:rsid w:val="004D2E54"/>
    <w:rsid w:val="004D6A72"/>
    <w:rsid w:val="005139B2"/>
    <w:rsid w:val="00523AC9"/>
    <w:rsid w:val="00534976"/>
    <w:rsid w:val="00542604"/>
    <w:rsid w:val="00545429"/>
    <w:rsid w:val="005613F1"/>
    <w:rsid w:val="00563DA4"/>
    <w:rsid w:val="005846C5"/>
    <w:rsid w:val="005A1F53"/>
    <w:rsid w:val="005C41D0"/>
    <w:rsid w:val="005C5818"/>
    <w:rsid w:val="005C7F8A"/>
    <w:rsid w:val="005D484C"/>
    <w:rsid w:val="005D4C80"/>
    <w:rsid w:val="005D76D2"/>
    <w:rsid w:val="005F6C15"/>
    <w:rsid w:val="00610544"/>
    <w:rsid w:val="00615795"/>
    <w:rsid w:val="006269DD"/>
    <w:rsid w:val="006405EF"/>
    <w:rsid w:val="00646A27"/>
    <w:rsid w:val="00656A13"/>
    <w:rsid w:val="00665DE8"/>
    <w:rsid w:val="00681DDB"/>
    <w:rsid w:val="0068260F"/>
    <w:rsid w:val="006B4217"/>
    <w:rsid w:val="006D266B"/>
    <w:rsid w:val="006E7803"/>
    <w:rsid w:val="00704C64"/>
    <w:rsid w:val="00714E78"/>
    <w:rsid w:val="007161BC"/>
    <w:rsid w:val="00722203"/>
    <w:rsid w:val="00727EB1"/>
    <w:rsid w:val="00732DA5"/>
    <w:rsid w:val="00763800"/>
    <w:rsid w:val="00772BD3"/>
    <w:rsid w:val="00794BBE"/>
    <w:rsid w:val="007A392E"/>
    <w:rsid w:val="007A4C2B"/>
    <w:rsid w:val="007B2857"/>
    <w:rsid w:val="007B5BFF"/>
    <w:rsid w:val="007C0028"/>
    <w:rsid w:val="007D193A"/>
    <w:rsid w:val="007E29EC"/>
    <w:rsid w:val="008039FE"/>
    <w:rsid w:val="00815D16"/>
    <w:rsid w:val="00821945"/>
    <w:rsid w:val="008452F0"/>
    <w:rsid w:val="008863A7"/>
    <w:rsid w:val="008A02BF"/>
    <w:rsid w:val="008A34DA"/>
    <w:rsid w:val="008A7B6F"/>
    <w:rsid w:val="008C6FB2"/>
    <w:rsid w:val="008D1565"/>
    <w:rsid w:val="008E1AC4"/>
    <w:rsid w:val="009069C3"/>
    <w:rsid w:val="0090745A"/>
    <w:rsid w:val="009102A0"/>
    <w:rsid w:val="00916E19"/>
    <w:rsid w:val="0092477F"/>
    <w:rsid w:val="0092521E"/>
    <w:rsid w:val="009262BB"/>
    <w:rsid w:val="00933EFA"/>
    <w:rsid w:val="00952ECD"/>
    <w:rsid w:val="00955684"/>
    <w:rsid w:val="00965CF3"/>
    <w:rsid w:val="009670E5"/>
    <w:rsid w:val="00986B33"/>
    <w:rsid w:val="009A1BD0"/>
    <w:rsid w:val="009D31C7"/>
    <w:rsid w:val="009F0663"/>
    <w:rsid w:val="00A04E39"/>
    <w:rsid w:val="00A07D78"/>
    <w:rsid w:val="00A261DE"/>
    <w:rsid w:val="00A355B4"/>
    <w:rsid w:val="00A41B9D"/>
    <w:rsid w:val="00A60558"/>
    <w:rsid w:val="00A67109"/>
    <w:rsid w:val="00A71975"/>
    <w:rsid w:val="00A76EB7"/>
    <w:rsid w:val="00A85AA5"/>
    <w:rsid w:val="00A85CE8"/>
    <w:rsid w:val="00AD7330"/>
    <w:rsid w:val="00AD7489"/>
    <w:rsid w:val="00AE054F"/>
    <w:rsid w:val="00B27547"/>
    <w:rsid w:val="00B3414F"/>
    <w:rsid w:val="00B34F52"/>
    <w:rsid w:val="00B73F69"/>
    <w:rsid w:val="00B973AD"/>
    <w:rsid w:val="00BC4CF9"/>
    <w:rsid w:val="00BF2970"/>
    <w:rsid w:val="00C019A0"/>
    <w:rsid w:val="00C04394"/>
    <w:rsid w:val="00C24BDB"/>
    <w:rsid w:val="00C31C69"/>
    <w:rsid w:val="00C65A7B"/>
    <w:rsid w:val="00C771E3"/>
    <w:rsid w:val="00CA3FE6"/>
    <w:rsid w:val="00CB0042"/>
    <w:rsid w:val="00D105CE"/>
    <w:rsid w:val="00D2718C"/>
    <w:rsid w:val="00D64DD0"/>
    <w:rsid w:val="00D9164F"/>
    <w:rsid w:val="00DA6EEA"/>
    <w:rsid w:val="00DD3FA2"/>
    <w:rsid w:val="00DD56CF"/>
    <w:rsid w:val="00DF54A8"/>
    <w:rsid w:val="00E029AF"/>
    <w:rsid w:val="00E07819"/>
    <w:rsid w:val="00E1570E"/>
    <w:rsid w:val="00E31C13"/>
    <w:rsid w:val="00E413B1"/>
    <w:rsid w:val="00E46A6E"/>
    <w:rsid w:val="00E7120D"/>
    <w:rsid w:val="00EA2F17"/>
    <w:rsid w:val="00EC7541"/>
    <w:rsid w:val="00ED0D0F"/>
    <w:rsid w:val="00EE1BDD"/>
    <w:rsid w:val="00F1108D"/>
    <w:rsid w:val="00F221BB"/>
    <w:rsid w:val="00F44CD3"/>
    <w:rsid w:val="00F50E70"/>
    <w:rsid w:val="00F961FB"/>
    <w:rsid w:val="00FA5EFC"/>
    <w:rsid w:val="00FB0270"/>
    <w:rsid w:val="00FD3CD6"/>
    <w:rsid w:val="00FE0F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ADB6"/>
  <w15:docId w15:val="{76BAD542-49B7-D448-859C-E748C3C8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1C5D"/>
  </w:style>
  <w:style w:type="paragraph" w:styleId="Nagwek1">
    <w:name w:val="heading 1"/>
    <w:basedOn w:val="Normalny"/>
    <w:next w:val="Normalny"/>
    <w:link w:val="Nagwek1Znak"/>
    <w:uiPriority w:val="9"/>
    <w:qFormat/>
    <w:pPr>
      <w:keepNext/>
      <w:ind w:right="-567"/>
      <w:jc w:val="center"/>
      <w:outlineLvl w:val="0"/>
    </w:pPr>
    <w:rPr>
      <w:rFonts w:ascii="Garamond" w:hAnsi="Garamond"/>
      <w:b/>
      <w:sz w:val="52"/>
      <w:szCs w:val="20"/>
      <w:lang w:val="en-US"/>
    </w:rPr>
  </w:style>
  <w:style w:type="paragraph" w:styleId="Nagwek2">
    <w:name w:val="heading 2"/>
    <w:basedOn w:val="Normalny"/>
    <w:next w:val="Normalny"/>
    <w:link w:val="Nagwek2Znak"/>
    <w:uiPriority w:val="9"/>
    <w:semiHidden/>
    <w:unhideWhenUsed/>
    <w:qFormat/>
    <w:pPr>
      <w:keepNext/>
      <w:ind w:right="-567"/>
      <w:outlineLvl w:val="1"/>
    </w:pPr>
    <w:rPr>
      <w:rFonts w:ascii="Arial" w:hAnsi="Arial"/>
      <w:b/>
      <w:sz w:val="20"/>
      <w:szCs w:val="20"/>
      <w:lang w:val="en-US"/>
    </w:rPr>
  </w:style>
  <w:style w:type="paragraph" w:styleId="Nagwek3">
    <w:name w:val="heading 3"/>
    <w:basedOn w:val="Normalny"/>
    <w:next w:val="Normalny"/>
    <w:uiPriority w:val="9"/>
    <w:semiHidden/>
    <w:unhideWhenUsed/>
    <w:qFormat/>
    <w:pPr>
      <w:keepNext/>
      <w:ind w:left="284" w:right="-567"/>
      <w:jc w:val="center"/>
      <w:outlineLvl w:val="2"/>
    </w:pPr>
    <w:rPr>
      <w:rFonts w:ascii="Arial" w:hAnsi="Arial"/>
      <w:b/>
      <w:lang w:val="en-US"/>
    </w:rPr>
  </w:style>
  <w:style w:type="paragraph" w:styleId="Nagwek4">
    <w:name w:val="heading 4"/>
    <w:basedOn w:val="Normalny"/>
    <w:next w:val="Normalny"/>
    <w:uiPriority w:val="9"/>
    <w:semiHidden/>
    <w:unhideWhenUsed/>
    <w:qFormat/>
    <w:pPr>
      <w:keepNext/>
      <w:ind w:right="-2"/>
      <w:outlineLvl w:val="3"/>
    </w:pPr>
    <w:rPr>
      <w:rFonts w:ascii="Arial" w:hAnsi="Arial"/>
      <w:b/>
      <w:sz w:val="22"/>
      <w:lang w:val="en-US"/>
    </w:rPr>
  </w:style>
  <w:style w:type="paragraph" w:styleId="Nagwek5">
    <w:name w:val="heading 5"/>
    <w:basedOn w:val="Normalny"/>
    <w:next w:val="Normalny"/>
    <w:uiPriority w:val="9"/>
    <w:semiHidden/>
    <w:unhideWhenUsed/>
    <w:qFormat/>
    <w:pPr>
      <w:keepNext/>
      <w:outlineLvl w:val="4"/>
    </w:pPr>
  </w:style>
  <w:style w:type="paragraph" w:styleId="Nagwek6">
    <w:name w:val="heading 6"/>
    <w:basedOn w:val="Normalny"/>
    <w:next w:val="Normalny"/>
    <w:uiPriority w:val="9"/>
    <w:semiHidden/>
    <w:unhideWhenUsed/>
    <w:qFormat/>
    <w:pPr>
      <w:keepNext/>
      <w:jc w:val="both"/>
      <w:outlineLvl w:val="5"/>
    </w:pPr>
    <w:rPr>
      <w:b/>
    </w:rPr>
  </w:style>
  <w:style w:type="paragraph" w:styleId="Nagwek7">
    <w:name w:val="heading 7"/>
    <w:basedOn w:val="Normalny"/>
    <w:next w:val="Normalny"/>
    <w:qFormat/>
    <w:pPr>
      <w:keepNext/>
      <w:ind w:right="-567"/>
      <w:jc w:val="center"/>
      <w:outlineLvl w:val="6"/>
    </w:pPr>
    <w:rPr>
      <w:rFonts w:ascii="Arial" w:hAnsi="Arial"/>
      <w:b/>
      <w:sz w:val="22"/>
      <w:szCs w:val="20"/>
      <w:lang w:val="en-US"/>
    </w:rPr>
  </w:style>
  <w:style w:type="paragraph" w:styleId="Nagwek8">
    <w:name w:val="heading 8"/>
    <w:basedOn w:val="Normalny"/>
    <w:next w:val="Normalny"/>
    <w:qFormat/>
    <w:pPr>
      <w:keepNext/>
      <w:ind w:right="-567"/>
      <w:jc w:val="center"/>
      <w:outlineLvl w:val="7"/>
    </w:pPr>
    <w:rPr>
      <w:rFonts w:ascii="Arial" w:hAnsi="Arial"/>
      <w:szCs w:val="20"/>
      <w:lang w:val="en-US"/>
    </w:rPr>
  </w:style>
  <w:style w:type="paragraph" w:styleId="Nagwek9">
    <w:name w:val="heading 9"/>
    <w:basedOn w:val="Normalny"/>
    <w:next w:val="Normalny"/>
    <w:qFormat/>
    <w:pPr>
      <w:keepNext/>
      <w:ind w:left="284" w:right="-2"/>
      <w:outlineLvl w:val="8"/>
    </w:pPr>
    <w:rPr>
      <w:rFonts w:ascii="Arial" w:hAnsi="Arial"/>
      <w:b/>
      <w:sz w:val="22"/>
      <w:szCs w:val="20"/>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lang w:val="de-DE"/>
    </w:rPr>
  </w:style>
  <w:style w:type="table" w:customStyle="1" w:styleId="TableNormal2">
    <w:name w:val="Table Normal2"/>
    <w:tblPr>
      <w:tblCellMar>
        <w:top w:w="0" w:type="dxa"/>
        <w:left w:w="0" w:type="dxa"/>
        <w:bottom w:w="0" w:type="dxa"/>
        <w:right w:w="0" w:type="dxa"/>
      </w:tblCellMar>
    </w:tblPr>
  </w:style>
  <w:style w:type="paragraph" w:styleId="Tekstpodstawowy">
    <w:name w:val="Body Text"/>
    <w:basedOn w:val="Normalny"/>
    <w:pPr>
      <w:ind w:right="-567"/>
    </w:pPr>
    <w:rPr>
      <w:rFonts w:ascii="Arial" w:hAnsi="Arial"/>
      <w:b/>
      <w:sz w:val="20"/>
      <w:szCs w:val="20"/>
      <w:u w:val="single"/>
      <w:lang w:val="en-US"/>
    </w:rPr>
  </w:style>
  <w:style w:type="paragraph" w:styleId="Nagwek">
    <w:name w:val="header"/>
    <w:basedOn w:val="Normalny"/>
    <w:pPr>
      <w:tabs>
        <w:tab w:val="center" w:pos="4536"/>
        <w:tab w:val="right" w:pos="9072"/>
      </w:tabs>
    </w:pPr>
    <w:rPr>
      <w:sz w:val="20"/>
      <w:szCs w:val="20"/>
      <w:lang w:val="de-DE"/>
    </w:rPr>
  </w:style>
  <w:style w:type="paragraph" w:styleId="Stopka">
    <w:name w:val="footer"/>
    <w:basedOn w:val="Normalny"/>
    <w:pPr>
      <w:tabs>
        <w:tab w:val="center" w:pos="4536"/>
        <w:tab w:val="right" w:pos="9072"/>
      </w:tabs>
    </w:pPr>
    <w:rPr>
      <w:sz w:val="20"/>
      <w:szCs w:val="20"/>
      <w:lang w:val="de-DE"/>
    </w:rPr>
  </w:style>
  <w:style w:type="paragraph" w:styleId="Tekstblokowy">
    <w:name w:val="Block Text"/>
    <w:basedOn w:val="Normalny"/>
    <w:pPr>
      <w:ind w:left="284" w:right="-567"/>
      <w:jc w:val="both"/>
    </w:pPr>
    <w:rPr>
      <w:rFonts w:ascii="Arial" w:hAnsi="Arial"/>
      <w:sz w:val="22"/>
      <w:szCs w:val="20"/>
    </w:rPr>
  </w:style>
  <w:style w:type="paragraph" w:styleId="Tekstpodstawowy2">
    <w:name w:val="Body Text 2"/>
    <w:basedOn w:val="Normalny"/>
    <w:pPr>
      <w:ind w:right="-2"/>
      <w:jc w:val="both"/>
    </w:pPr>
    <w:rPr>
      <w:rFonts w:ascii="Arial" w:hAnsi="Arial"/>
      <w:sz w:val="20"/>
      <w:szCs w:val="20"/>
      <w:lang w:val="en-US"/>
    </w:rPr>
  </w:style>
  <w:style w:type="paragraph" w:styleId="Tekstpodstawowy3">
    <w:name w:val="Body Text 3"/>
    <w:basedOn w:val="Normalny"/>
    <w:pPr>
      <w:ind w:right="-2"/>
      <w:jc w:val="both"/>
    </w:pPr>
    <w:rPr>
      <w:rFonts w:ascii="Arial" w:hAnsi="Arial"/>
      <w:sz w:val="22"/>
      <w:szCs w:val="20"/>
      <w:lang w:val="en-US"/>
    </w:rPr>
  </w:style>
  <w:style w:type="character" w:styleId="Hipercze">
    <w:name w:val="Hyperlink"/>
    <w:uiPriority w:val="99"/>
    <w:unhideWhenUsed/>
    <w:rsid w:val="004015DB"/>
    <w:rPr>
      <w:color w:val="0000FF"/>
      <w:u w:val="single"/>
    </w:rPr>
  </w:style>
  <w:style w:type="paragraph" w:customStyle="1" w:styleId="redniasiatka1akcent21">
    <w:name w:val="Średnia siatka 1 — akcent 21"/>
    <w:basedOn w:val="Normalny"/>
    <w:uiPriority w:val="34"/>
    <w:qFormat/>
    <w:rsid w:val="004015DB"/>
    <w:pPr>
      <w:spacing w:after="200" w:line="276" w:lineRule="auto"/>
      <w:ind w:left="720"/>
      <w:contextualSpacing/>
    </w:pPr>
    <w:rPr>
      <w:rFonts w:ascii="Calibri" w:eastAsia="Calibri" w:hAnsi="Calibri"/>
      <w:sz w:val="22"/>
      <w:szCs w:val="22"/>
      <w:lang w:eastAsia="en-US"/>
    </w:rPr>
  </w:style>
  <w:style w:type="character" w:styleId="Odwoaniedokomentarza">
    <w:name w:val="annotation reference"/>
    <w:uiPriority w:val="99"/>
    <w:unhideWhenUsed/>
    <w:rsid w:val="004015DB"/>
    <w:rPr>
      <w:sz w:val="18"/>
      <w:szCs w:val="18"/>
    </w:rPr>
  </w:style>
  <w:style w:type="paragraph" w:styleId="Tekstkomentarza">
    <w:name w:val="annotation text"/>
    <w:basedOn w:val="Normalny"/>
    <w:link w:val="TekstkomentarzaZnak"/>
    <w:uiPriority w:val="99"/>
    <w:unhideWhenUsed/>
    <w:rsid w:val="004015DB"/>
    <w:pPr>
      <w:spacing w:after="200"/>
    </w:pPr>
    <w:rPr>
      <w:rFonts w:ascii="Calibri" w:eastAsia="Calibri" w:hAnsi="Calibri"/>
      <w:lang w:eastAsia="en-US"/>
    </w:rPr>
  </w:style>
  <w:style w:type="character" w:customStyle="1" w:styleId="TekstkomentarzaZnak">
    <w:name w:val="Tekst komentarza Znak"/>
    <w:link w:val="Tekstkomentarza"/>
    <w:uiPriority w:val="99"/>
    <w:rsid w:val="004015DB"/>
    <w:rPr>
      <w:rFonts w:ascii="Calibri" w:eastAsia="Calibri" w:hAnsi="Calibri"/>
      <w:sz w:val="24"/>
      <w:szCs w:val="24"/>
      <w:lang w:eastAsia="en-US"/>
    </w:rPr>
  </w:style>
  <w:style w:type="paragraph" w:styleId="Tekstdymka">
    <w:name w:val="Balloon Text"/>
    <w:basedOn w:val="Normalny"/>
    <w:link w:val="TekstdymkaZnak"/>
    <w:rsid w:val="004015DB"/>
    <w:rPr>
      <w:rFonts w:ascii="Lucida Grande" w:hAnsi="Lucida Grande" w:cs="Lucida Grande"/>
      <w:sz w:val="18"/>
      <w:szCs w:val="18"/>
      <w:lang w:val="de-DE"/>
    </w:rPr>
  </w:style>
  <w:style w:type="character" w:customStyle="1" w:styleId="TekstdymkaZnak">
    <w:name w:val="Tekst dymka Znak"/>
    <w:link w:val="Tekstdymka"/>
    <w:rsid w:val="004015DB"/>
    <w:rPr>
      <w:rFonts w:ascii="Lucida Grande" w:hAnsi="Lucida Grande" w:cs="Lucida Grande"/>
      <w:sz w:val="18"/>
      <w:szCs w:val="18"/>
      <w:lang w:val="de-DE"/>
    </w:rPr>
  </w:style>
  <w:style w:type="character" w:styleId="UyteHipercze">
    <w:name w:val="FollowedHyperlink"/>
    <w:rsid w:val="00B326F9"/>
    <w:rPr>
      <w:color w:val="800080"/>
      <w:u w:val="single"/>
    </w:rPr>
  </w:style>
  <w:style w:type="paragraph" w:styleId="Tematkomentarza">
    <w:name w:val="annotation subject"/>
    <w:basedOn w:val="Tekstkomentarza"/>
    <w:next w:val="Tekstkomentarza"/>
    <w:link w:val="TematkomentarzaZnak"/>
    <w:rsid w:val="00744962"/>
    <w:pPr>
      <w:spacing w:after="0"/>
    </w:pPr>
    <w:rPr>
      <w:rFonts w:ascii="Times New Roman" w:eastAsia="Times New Roman" w:hAnsi="Times New Roman"/>
      <w:b/>
      <w:bCs/>
      <w:sz w:val="20"/>
      <w:szCs w:val="20"/>
      <w:lang w:val="de-DE" w:eastAsia="pl-PL"/>
    </w:rPr>
  </w:style>
  <w:style w:type="character" w:customStyle="1" w:styleId="TematkomentarzaZnak">
    <w:name w:val="Temat komentarza Znak"/>
    <w:link w:val="Tematkomentarza"/>
    <w:rsid w:val="00744962"/>
    <w:rPr>
      <w:rFonts w:ascii="Calibri" w:eastAsia="Calibri" w:hAnsi="Calibri"/>
      <w:b/>
      <w:bCs/>
      <w:sz w:val="24"/>
      <w:szCs w:val="24"/>
      <w:lang w:val="de-DE" w:eastAsia="en-US"/>
    </w:rPr>
  </w:style>
  <w:style w:type="character" w:customStyle="1" w:styleId="Nierozpoznanawzmianka1">
    <w:name w:val="Nierozpoznana wzmianka1"/>
    <w:uiPriority w:val="99"/>
    <w:semiHidden/>
    <w:unhideWhenUsed/>
    <w:rsid w:val="00626FDA"/>
    <w:rPr>
      <w:color w:val="808080"/>
      <w:shd w:val="clear" w:color="auto" w:fill="E6E6E6"/>
    </w:rPr>
  </w:style>
  <w:style w:type="paragraph" w:styleId="Tekstprzypisukocowego">
    <w:name w:val="endnote text"/>
    <w:basedOn w:val="Normalny"/>
    <w:link w:val="TekstprzypisukocowegoZnak"/>
    <w:rsid w:val="00587591"/>
    <w:rPr>
      <w:lang w:val="de-DE"/>
    </w:rPr>
  </w:style>
  <w:style w:type="character" w:customStyle="1" w:styleId="TekstprzypisukocowegoZnak">
    <w:name w:val="Tekst przypisu końcowego Znak"/>
    <w:link w:val="Tekstprzypisukocowego"/>
    <w:rsid w:val="00587591"/>
    <w:rPr>
      <w:sz w:val="24"/>
      <w:szCs w:val="24"/>
      <w:lang w:val="de-DE"/>
    </w:rPr>
  </w:style>
  <w:style w:type="character" w:styleId="Odwoanieprzypisukocowego">
    <w:name w:val="endnote reference"/>
    <w:rsid w:val="00587591"/>
    <w:rPr>
      <w:vertAlign w:val="superscript"/>
    </w:rPr>
  </w:style>
  <w:style w:type="character" w:customStyle="1" w:styleId="apple-converted-space">
    <w:name w:val="apple-converted-space"/>
    <w:basedOn w:val="Domylnaczcionkaakapitu"/>
    <w:rsid w:val="00E2540B"/>
  </w:style>
  <w:style w:type="character" w:customStyle="1" w:styleId="Nagwek1Znak">
    <w:name w:val="Nagłówek 1 Znak"/>
    <w:link w:val="Nagwek1"/>
    <w:rsid w:val="007A1604"/>
    <w:rPr>
      <w:rFonts w:ascii="Garamond" w:hAnsi="Garamond"/>
      <w:b/>
      <w:sz w:val="52"/>
      <w:lang w:val="en-US"/>
    </w:rPr>
  </w:style>
  <w:style w:type="character" w:customStyle="1" w:styleId="Nagwek2Znak">
    <w:name w:val="Nagłówek 2 Znak"/>
    <w:link w:val="Nagwek2"/>
    <w:rsid w:val="007A1604"/>
    <w:rPr>
      <w:rFonts w:ascii="Arial" w:hAnsi="Arial"/>
      <w:b/>
      <w:lang w:val="en-US"/>
    </w:rPr>
  </w:style>
  <w:style w:type="paragraph" w:styleId="NormalnyWeb">
    <w:name w:val="Normal (Web)"/>
    <w:basedOn w:val="Normalny"/>
    <w:uiPriority w:val="99"/>
    <w:unhideWhenUsed/>
    <w:rsid w:val="008D7CD3"/>
    <w:pPr>
      <w:spacing w:before="100" w:beforeAutospacing="1" w:after="100" w:afterAutospacing="1"/>
    </w:pPr>
  </w:style>
  <w:style w:type="paragraph" w:styleId="HTML-wstpniesformatowany">
    <w:name w:val="HTML Preformatted"/>
    <w:basedOn w:val="Normalny"/>
    <w:link w:val="HTML-wstpniesformatowanyZnak"/>
    <w:uiPriority w:val="99"/>
    <w:unhideWhenUsed/>
    <w:rsid w:val="00B00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link w:val="HTML-wstpniesformatowany"/>
    <w:uiPriority w:val="99"/>
    <w:rsid w:val="00B0096C"/>
    <w:rPr>
      <w:rFonts w:ascii="Courier New" w:hAnsi="Courier New" w:cs="Courier New"/>
    </w:rPr>
  </w:style>
  <w:style w:type="paragraph" w:styleId="Akapitzlist">
    <w:name w:val="List Paragraph"/>
    <w:basedOn w:val="Normalny"/>
    <w:uiPriority w:val="72"/>
    <w:qFormat/>
    <w:rsid w:val="00E25D46"/>
    <w:pPr>
      <w:ind w:left="720"/>
      <w:contextualSpacing/>
    </w:pPr>
    <w:rPr>
      <w:sz w:val="20"/>
      <w:szCs w:val="20"/>
      <w:lang w:val="de-D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Nierozpoznanawzmianka">
    <w:name w:val="Unresolved Mention"/>
    <w:basedOn w:val="Domylnaczcionkaakapitu"/>
    <w:uiPriority w:val="99"/>
    <w:semiHidden/>
    <w:unhideWhenUsed/>
    <w:rsid w:val="00182516"/>
    <w:rPr>
      <w:color w:val="605E5C"/>
      <w:shd w:val="clear" w:color="auto" w:fill="E1DFDD"/>
    </w:rPr>
  </w:style>
  <w:style w:type="character" w:styleId="Pogrubienie">
    <w:name w:val="Strong"/>
    <w:basedOn w:val="Domylnaczcionkaakapitu"/>
    <w:uiPriority w:val="22"/>
    <w:qFormat/>
    <w:rsid w:val="006A1C5D"/>
    <w:rPr>
      <w:b/>
      <w:bCs/>
    </w:rPr>
  </w:style>
  <w:style w:type="paragraph" w:styleId="Poprawka">
    <w:name w:val="Revision"/>
    <w:hidden/>
    <w:uiPriority w:val="99"/>
    <w:semiHidden/>
    <w:rsid w:val="000C7A1C"/>
  </w:style>
  <w:style w:type="character" w:styleId="Uwydatnienie">
    <w:name w:val="Emphasis"/>
    <w:basedOn w:val="Domylnaczcionkaakapitu"/>
    <w:uiPriority w:val="20"/>
    <w:qFormat/>
    <w:rsid w:val="004D6A72"/>
    <w:rPr>
      <w:i/>
      <w:iCs/>
    </w:rPr>
  </w:style>
  <w:style w:type="character" w:customStyle="1" w:styleId="whitespace-normal">
    <w:name w:val="whitespace-normal"/>
    <w:basedOn w:val="Domylnaczcionkaakapitu"/>
    <w:rsid w:val="007B5BFF"/>
  </w:style>
  <w:style w:type="paragraph" w:customStyle="1" w:styleId="p1">
    <w:name w:val="p1"/>
    <w:basedOn w:val="Normalny"/>
    <w:rsid w:val="002F1C13"/>
    <w:rPr>
      <w:rFonts w:ascii=".SF UI" w:eastAsiaTheme="minorEastAsia" w:hAnsi=".SF UI"/>
      <w:sz w:val="29"/>
      <w:szCs w:val="29"/>
    </w:rPr>
  </w:style>
  <w:style w:type="paragraph" w:customStyle="1" w:styleId="p2">
    <w:name w:val="p2"/>
    <w:basedOn w:val="Normalny"/>
    <w:rsid w:val="002F1C13"/>
    <w:rPr>
      <w:rFonts w:ascii=".SF UI" w:eastAsiaTheme="minorEastAsia" w:hAnsi=".SF UI"/>
      <w:sz w:val="29"/>
      <w:szCs w:val="29"/>
    </w:rPr>
  </w:style>
  <w:style w:type="character" w:customStyle="1" w:styleId="s1">
    <w:name w:val="s1"/>
    <w:basedOn w:val="Domylnaczcionkaakapitu"/>
    <w:rsid w:val="002F1C13"/>
    <w:rPr>
      <w:rFonts w:ascii=".SFUI-SemiboldItalic" w:hAnsi=".SFUI-SemiboldItalic" w:hint="default"/>
      <w:b/>
      <w:bCs/>
      <w:i/>
      <w:iCs/>
      <w:sz w:val="29"/>
      <w:szCs w:val="29"/>
    </w:rPr>
  </w:style>
  <w:style w:type="character" w:customStyle="1" w:styleId="s2">
    <w:name w:val="s2"/>
    <w:basedOn w:val="Domylnaczcionkaakapitu"/>
    <w:rsid w:val="002F1C13"/>
    <w:rPr>
      <w:rFonts w:ascii=".SFUI-Semibold" w:hAnsi=".SFUI-Semibold" w:hint="default"/>
      <w:b/>
      <w:bCs/>
      <w:i w:val="0"/>
      <w:iCs w:val="0"/>
      <w:sz w:val="29"/>
      <w:szCs w:val="29"/>
    </w:rPr>
  </w:style>
  <w:style w:type="character" w:customStyle="1" w:styleId="s3">
    <w:name w:val="s3"/>
    <w:basedOn w:val="Domylnaczcionkaakapitu"/>
    <w:rsid w:val="002F1C13"/>
    <w:rPr>
      <w:rFonts w:ascii=".SFUI-Heavy" w:hAnsi=".SFUI-Heavy" w:hint="default"/>
      <w:b/>
      <w:bCs/>
      <w:i w:val="0"/>
      <w:iCs w:val="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6567">
      <w:bodyDiv w:val="1"/>
      <w:marLeft w:val="0"/>
      <w:marRight w:val="0"/>
      <w:marTop w:val="0"/>
      <w:marBottom w:val="0"/>
      <w:divBdr>
        <w:top w:val="none" w:sz="0" w:space="0" w:color="auto"/>
        <w:left w:val="none" w:sz="0" w:space="0" w:color="auto"/>
        <w:bottom w:val="none" w:sz="0" w:space="0" w:color="auto"/>
        <w:right w:val="none" w:sz="0" w:space="0" w:color="auto"/>
      </w:divBdr>
    </w:div>
    <w:div w:id="169375329">
      <w:bodyDiv w:val="1"/>
      <w:marLeft w:val="0"/>
      <w:marRight w:val="0"/>
      <w:marTop w:val="0"/>
      <w:marBottom w:val="0"/>
      <w:divBdr>
        <w:top w:val="none" w:sz="0" w:space="0" w:color="auto"/>
        <w:left w:val="none" w:sz="0" w:space="0" w:color="auto"/>
        <w:bottom w:val="none" w:sz="0" w:space="0" w:color="auto"/>
        <w:right w:val="none" w:sz="0" w:space="0" w:color="auto"/>
      </w:divBdr>
    </w:div>
    <w:div w:id="175657832">
      <w:bodyDiv w:val="1"/>
      <w:marLeft w:val="0"/>
      <w:marRight w:val="0"/>
      <w:marTop w:val="0"/>
      <w:marBottom w:val="0"/>
      <w:divBdr>
        <w:top w:val="none" w:sz="0" w:space="0" w:color="auto"/>
        <w:left w:val="none" w:sz="0" w:space="0" w:color="auto"/>
        <w:bottom w:val="none" w:sz="0" w:space="0" w:color="auto"/>
        <w:right w:val="none" w:sz="0" w:space="0" w:color="auto"/>
      </w:divBdr>
    </w:div>
    <w:div w:id="357703320">
      <w:bodyDiv w:val="1"/>
      <w:marLeft w:val="0"/>
      <w:marRight w:val="0"/>
      <w:marTop w:val="0"/>
      <w:marBottom w:val="0"/>
      <w:divBdr>
        <w:top w:val="none" w:sz="0" w:space="0" w:color="auto"/>
        <w:left w:val="none" w:sz="0" w:space="0" w:color="auto"/>
        <w:bottom w:val="none" w:sz="0" w:space="0" w:color="auto"/>
        <w:right w:val="none" w:sz="0" w:space="0" w:color="auto"/>
      </w:divBdr>
    </w:div>
    <w:div w:id="363285645">
      <w:bodyDiv w:val="1"/>
      <w:marLeft w:val="0"/>
      <w:marRight w:val="0"/>
      <w:marTop w:val="0"/>
      <w:marBottom w:val="0"/>
      <w:divBdr>
        <w:top w:val="none" w:sz="0" w:space="0" w:color="auto"/>
        <w:left w:val="none" w:sz="0" w:space="0" w:color="auto"/>
        <w:bottom w:val="none" w:sz="0" w:space="0" w:color="auto"/>
        <w:right w:val="none" w:sz="0" w:space="0" w:color="auto"/>
      </w:divBdr>
    </w:div>
    <w:div w:id="540476488">
      <w:bodyDiv w:val="1"/>
      <w:marLeft w:val="0"/>
      <w:marRight w:val="0"/>
      <w:marTop w:val="0"/>
      <w:marBottom w:val="0"/>
      <w:divBdr>
        <w:top w:val="none" w:sz="0" w:space="0" w:color="auto"/>
        <w:left w:val="none" w:sz="0" w:space="0" w:color="auto"/>
        <w:bottom w:val="none" w:sz="0" w:space="0" w:color="auto"/>
        <w:right w:val="none" w:sz="0" w:space="0" w:color="auto"/>
      </w:divBdr>
    </w:div>
    <w:div w:id="622466238">
      <w:bodyDiv w:val="1"/>
      <w:marLeft w:val="0"/>
      <w:marRight w:val="0"/>
      <w:marTop w:val="0"/>
      <w:marBottom w:val="0"/>
      <w:divBdr>
        <w:top w:val="none" w:sz="0" w:space="0" w:color="auto"/>
        <w:left w:val="none" w:sz="0" w:space="0" w:color="auto"/>
        <w:bottom w:val="none" w:sz="0" w:space="0" w:color="auto"/>
        <w:right w:val="none" w:sz="0" w:space="0" w:color="auto"/>
      </w:divBdr>
    </w:div>
    <w:div w:id="635181799">
      <w:bodyDiv w:val="1"/>
      <w:marLeft w:val="0"/>
      <w:marRight w:val="0"/>
      <w:marTop w:val="0"/>
      <w:marBottom w:val="0"/>
      <w:divBdr>
        <w:top w:val="none" w:sz="0" w:space="0" w:color="auto"/>
        <w:left w:val="none" w:sz="0" w:space="0" w:color="auto"/>
        <w:bottom w:val="none" w:sz="0" w:space="0" w:color="auto"/>
        <w:right w:val="none" w:sz="0" w:space="0" w:color="auto"/>
      </w:divBdr>
    </w:div>
    <w:div w:id="741218841">
      <w:bodyDiv w:val="1"/>
      <w:marLeft w:val="0"/>
      <w:marRight w:val="0"/>
      <w:marTop w:val="0"/>
      <w:marBottom w:val="0"/>
      <w:divBdr>
        <w:top w:val="none" w:sz="0" w:space="0" w:color="auto"/>
        <w:left w:val="none" w:sz="0" w:space="0" w:color="auto"/>
        <w:bottom w:val="none" w:sz="0" w:space="0" w:color="auto"/>
        <w:right w:val="none" w:sz="0" w:space="0" w:color="auto"/>
      </w:divBdr>
    </w:div>
    <w:div w:id="802310139">
      <w:bodyDiv w:val="1"/>
      <w:marLeft w:val="0"/>
      <w:marRight w:val="0"/>
      <w:marTop w:val="0"/>
      <w:marBottom w:val="0"/>
      <w:divBdr>
        <w:top w:val="none" w:sz="0" w:space="0" w:color="auto"/>
        <w:left w:val="none" w:sz="0" w:space="0" w:color="auto"/>
        <w:bottom w:val="none" w:sz="0" w:space="0" w:color="auto"/>
        <w:right w:val="none" w:sz="0" w:space="0" w:color="auto"/>
      </w:divBdr>
    </w:div>
    <w:div w:id="975794511">
      <w:bodyDiv w:val="1"/>
      <w:marLeft w:val="0"/>
      <w:marRight w:val="0"/>
      <w:marTop w:val="0"/>
      <w:marBottom w:val="0"/>
      <w:divBdr>
        <w:top w:val="none" w:sz="0" w:space="0" w:color="auto"/>
        <w:left w:val="none" w:sz="0" w:space="0" w:color="auto"/>
        <w:bottom w:val="none" w:sz="0" w:space="0" w:color="auto"/>
        <w:right w:val="none" w:sz="0" w:space="0" w:color="auto"/>
      </w:divBdr>
    </w:div>
    <w:div w:id="1116556077">
      <w:bodyDiv w:val="1"/>
      <w:marLeft w:val="0"/>
      <w:marRight w:val="0"/>
      <w:marTop w:val="0"/>
      <w:marBottom w:val="0"/>
      <w:divBdr>
        <w:top w:val="none" w:sz="0" w:space="0" w:color="auto"/>
        <w:left w:val="none" w:sz="0" w:space="0" w:color="auto"/>
        <w:bottom w:val="none" w:sz="0" w:space="0" w:color="auto"/>
        <w:right w:val="none" w:sz="0" w:space="0" w:color="auto"/>
      </w:divBdr>
    </w:div>
    <w:div w:id="1180893857">
      <w:bodyDiv w:val="1"/>
      <w:marLeft w:val="0"/>
      <w:marRight w:val="0"/>
      <w:marTop w:val="0"/>
      <w:marBottom w:val="0"/>
      <w:divBdr>
        <w:top w:val="none" w:sz="0" w:space="0" w:color="auto"/>
        <w:left w:val="none" w:sz="0" w:space="0" w:color="auto"/>
        <w:bottom w:val="none" w:sz="0" w:space="0" w:color="auto"/>
        <w:right w:val="none" w:sz="0" w:space="0" w:color="auto"/>
      </w:divBdr>
    </w:div>
    <w:div w:id="1184051406">
      <w:bodyDiv w:val="1"/>
      <w:marLeft w:val="0"/>
      <w:marRight w:val="0"/>
      <w:marTop w:val="0"/>
      <w:marBottom w:val="0"/>
      <w:divBdr>
        <w:top w:val="none" w:sz="0" w:space="0" w:color="auto"/>
        <w:left w:val="none" w:sz="0" w:space="0" w:color="auto"/>
        <w:bottom w:val="none" w:sz="0" w:space="0" w:color="auto"/>
        <w:right w:val="none" w:sz="0" w:space="0" w:color="auto"/>
      </w:divBdr>
    </w:div>
    <w:div w:id="1311405808">
      <w:bodyDiv w:val="1"/>
      <w:marLeft w:val="0"/>
      <w:marRight w:val="0"/>
      <w:marTop w:val="0"/>
      <w:marBottom w:val="0"/>
      <w:divBdr>
        <w:top w:val="none" w:sz="0" w:space="0" w:color="auto"/>
        <w:left w:val="none" w:sz="0" w:space="0" w:color="auto"/>
        <w:bottom w:val="none" w:sz="0" w:space="0" w:color="auto"/>
        <w:right w:val="none" w:sz="0" w:space="0" w:color="auto"/>
      </w:divBdr>
    </w:div>
    <w:div w:id="1559240498">
      <w:bodyDiv w:val="1"/>
      <w:marLeft w:val="0"/>
      <w:marRight w:val="0"/>
      <w:marTop w:val="0"/>
      <w:marBottom w:val="0"/>
      <w:divBdr>
        <w:top w:val="none" w:sz="0" w:space="0" w:color="auto"/>
        <w:left w:val="none" w:sz="0" w:space="0" w:color="auto"/>
        <w:bottom w:val="none" w:sz="0" w:space="0" w:color="auto"/>
        <w:right w:val="none" w:sz="0" w:space="0" w:color="auto"/>
      </w:divBdr>
    </w:div>
    <w:div w:id="1678269211">
      <w:bodyDiv w:val="1"/>
      <w:marLeft w:val="0"/>
      <w:marRight w:val="0"/>
      <w:marTop w:val="0"/>
      <w:marBottom w:val="0"/>
      <w:divBdr>
        <w:top w:val="none" w:sz="0" w:space="0" w:color="auto"/>
        <w:left w:val="none" w:sz="0" w:space="0" w:color="auto"/>
        <w:bottom w:val="none" w:sz="0" w:space="0" w:color="auto"/>
        <w:right w:val="none" w:sz="0" w:space="0" w:color="auto"/>
      </w:divBdr>
    </w:div>
    <w:div w:id="1774203975">
      <w:bodyDiv w:val="1"/>
      <w:marLeft w:val="0"/>
      <w:marRight w:val="0"/>
      <w:marTop w:val="0"/>
      <w:marBottom w:val="0"/>
      <w:divBdr>
        <w:top w:val="none" w:sz="0" w:space="0" w:color="auto"/>
        <w:left w:val="none" w:sz="0" w:space="0" w:color="auto"/>
        <w:bottom w:val="none" w:sz="0" w:space="0" w:color="auto"/>
        <w:right w:val="none" w:sz="0" w:space="0" w:color="auto"/>
      </w:divBdr>
    </w:div>
    <w:div w:id="1915892272">
      <w:bodyDiv w:val="1"/>
      <w:marLeft w:val="0"/>
      <w:marRight w:val="0"/>
      <w:marTop w:val="0"/>
      <w:marBottom w:val="0"/>
      <w:divBdr>
        <w:top w:val="none" w:sz="0" w:space="0" w:color="auto"/>
        <w:left w:val="none" w:sz="0" w:space="0" w:color="auto"/>
        <w:bottom w:val="none" w:sz="0" w:space="0" w:color="auto"/>
        <w:right w:val="none" w:sz="0" w:space="0" w:color="auto"/>
      </w:divBdr>
    </w:div>
    <w:div w:id="2144080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piekarska@bepr.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5JhFudYwA1bfGTJwLZmsWuWBQ==">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O1MLjMjiSktTC4zJKOwokYXBwbGljYXRpb24vdm5kLmdvb2dsZS1hcHBzLmRvY3MubWRzGhPC19rkAQ0aCwoHCgFhEAEYABABWgxoa2trMTF0dHRndHByAiAAeACCARNzdWdnZXN0LnZvOTh3ZjZteWJumgEGCAAQABgAsAEAuAEAGL+O1MLjMiCSktTC4zIwAEITc3VnZ2VzdC52bzk4d2Y2bXlibiL8AgoLQUFBQmh4SzJiTWcSxgIKC0FBQUJoeEsyYk1nEgtBQUFCaHhLMmJNZxoNCgl0ZXh0L2h0bWwSACIOCgp0ZXh0L3BsYWluEgAqGyIVMTA4MjEzMzA5OTM5MjA4MTQ5MzAxKAA4ADDEu8DD4zI40r/Aw+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Aw+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MyMABCFHN1Z2dlc3QucWR6ZGMxdm1wYXR1IpcCCgtBQUFCaHhLMmJaQRLjAQoLQUFBQmh4SzJiWkESC0FBQUJoeEsyYlpBGg0KCXRleHQvaHRtbBIAIg4KCnRleHQvcGxhaW4SACobIhUxMDQyMDE5NTk4ODg3ODE0MTE5NDAoADgAMP/Vt8bjMjiH7bfG4zJKSQokYXBwbGljYXRpb24vdm5kLmdvb2dsZS1hcHBzLmRvY3MubWRzGiHC19rkARsaGQoVCg9kcy4gZmluYW5zb3d5Y2gQARgAEAFaDGJtZGxiZ2V0MWFxMHICIAB4AIIBFHN1Z2dlc3QuOGJmZXYxN2ZmbGJxmgEGCAAQABgAGP/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w+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go:docsCustomData>
</go:gDocsCustomXmlDataStorage>
</file>

<file path=customXml/itemProps1.xml><?xml version="1.0" encoding="utf-8"?>
<ds:datastoreItem xmlns:ds="http://schemas.openxmlformats.org/officeDocument/2006/customXml" ds:itemID="{D35171E2-024C-42B3-A070-6434CE9153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737</Words>
  <Characters>4424</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Karimpol</dc:creator>
  <cp:keywords>, docId:A6B7F5C3CF5EAA5E283A7F6B6D460B49</cp:keywords>
  <cp:lastModifiedBy>Lidia Piekarska</cp:lastModifiedBy>
  <cp:revision>3</cp:revision>
  <cp:lastPrinted>2025-09-09T07:21:00Z</cp:lastPrinted>
  <dcterms:created xsi:type="dcterms:W3CDTF">2026-05-27T16:22:00Z</dcterms:created>
  <dcterms:modified xsi:type="dcterms:W3CDTF">2026-05-27T16:24:00Z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0x010100DF1FCB0FBD7E664A96675C44C8FED989</vt:lpwstr>
  </property>
  <property fmtid="{D5CDD505-2E9C-101B-9397-08002B2CF9AE}" pid="3" name="MSIP_Label_15394ae5-69af-439d-af88-cb521c31c0c5_Enabled">
    <vt:lpwstr>true</vt:lpwstr>
  </property>
  <property fmtid="{D5CDD505-2E9C-101B-9397-08002B2CF9AE}" pid="4" name="MSIP_Label_15394ae5-69af-439d-af88-cb521c31c0c5_SetDate">
    <vt:lpwstr>2026-05-27T06:58:35Z</vt:lpwstr>
  </property>
  <property fmtid="{D5CDD505-2E9C-101B-9397-08002B2CF9AE}" pid="5" name="MSIP_Label_15394ae5-69af-439d-af88-cb521c31c0c5_Method">
    <vt:lpwstr>Standard</vt:lpwstr>
  </property>
  <property fmtid="{D5CDD505-2E9C-101B-9397-08002B2CF9AE}" pid="6" name="MSIP_Label_15394ae5-69af-439d-af88-cb521c31c0c5_Name">
    <vt:lpwstr>DXC Internal</vt:lpwstr>
  </property>
  <property fmtid="{D5CDD505-2E9C-101B-9397-08002B2CF9AE}" pid="7" name="MSIP_Label_15394ae5-69af-439d-af88-cb521c31c0c5_SiteId">
    <vt:lpwstr>93f33571-550f-43cf-b09f-cd331338d086</vt:lpwstr>
  </property>
  <property fmtid="{D5CDD505-2E9C-101B-9397-08002B2CF9AE}" pid="8" name="MSIP_Label_15394ae5-69af-439d-af88-cb521c31c0c5_ActionId">
    <vt:lpwstr>db7d7fe4-fb9e-485a-87f4-9d41515a3eb0</vt:lpwstr>
  </property>
  <property fmtid="{D5CDD505-2E9C-101B-9397-08002B2CF9AE}" pid="9" name="MSIP_Label_15394ae5-69af-439d-af88-cb521c31c0c5_ContentBits">
    <vt:lpwstr>0</vt:lpwstr>
  </property>
  <property fmtid="{D5CDD505-2E9C-101B-9397-08002B2CF9AE}" pid="10" name="MSIP_Label_15394ae5-69af-439d-af88-cb521c31c0c5_Tag">
    <vt:lpwstr>10, 3, 0, 1</vt:lpwstr>
  </property>
</Properties>
</file>