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28.05.2025 r.</w:t>
      </w:r>
    </w:p>
    <w:p w:rsidR="00000000" w:rsidDel="00000000" w:rsidP="00000000" w:rsidRDefault="00000000" w:rsidRPr="00000000" w14:paraId="00000002">
      <w:pPr>
        <w:jc w:val="left"/>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rtl w:val="0"/>
        </w:rPr>
        <w:t xml:space="preserve">TikTok i gaming zmieniają rynek zabawek w Polsce - Carrefour zaprezentował hity sprzedaży przed nadchodzącym Dniem Dziecka</w:t>
      </w:r>
      <w:r w:rsidDel="00000000" w:rsidR="00000000" w:rsidRPr="00000000">
        <w:rPr>
          <w:rtl w:val="0"/>
        </w:rPr>
      </w:r>
    </w:p>
    <w:p w:rsidR="00000000" w:rsidDel="00000000" w:rsidP="00000000" w:rsidRDefault="00000000" w:rsidRPr="00000000" w14:paraId="00000004">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Carrefour Polska publikuje zestawienie najpopularniejszych zabawek 2026 roku na Dzień Dziecka. W tegorocznym rankingu widać wyraźną zmianą w preferencjach zakupów Polaków - w koszykach dominują produkty kolekcjonerskie, zabawki inspirowane gamingiem oraz kategoriami DIY oraz beauty. Ranking pokazuje wyraźne przesunięcie preferencji zakupowych w stronę marek znanych z gier, mediów społecznościowych oraz popkultury.</w:t>
      </w:r>
      <w:r w:rsidDel="00000000" w:rsidR="00000000" w:rsidRPr="00000000">
        <w:rPr>
          <w:rtl w:val="0"/>
        </w:rPr>
      </w:r>
    </w:p>
    <w:p w:rsidR="00000000" w:rsidDel="00000000" w:rsidP="00000000" w:rsidRDefault="00000000" w:rsidRPr="00000000" w14:paraId="00000005">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Najsilniejszym kierunkiem rynkowym pozostają zabawki inspirowane światem gier, filmów i szeroko rozumianej popkultury. Wśród najczęściej pojawiających się motywów znajdują się produkty nawiązujące do marek takich jak Minecraft, Pokémon, Mario, Toy Story, Star Wars oraz Minionki. To właśnie tego typu licencje w dużej mierze kształtują zainteresowania dzieci i wpływają na popularność poszczególnych kategorii produktowych.</w:t>
      </w:r>
    </w:p>
    <w:p w:rsidR="00000000" w:rsidDel="00000000" w:rsidP="00000000" w:rsidRDefault="00000000" w:rsidRPr="00000000" w14:paraId="00000006">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Widzimy bardzo wyraźne zróżnicowanie koszyka zakupowego. Z jednej strony rośnie segment kolekcjonerski i zabawki oparte na znanych markach, a z drugiej coraz większe znaczenie mają kategorie DIY i beauty. W praktyce oznacza to, że dzieci nie wybierają już jednej dominującej formy zabawy, tylko łączą różne typy produktów - od figurek i pluszaków po zestawy kreatywne i interaktywne gadżety</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bCs w:val="1"/>
          <w:sz w:val="20"/>
          <w:szCs w:val="20"/>
          <w:rtl w:val="0"/>
        </w:rPr>
        <w:t xml:space="preserve">mówi </w:t>
      </w:r>
      <w:r w:rsidDel="00000000" w:rsidR="00000000" w:rsidRPr="00000000">
        <w:rPr>
          <w:rFonts w:ascii="Verdana" w:cs="Verdana" w:eastAsia="Verdana" w:hAnsi="Verdana"/>
          <w:b w:val="1"/>
          <w:bCs w:val="1"/>
          <w:sz w:val="20"/>
          <w:szCs w:val="20"/>
          <w:highlight w:val="yellow"/>
          <w:rtl w:val="0"/>
        </w:rPr>
        <w:t xml:space="preserve">Anna Waszkiewicz, Dyrektor Działu Produktów Przemysłowych w Carrefour Polska</w:t>
      </w:r>
      <w:r w:rsidDel="00000000" w:rsidR="00000000" w:rsidRPr="00000000">
        <w:rPr>
          <w:rFonts w:ascii="Verdana" w:cs="Verdana" w:eastAsia="Verdana" w:hAnsi="Verdana"/>
          <w:b w:val="1"/>
          <w:bCs w:val="1"/>
          <w:sz w:val="20"/>
          <w:szCs w:val="20"/>
          <w:rtl w:val="0"/>
        </w:rPr>
        <w:t xml:space="preserve">. </w:t>
      </w:r>
    </w:p>
    <w:p w:rsidR="00000000" w:rsidDel="00000000" w:rsidP="00000000" w:rsidRDefault="00000000" w:rsidRPr="00000000" w14:paraId="00000007">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Kolekcjonowanie i interaktywność napędzają sprzedaż</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2026 roku najsilniejszym trendem w kategorii zabawek pozostają produkty kolekcjonerskie oraz interaktywne. Dzieci coraz częściej budują własne serie figurek, maskotek i zestawów, które można wymieniać, łączyć i traktować jako część większych kolekcji. Duże znaczenie mają także zabawki oparte na znanych motywach popkulturowych, które funkcjonują równolegle w świecie offline i w trendach internetowych.</w:t>
      </w:r>
    </w:p>
    <w:p w:rsidR="00000000" w:rsidDel="00000000" w:rsidP="00000000" w:rsidRDefault="00000000" w:rsidRPr="00000000" w14:paraId="00000009">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Pluszaki i kolekcje – stabilny filar sprzedaży</w:t>
      </w:r>
    </w:p>
    <w:p w:rsidR="00000000" w:rsidDel="00000000" w:rsidP="00000000" w:rsidRDefault="00000000" w:rsidRPr="00000000" w14:paraId="0000000A">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Segment pluszaków i figurek pozostaje jedną z najważniejszych kategorii sprzedażowych. W 2026 roku szczególnie dobrze rotują zarówno klasyczne maskotki, jak i produkty z elementami niespodzianki oraz kolekcjonowania.</w:t>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Wśród najpopularniejszych produktów znajdują się Maskotka Fuggles, Maskotka Star Wars Disney Huggables 35 cm, Pets Alive Chomik, Zuru Coco Surprise oraz maskotki Minionki. Wysoką sprzedaż notują także bardziej nietypowe produkty, takie jak Disney YuYus WTP 12 od Simba czy maskotki z magnesami, które łączą funkcję zabawy i gadżetu.</w:t>
      </w:r>
    </w:p>
    <w:p w:rsidR="00000000" w:rsidDel="00000000" w:rsidP="00000000" w:rsidRDefault="00000000" w:rsidRPr="00000000" w14:paraId="0000000C">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Motoryzacja, budowanie oraz kolekcjonowanie </w:t>
      </w:r>
    </w:p>
    <w:p w:rsidR="00000000" w:rsidDel="00000000" w:rsidP="00000000" w:rsidRDefault="00000000" w:rsidRPr="00000000" w14:paraId="0000000D">
      <w:pPr>
        <w:spacing w:after="240" w:before="24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Największą popularnością w tych kategoriach cieszą się samochodziki, minifigurki oraz zestawy LEGO. Wysoki udział mają również figurki oraz modele inspirowane znanymi seriami i markami, które sprzyjają kolekcjonowaniu i wymianie między dziećmi.</w:t>
      </w:r>
    </w:p>
    <w:p w:rsidR="00000000" w:rsidDel="00000000" w:rsidP="00000000" w:rsidRDefault="00000000" w:rsidRPr="00000000" w14:paraId="0000000E">
      <w:pPr>
        <w:numPr>
          <w:ilvl w:val="0"/>
          <w:numId w:val="1"/>
        </w:numPr>
        <w:spacing w:after="0" w:afterAutospacing="0" w:befor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Samochodzik Hot Wheels i Matchbox</w:t>
      </w:r>
    </w:p>
    <w:p w:rsidR="00000000" w:rsidDel="00000000" w:rsidP="00000000" w:rsidRDefault="00000000" w:rsidRPr="00000000" w14:paraId="0000000F">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Minifigurki LEGO</w:t>
      </w:r>
    </w:p>
    <w:p w:rsidR="00000000" w:rsidDel="00000000" w:rsidP="00000000" w:rsidRDefault="00000000" w:rsidRPr="00000000" w14:paraId="00000010">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Egzotyczny Paw LEGO 31157</w:t>
      </w:r>
    </w:p>
    <w:p w:rsidR="00000000" w:rsidDel="00000000" w:rsidP="00000000" w:rsidRDefault="00000000" w:rsidRPr="00000000" w14:paraId="00000011">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Stokrotki LEGO 11508</w:t>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Uroczy Chomik LEGO Creator 31376</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Papużki nierozłączki (wyłączność Carrefour)</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Samochodzik BBURAGO 1:43</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Samochodzik Majorette BMW</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Figurki Funko</w:t>
      </w:r>
    </w:p>
    <w:p w:rsidR="00000000" w:rsidDel="00000000" w:rsidP="00000000" w:rsidRDefault="00000000" w:rsidRPr="00000000" w14:paraId="00000017">
      <w:pPr>
        <w:numPr>
          <w:ilvl w:val="0"/>
          <w:numId w:val="1"/>
        </w:numPr>
        <w:spacing w:after="24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Samochody metalowe Fast &amp; Furious</w:t>
      </w:r>
    </w:p>
    <w:p w:rsidR="00000000" w:rsidDel="00000000" w:rsidP="00000000" w:rsidRDefault="00000000" w:rsidRPr="00000000" w14:paraId="00000018">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Zabawki DIY oraz beauty</w:t>
      </w:r>
    </w:p>
    <w:p w:rsidR="00000000" w:rsidDel="00000000" w:rsidP="00000000" w:rsidRDefault="00000000" w:rsidRPr="00000000" w14:paraId="00000019">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kategorii dla dziewczynek widoczna jest wyraźna zmiana preferencji zakupowych. Coraz większy udział zdobywają zestawy kreatywne, beauty oraz produkty umożliwiające personalizację i samodzielne tworzenie akcesoriów.</w:t>
      </w:r>
    </w:p>
    <w:p w:rsidR="00000000" w:rsidDel="00000000" w:rsidP="00000000" w:rsidRDefault="00000000" w:rsidRPr="00000000" w14:paraId="0000001A">
      <w:pPr>
        <w:numPr>
          <w:ilvl w:val="0"/>
          <w:numId w:val="2"/>
        </w:numPr>
        <w:spacing w:after="0" w:afterAutospacing="0" w:befor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Barbie Besties </w:t>
      </w:r>
    </w:p>
    <w:p w:rsidR="00000000" w:rsidDel="00000000" w:rsidP="00000000" w:rsidRDefault="00000000" w:rsidRPr="00000000" w14:paraId="0000001B">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Zestawy do makijażu </w:t>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Zestawy kreatywne Decoden</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LITTLEST PET SHOP FI</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Barbie Flower Reveal </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Kolekcja Zuru Slime Mart </w:t>
      </w:r>
    </w:p>
    <w:p w:rsidR="00000000" w:rsidDel="00000000" w:rsidP="00000000" w:rsidRDefault="00000000" w:rsidRPr="00000000" w14:paraId="00000020">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Tatuaże </w:t>
      </w:r>
    </w:p>
    <w:p w:rsidR="00000000" w:rsidDel="00000000" w:rsidP="00000000" w:rsidRDefault="00000000" w:rsidRPr="00000000" w14:paraId="00000021">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BRANSOLETKA Z CHARMSAMI</w:t>
      </w:r>
    </w:p>
    <w:p w:rsidR="00000000" w:rsidDel="00000000" w:rsidP="00000000" w:rsidRDefault="00000000" w:rsidRPr="00000000" w14:paraId="00000022">
      <w:pPr>
        <w:numPr>
          <w:ilvl w:val="0"/>
          <w:numId w:val="2"/>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Aqua gel zestaw startowy </w:t>
      </w:r>
    </w:p>
    <w:p w:rsidR="00000000" w:rsidDel="00000000" w:rsidP="00000000" w:rsidRDefault="00000000" w:rsidRPr="00000000" w14:paraId="00000023">
      <w:pPr>
        <w:numPr>
          <w:ilvl w:val="0"/>
          <w:numId w:val="2"/>
        </w:numPr>
        <w:spacing w:after="24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Bitzee Psi Domek</w:t>
      </w:r>
    </w:p>
    <w:p w:rsidR="00000000" w:rsidDel="00000000" w:rsidP="00000000" w:rsidRDefault="00000000" w:rsidRPr="00000000" w14:paraId="00000024">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spacing w:after="200" w:before="24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Gry i puzzle – segment wspólnej rozrywki</w:t>
      </w:r>
    </w:p>
    <w:p w:rsidR="00000000" w:rsidDel="00000000" w:rsidP="00000000" w:rsidRDefault="00000000" w:rsidRPr="00000000" w14:paraId="00000027">
      <w:pPr>
        <w:spacing w:after="20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Gry planszowe i puzzle pozostają ważnym elementem koszyka zakupowego, szczególnie w kontekście wspólnej zabawy rodzinnej. W tej kategorii dobrze rotują zarówno klasyczne gry logiczne i karciane, jak i produkty inspirowane popkulturą. Największym zainteresowaniem cieszą się Karty Uno, Rummikub Standard, Kalambury Junior, Grzybobranie, Piłkarzyki gra, Gra w kości oraz Szachy drewniane. W segmencie puzzli popularne są Puzzle 500 PPQ, Puzzle Toy Story oraz Puzzle 1000 el. KPOP Demon Hunters.</w:t>
      </w:r>
    </w:p>
    <w:p w:rsidR="00000000" w:rsidDel="00000000" w:rsidP="00000000" w:rsidRDefault="00000000" w:rsidRPr="00000000" w14:paraId="00000028">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bCs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29">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blisko 800 sklepów w 5 formatach: hipermarketów, supermarketów, sklepów hurtowo-dyskontowych, osiedlowych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2A">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blisko 40 krajach, Grupa Carrefour jest jednym z wiodących sprzedawców żywności na świecie. W 2025 r. sieć odnotowała sprzedaż na poziomie 91,48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2B">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2E">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2F">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30">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31">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32">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bCs w:val="1"/>
        <w:sz w:val="22"/>
        <w:szCs w:val="22"/>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Y3rJk+ksBAsfkoupMSR8QZfuPA==">CgMxLjA4AHIhMUpYcnoycDVxV0dFelhMczJHY2lkT3J5UmVocFVqaVVF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