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BFFC" w14:textId="128F3DEA" w:rsidR="00CF2955" w:rsidRDefault="00247553" w:rsidP="009B4CF1">
      <w:pPr>
        <w:jc w:val="center"/>
        <w:rPr>
          <w:rFonts w:ascii="Arial" w:hAnsi="Arial"/>
          <w:bCs/>
          <w:sz w:val="24"/>
          <w:szCs w:val="24"/>
        </w:rPr>
      </w:pPr>
      <w:r w:rsidRPr="00512EF1">
        <w:rPr>
          <w:rFonts w:ascii="Arial" w:hAnsi="Arial"/>
          <w:b/>
          <w:sz w:val="32"/>
          <w:szCs w:val="32"/>
        </w:rPr>
        <w:t xml:space="preserve"> </w:t>
      </w:r>
      <w:r w:rsidR="00512EF1">
        <w:rPr>
          <w:rFonts w:ascii="Arial" w:hAnsi="Arial"/>
          <w:b/>
          <w:sz w:val="32"/>
          <w:szCs w:val="32"/>
        </w:rPr>
        <w:t xml:space="preserve">400 lekarzy, </w:t>
      </w:r>
      <w:r w:rsidR="00EE6991">
        <w:rPr>
          <w:rFonts w:ascii="Arial" w:hAnsi="Arial"/>
          <w:b/>
          <w:sz w:val="32"/>
          <w:szCs w:val="32"/>
        </w:rPr>
        <w:t>3</w:t>
      </w:r>
      <w:r w:rsidR="00CF2955" w:rsidRPr="00CF2955">
        <w:rPr>
          <w:rFonts w:ascii="Arial" w:hAnsi="Arial"/>
          <w:b/>
          <w:sz w:val="32"/>
          <w:szCs w:val="32"/>
        </w:rPr>
        <w:t xml:space="preserve"> dni wiedzy, inspiracji</w:t>
      </w:r>
      <w:r w:rsidR="00EE6991">
        <w:rPr>
          <w:rFonts w:ascii="Arial" w:hAnsi="Arial"/>
          <w:b/>
          <w:sz w:val="32"/>
          <w:szCs w:val="32"/>
        </w:rPr>
        <w:t xml:space="preserve"> i </w:t>
      </w:r>
      <w:r w:rsidR="00CF2955" w:rsidRPr="00CF2955">
        <w:rPr>
          <w:rFonts w:ascii="Arial" w:hAnsi="Arial"/>
          <w:b/>
          <w:sz w:val="32"/>
          <w:szCs w:val="32"/>
        </w:rPr>
        <w:t>spotkań</w:t>
      </w:r>
      <w:r w:rsidR="00EE6991">
        <w:rPr>
          <w:rFonts w:ascii="Arial" w:hAnsi="Arial"/>
          <w:b/>
          <w:sz w:val="32"/>
          <w:szCs w:val="32"/>
        </w:rPr>
        <w:t xml:space="preserve"> – podsumowanie </w:t>
      </w:r>
      <w:r w:rsidR="00C9788B">
        <w:rPr>
          <w:rFonts w:ascii="Arial" w:hAnsi="Arial"/>
          <w:b/>
          <w:sz w:val="32"/>
          <w:szCs w:val="32"/>
        </w:rPr>
        <w:t>konferencji</w:t>
      </w:r>
      <w:r w:rsidR="00EE6991" w:rsidRPr="00EE6991">
        <w:rPr>
          <w:rFonts w:ascii="Arial" w:hAnsi="Arial"/>
          <w:b/>
          <w:sz w:val="32"/>
          <w:szCs w:val="32"/>
        </w:rPr>
        <w:t xml:space="preserve"> Invisalign</w:t>
      </w:r>
      <w:r w:rsidR="0098235F"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="00EE6991" w:rsidRPr="00EE6991">
        <w:rPr>
          <w:rFonts w:ascii="Arial" w:hAnsi="Arial"/>
          <w:b/>
          <w:sz w:val="32"/>
          <w:szCs w:val="32"/>
        </w:rPr>
        <w:t xml:space="preserve"> EMEA Ortho Summit 2026</w:t>
      </w:r>
    </w:p>
    <w:p w14:paraId="6A64911C" w14:textId="1585823A" w:rsidR="00247553" w:rsidRPr="00C9788B" w:rsidRDefault="00EE6991" w:rsidP="009B4CF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Tegoroczn</w:t>
      </w:r>
      <w:r w:rsidR="00C9788B">
        <w:rPr>
          <w:rFonts w:ascii="Arial" w:hAnsi="Arial"/>
          <w:bCs/>
          <w:sz w:val="24"/>
          <w:szCs w:val="24"/>
        </w:rPr>
        <w:t>a międzynarodowa konferencja</w:t>
      </w:r>
      <w:r>
        <w:rPr>
          <w:rFonts w:ascii="Arial" w:hAnsi="Arial"/>
          <w:bCs/>
          <w:sz w:val="24"/>
          <w:szCs w:val="24"/>
        </w:rPr>
        <w:t xml:space="preserve"> </w:t>
      </w:r>
      <w:r w:rsidRPr="00EE6991">
        <w:rPr>
          <w:rFonts w:ascii="Arial" w:hAnsi="Arial"/>
          <w:bCs/>
          <w:sz w:val="24"/>
          <w:szCs w:val="24"/>
        </w:rPr>
        <w:t>Invisalign</w:t>
      </w:r>
      <w:r w:rsidR="0098235F"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Pr="00EE6991">
        <w:rPr>
          <w:rFonts w:ascii="Arial" w:hAnsi="Arial"/>
          <w:bCs/>
          <w:sz w:val="24"/>
          <w:szCs w:val="24"/>
        </w:rPr>
        <w:t xml:space="preserve"> EMEA Ortho Summit</w:t>
      </w:r>
      <w:r w:rsidR="00247553" w:rsidRPr="009B4CF1">
        <w:rPr>
          <w:rFonts w:ascii="Arial" w:hAnsi="Arial"/>
          <w:bCs/>
          <w:sz w:val="24"/>
          <w:szCs w:val="24"/>
        </w:rPr>
        <w:t xml:space="preserve"> poświęcon</w:t>
      </w:r>
      <w:r w:rsidR="00C9788B">
        <w:rPr>
          <w:rFonts w:ascii="Arial" w:hAnsi="Arial"/>
          <w:bCs/>
          <w:sz w:val="24"/>
          <w:szCs w:val="24"/>
        </w:rPr>
        <w:t>a</w:t>
      </w:r>
      <w:r w:rsidR="00247553" w:rsidRPr="009B4CF1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był</w:t>
      </w:r>
      <w:r w:rsidR="00C9788B">
        <w:rPr>
          <w:rFonts w:ascii="Arial" w:hAnsi="Arial"/>
          <w:bCs/>
          <w:sz w:val="24"/>
          <w:szCs w:val="24"/>
        </w:rPr>
        <w:t>a</w:t>
      </w:r>
      <w:r>
        <w:rPr>
          <w:rFonts w:ascii="Arial" w:hAnsi="Arial"/>
          <w:bCs/>
          <w:sz w:val="24"/>
          <w:szCs w:val="24"/>
        </w:rPr>
        <w:t xml:space="preserve"> </w:t>
      </w:r>
      <w:r w:rsidR="00247553" w:rsidRPr="009B4CF1">
        <w:rPr>
          <w:rFonts w:ascii="Arial" w:hAnsi="Arial"/>
          <w:bCs/>
          <w:sz w:val="24"/>
          <w:szCs w:val="24"/>
        </w:rPr>
        <w:t>cyfrowym rozwiązaniom ortodontycznym ukierunkowanym na wskazania kliniczne oraz nadchodzącym innowacjom Align</w:t>
      </w:r>
      <w:r w:rsidR="00C9788B" w:rsidRPr="009B4CF1">
        <w:rPr>
          <w:rFonts w:ascii="Arial" w:hAnsi="Arial"/>
          <w:bCs/>
          <w:sz w:val="24"/>
          <w:szCs w:val="24"/>
        </w:rPr>
        <w:t>. W</w:t>
      </w:r>
      <w:r w:rsidR="00C9788B" w:rsidRPr="009B4CF1">
        <w:rPr>
          <w:rFonts w:ascii="Arial" w:hAnsi="Arial" w:cs="Arial"/>
          <w:bCs/>
          <w:sz w:val="24"/>
          <w:szCs w:val="24"/>
        </w:rPr>
        <w:t xml:space="preserve">śród prelegentów znaleźli się również eksperci z Polski – </w:t>
      </w:r>
      <w:r w:rsidR="00C9788B" w:rsidRPr="009B4CF1">
        <w:rPr>
          <w:rFonts w:ascii="Arial" w:hAnsi="Arial" w:cs="Arial"/>
          <w:b/>
          <w:sz w:val="24"/>
          <w:szCs w:val="24"/>
        </w:rPr>
        <w:t>dr n. med. Katarzyna Potoczek-Wallner</w:t>
      </w:r>
      <w:r w:rsidR="00C9788B" w:rsidRPr="009B4CF1">
        <w:rPr>
          <w:rFonts w:ascii="Arial" w:hAnsi="Arial" w:cs="Arial"/>
          <w:bCs/>
          <w:sz w:val="24"/>
          <w:szCs w:val="24"/>
        </w:rPr>
        <w:t xml:space="preserve"> oraz </w:t>
      </w:r>
      <w:r w:rsidR="008D74A0" w:rsidRPr="009B4CF1">
        <w:rPr>
          <w:rFonts w:ascii="Arial" w:hAnsi="Arial" w:cs="Arial"/>
          <w:b/>
          <w:sz w:val="24"/>
          <w:szCs w:val="24"/>
        </w:rPr>
        <w:t>dr n. med.</w:t>
      </w:r>
      <w:r w:rsidR="008D74A0" w:rsidRPr="009B4CF1">
        <w:rPr>
          <w:rFonts w:ascii="Arial" w:hAnsi="Arial" w:cs="Arial"/>
          <w:bCs/>
          <w:sz w:val="24"/>
          <w:szCs w:val="24"/>
        </w:rPr>
        <w:t xml:space="preserve"> </w:t>
      </w:r>
      <w:r w:rsidR="00C9788B" w:rsidRPr="009B4CF1">
        <w:rPr>
          <w:rFonts w:ascii="Arial" w:hAnsi="Arial" w:cs="Arial"/>
          <w:b/>
          <w:sz w:val="24"/>
          <w:szCs w:val="24"/>
        </w:rPr>
        <w:t>Maciej Cićkiewicz.</w:t>
      </w:r>
    </w:p>
    <w:p w14:paraId="1BA2EB88" w14:textId="6F88FBE8" w:rsidR="003C5150" w:rsidRPr="003C5150" w:rsidRDefault="003C5150" w:rsidP="003C5150">
      <w:pPr>
        <w:jc w:val="both"/>
        <w:rPr>
          <w:rFonts w:ascii="Arial" w:hAnsi="Arial"/>
          <w:bCs/>
          <w:sz w:val="24"/>
          <w:szCs w:val="24"/>
        </w:rPr>
      </w:pPr>
      <w:r w:rsidRPr="0098235F">
        <w:rPr>
          <w:rFonts w:ascii="Arial" w:hAnsi="Arial"/>
          <w:b/>
          <w:sz w:val="24"/>
          <w:szCs w:val="24"/>
        </w:rPr>
        <w:t xml:space="preserve">Wrocław, </w:t>
      </w:r>
      <w:r w:rsidR="0022409C" w:rsidRPr="0098235F">
        <w:rPr>
          <w:rFonts w:ascii="Arial" w:hAnsi="Arial"/>
          <w:b/>
          <w:sz w:val="24"/>
          <w:szCs w:val="24"/>
        </w:rPr>
        <w:t>0</w:t>
      </w:r>
      <w:r w:rsidR="00855BDF">
        <w:rPr>
          <w:rFonts w:ascii="Arial" w:hAnsi="Arial"/>
          <w:b/>
          <w:sz w:val="24"/>
          <w:szCs w:val="24"/>
        </w:rPr>
        <w:t>2</w:t>
      </w:r>
      <w:r w:rsidRPr="0098235F">
        <w:rPr>
          <w:rFonts w:ascii="Arial" w:hAnsi="Arial"/>
          <w:b/>
          <w:sz w:val="24"/>
          <w:szCs w:val="24"/>
        </w:rPr>
        <w:t>.0</w:t>
      </w:r>
      <w:r w:rsidR="0022409C" w:rsidRPr="0098235F">
        <w:rPr>
          <w:rFonts w:ascii="Arial" w:hAnsi="Arial"/>
          <w:b/>
          <w:sz w:val="24"/>
          <w:szCs w:val="24"/>
        </w:rPr>
        <w:t>6</w:t>
      </w:r>
      <w:r w:rsidRPr="0098235F">
        <w:rPr>
          <w:rFonts w:ascii="Arial" w:hAnsi="Arial"/>
          <w:b/>
          <w:sz w:val="24"/>
          <w:szCs w:val="24"/>
        </w:rPr>
        <w:t>.2026 r.</w:t>
      </w:r>
      <w:r>
        <w:rPr>
          <w:rFonts w:ascii="Arial" w:hAnsi="Arial"/>
          <w:bCs/>
          <w:sz w:val="24"/>
          <w:szCs w:val="24"/>
        </w:rPr>
        <w:t xml:space="preserve"> - </w:t>
      </w:r>
      <w:r w:rsidRPr="003C5150">
        <w:rPr>
          <w:rFonts w:ascii="Arial" w:hAnsi="Arial"/>
          <w:bCs/>
          <w:sz w:val="24"/>
          <w:szCs w:val="24"/>
        </w:rPr>
        <w:t>Firma Align Technology, Inc. (NASDAQ: ALGN), wiodący globalny producent urządzeń medycznych, która projektuje, produkuje i sprzedaje system przezroczystych nakładek Invisalign</w:t>
      </w:r>
      <w:r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Pr="003C5150">
        <w:rPr>
          <w:rFonts w:ascii="Arial" w:hAnsi="Arial"/>
          <w:bCs/>
          <w:sz w:val="24"/>
          <w:szCs w:val="24"/>
        </w:rPr>
        <w:t>, skanery wewnątrzustne iTero™ oraz oprogramowanie CAD/CAM exocad™ do cyfrowej ortodoncji i stomatologii odtwórczej,</w:t>
      </w:r>
      <w:r>
        <w:rPr>
          <w:rFonts w:ascii="Arial" w:hAnsi="Arial"/>
          <w:bCs/>
          <w:sz w:val="24"/>
          <w:szCs w:val="24"/>
        </w:rPr>
        <w:t xml:space="preserve"> </w:t>
      </w:r>
      <w:r w:rsidR="00672C80">
        <w:rPr>
          <w:rFonts w:ascii="Arial" w:hAnsi="Arial"/>
          <w:bCs/>
          <w:sz w:val="24"/>
          <w:szCs w:val="24"/>
        </w:rPr>
        <w:t>podsumowała</w:t>
      </w:r>
      <w:r w:rsidRPr="003C5150">
        <w:rPr>
          <w:rFonts w:ascii="Arial" w:hAnsi="Arial"/>
          <w:bCs/>
          <w:sz w:val="24"/>
          <w:szCs w:val="24"/>
        </w:rPr>
        <w:t xml:space="preserve"> </w:t>
      </w:r>
      <w:r w:rsidR="0022409C">
        <w:rPr>
          <w:rFonts w:ascii="Arial" w:hAnsi="Arial"/>
          <w:bCs/>
          <w:sz w:val="24"/>
          <w:szCs w:val="24"/>
        </w:rPr>
        <w:t>konferencję</w:t>
      </w:r>
      <w:r w:rsidR="004B42F9" w:rsidRPr="003C5150">
        <w:rPr>
          <w:rFonts w:ascii="Arial" w:hAnsi="Arial"/>
          <w:bCs/>
          <w:sz w:val="24"/>
          <w:szCs w:val="24"/>
        </w:rPr>
        <w:t xml:space="preserve"> </w:t>
      </w:r>
      <w:r w:rsidRPr="003C5150">
        <w:rPr>
          <w:rFonts w:ascii="Arial" w:hAnsi="Arial"/>
          <w:bCs/>
          <w:sz w:val="24"/>
          <w:szCs w:val="24"/>
        </w:rPr>
        <w:t>2026 Invisalign</w:t>
      </w:r>
      <w:r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Pr="003C5150">
        <w:rPr>
          <w:rFonts w:ascii="Arial" w:hAnsi="Arial"/>
          <w:bCs/>
          <w:sz w:val="24"/>
          <w:szCs w:val="24"/>
        </w:rPr>
        <w:t xml:space="preserve"> EMEA Ortho Summit, </w:t>
      </w:r>
      <w:r w:rsidR="004B42F9">
        <w:rPr>
          <w:rFonts w:ascii="Arial" w:hAnsi="Arial"/>
          <w:bCs/>
          <w:sz w:val="24"/>
          <w:szCs w:val="24"/>
        </w:rPr>
        <w:t>w któr</w:t>
      </w:r>
      <w:r w:rsidR="0022409C">
        <w:rPr>
          <w:rFonts w:ascii="Arial" w:hAnsi="Arial"/>
          <w:bCs/>
          <w:sz w:val="24"/>
          <w:szCs w:val="24"/>
        </w:rPr>
        <w:t xml:space="preserve">ej </w:t>
      </w:r>
      <w:r w:rsidR="004B42F9">
        <w:rPr>
          <w:rFonts w:ascii="Arial" w:hAnsi="Arial"/>
          <w:bCs/>
          <w:sz w:val="24"/>
          <w:szCs w:val="24"/>
        </w:rPr>
        <w:t>uczestniczy</w:t>
      </w:r>
      <w:r w:rsidR="00672C80">
        <w:rPr>
          <w:rFonts w:ascii="Arial" w:hAnsi="Arial"/>
          <w:bCs/>
          <w:sz w:val="24"/>
          <w:szCs w:val="24"/>
        </w:rPr>
        <w:t>ł</w:t>
      </w:r>
      <w:r w:rsidR="004B42F9">
        <w:rPr>
          <w:rFonts w:ascii="Arial" w:hAnsi="Arial"/>
          <w:bCs/>
          <w:sz w:val="24"/>
          <w:szCs w:val="24"/>
        </w:rPr>
        <w:t>o</w:t>
      </w:r>
      <w:r w:rsidRPr="003C5150">
        <w:rPr>
          <w:rFonts w:ascii="Arial" w:hAnsi="Arial"/>
          <w:bCs/>
          <w:sz w:val="24"/>
          <w:szCs w:val="24"/>
        </w:rPr>
        <w:t xml:space="preserve"> około 400 ortodontów i </w:t>
      </w:r>
      <w:r w:rsidR="004B42F9">
        <w:rPr>
          <w:rFonts w:ascii="Arial" w:hAnsi="Arial"/>
          <w:bCs/>
          <w:sz w:val="24"/>
          <w:szCs w:val="24"/>
        </w:rPr>
        <w:t xml:space="preserve">stomatologów </w:t>
      </w:r>
      <w:r w:rsidRPr="003C5150">
        <w:rPr>
          <w:rFonts w:ascii="Arial" w:hAnsi="Arial"/>
          <w:bCs/>
          <w:sz w:val="24"/>
          <w:szCs w:val="24"/>
        </w:rPr>
        <w:t>z Europy, Bliskiego Wschodu i Afryki (EMEA).</w:t>
      </w:r>
    </w:p>
    <w:p w14:paraId="528320AF" w14:textId="71238419" w:rsidR="008D74A0" w:rsidRDefault="0022409C" w:rsidP="003C51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Konferencja</w:t>
      </w:r>
      <w:r w:rsidR="004B42F9">
        <w:rPr>
          <w:rFonts w:ascii="Arial" w:hAnsi="Arial" w:cs="Arial"/>
          <w:bCs/>
          <w:sz w:val="24"/>
          <w:szCs w:val="24"/>
        </w:rPr>
        <w:t xml:space="preserve"> </w:t>
      </w:r>
      <w:r w:rsidR="003C5150" w:rsidRPr="003C5150">
        <w:rPr>
          <w:rFonts w:ascii="Arial" w:hAnsi="Arial" w:cs="Arial"/>
          <w:bCs/>
          <w:sz w:val="24"/>
          <w:szCs w:val="24"/>
        </w:rPr>
        <w:t>odbył</w:t>
      </w:r>
      <w:r>
        <w:rPr>
          <w:rFonts w:ascii="Arial" w:hAnsi="Arial" w:cs="Arial"/>
          <w:bCs/>
          <w:sz w:val="24"/>
          <w:szCs w:val="24"/>
        </w:rPr>
        <w:t>a</w:t>
      </w:r>
      <w:r w:rsidR="003C5150" w:rsidRPr="003C5150">
        <w:rPr>
          <w:rFonts w:ascii="Arial" w:hAnsi="Arial" w:cs="Arial"/>
          <w:bCs/>
          <w:sz w:val="24"/>
          <w:szCs w:val="24"/>
        </w:rPr>
        <w:t xml:space="preserve"> się </w:t>
      </w:r>
      <w:r w:rsidR="00B405A8">
        <w:rPr>
          <w:rFonts w:ascii="Arial" w:hAnsi="Arial" w:cs="Arial"/>
          <w:bCs/>
          <w:sz w:val="24"/>
          <w:szCs w:val="24"/>
        </w:rPr>
        <w:t>w dniach 14-16</w:t>
      </w:r>
      <w:r w:rsidR="003C5150" w:rsidRPr="003C5150">
        <w:rPr>
          <w:rFonts w:ascii="Arial" w:hAnsi="Arial" w:cs="Arial"/>
          <w:bCs/>
          <w:sz w:val="24"/>
          <w:szCs w:val="24"/>
        </w:rPr>
        <w:t xml:space="preserve"> maj</w:t>
      </w:r>
      <w:r w:rsidR="004B42F9">
        <w:rPr>
          <w:rFonts w:ascii="Arial" w:hAnsi="Arial" w:cs="Arial"/>
          <w:bCs/>
          <w:sz w:val="24"/>
          <w:szCs w:val="24"/>
        </w:rPr>
        <w:t>a</w:t>
      </w:r>
      <w:r w:rsidR="003C5150" w:rsidRPr="003C5150">
        <w:rPr>
          <w:rFonts w:ascii="Arial" w:hAnsi="Arial" w:cs="Arial"/>
          <w:bCs/>
          <w:sz w:val="24"/>
          <w:szCs w:val="24"/>
        </w:rPr>
        <w:t xml:space="preserve"> w Barcelon</w:t>
      </w:r>
      <w:r w:rsidR="004B42F9">
        <w:rPr>
          <w:rFonts w:ascii="Arial" w:hAnsi="Arial" w:cs="Arial"/>
          <w:bCs/>
          <w:sz w:val="24"/>
          <w:szCs w:val="24"/>
        </w:rPr>
        <w:t>ie i był</w:t>
      </w:r>
      <w:r>
        <w:rPr>
          <w:rFonts w:ascii="Arial" w:hAnsi="Arial" w:cs="Arial"/>
          <w:bCs/>
          <w:sz w:val="24"/>
          <w:szCs w:val="24"/>
        </w:rPr>
        <w:t>a</w:t>
      </w:r>
      <w:r w:rsidR="004B42F9">
        <w:rPr>
          <w:rFonts w:ascii="Arial" w:hAnsi="Arial" w:cs="Arial"/>
          <w:bCs/>
          <w:sz w:val="24"/>
          <w:szCs w:val="24"/>
        </w:rPr>
        <w:t xml:space="preserve"> okazją do wymiany wiedzy między lekarzami</w:t>
      </w:r>
      <w:r w:rsidR="003C5150" w:rsidRPr="003C5150">
        <w:rPr>
          <w:rFonts w:ascii="Arial" w:hAnsi="Arial" w:cs="Arial"/>
          <w:bCs/>
          <w:sz w:val="24"/>
          <w:szCs w:val="24"/>
        </w:rPr>
        <w:t xml:space="preserve"> </w:t>
      </w:r>
      <w:r w:rsidR="004B42F9">
        <w:rPr>
          <w:rFonts w:ascii="Arial" w:hAnsi="Arial" w:cs="Arial"/>
          <w:bCs/>
          <w:sz w:val="24"/>
          <w:szCs w:val="24"/>
        </w:rPr>
        <w:t>oraz poznania</w:t>
      </w:r>
      <w:r w:rsidR="003C5150" w:rsidRPr="003C5150">
        <w:rPr>
          <w:rFonts w:ascii="Arial" w:hAnsi="Arial" w:cs="Arial"/>
          <w:bCs/>
          <w:sz w:val="24"/>
          <w:szCs w:val="24"/>
        </w:rPr>
        <w:t xml:space="preserve"> nowej generacji cyfrowych technologii Align Technology</w:t>
      </w:r>
      <w:r>
        <w:rPr>
          <w:rFonts w:ascii="Arial" w:hAnsi="Arial" w:cs="Arial"/>
          <w:bCs/>
          <w:sz w:val="24"/>
          <w:szCs w:val="24"/>
        </w:rPr>
        <w:t>:</w:t>
      </w:r>
    </w:p>
    <w:p w14:paraId="7D8668B4" w14:textId="77777777" w:rsidR="008D74A0" w:rsidRPr="00247553" w:rsidRDefault="008D74A0" w:rsidP="008D74A0">
      <w:pPr>
        <w:pStyle w:val="Akapitzlist"/>
        <w:numPr>
          <w:ilvl w:val="0"/>
          <w:numId w:val="20"/>
        </w:numPr>
        <w:jc w:val="both"/>
        <w:rPr>
          <w:rFonts w:ascii="Arial" w:hAnsi="Arial"/>
          <w:bCs/>
          <w:sz w:val="24"/>
          <w:szCs w:val="24"/>
          <w:lang w:val="en-US"/>
        </w:rPr>
      </w:pPr>
      <w:r w:rsidRPr="00247553">
        <w:rPr>
          <w:rFonts w:ascii="Arial" w:hAnsi="Arial"/>
          <w:bCs/>
          <w:sz w:val="24"/>
          <w:szCs w:val="24"/>
          <w:lang w:val="en-US"/>
        </w:rPr>
        <w:t>The Invisalign Specifix™ Attachment System,</w:t>
      </w:r>
    </w:p>
    <w:p w14:paraId="286BC4E4" w14:textId="7A8FB036" w:rsidR="008D74A0" w:rsidRPr="009B4CF1" w:rsidRDefault="008D74A0" w:rsidP="008D74A0">
      <w:pPr>
        <w:pStyle w:val="Akapitzlist"/>
        <w:numPr>
          <w:ilvl w:val="0"/>
          <w:numId w:val="20"/>
        </w:numPr>
        <w:jc w:val="both"/>
        <w:rPr>
          <w:rFonts w:ascii="Arial" w:hAnsi="Arial"/>
          <w:bCs/>
          <w:sz w:val="24"/>
          <w:szCs w:val="24"/>
        </w:rPr>
      </w:pPr>
      <w:r w:rsidRPr="009B4CF1">
        <w:rPr>
          <w:rFonts w:ascii="Arial" w:hAnsi="Arial"/>
          <w:bCs/>
          <w:sz w:val="24"/>
          <w:szCs w:val="24"/>
        </w:rPr>
        <w:t>Invisalign</w:t>
      </w:r>
      <w:r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Pr="009B4CF1">
        <w:rPr>
          <w:rFonts w:ascii="Arial" w:hAnsi="Arial"/>
          <w:bCs/>
          <w:sz w:val="24"/>
          <w:szCs w:val="24"/>
        </w:rPr>
        <w:t xml:space="preserve"> integrated buttons</w:t>
      </w:r>
      <w:r w:rsidR="0022409C" w:rsidRPr="009B4CF1">
        <w:rPr>
          <w:rFonts w:ascii="Arial" w:hAnsi="Arial"/>
          <w:bCs/>
          <w:sz w:val="24"/>
          <w:szCs w:val="24"/>
        </w:rPr>
        <w:t xml:space="preserve"> – guziczki ortodontyczne zintegrowane z Invisalign</w:t>
      </w:r>
    </w:p>
    <w:p w14:paraId="496D3046" w14:textId="3AF5D988" w:rsidR="008D74A0" w:rsidRPr="00C1180A" w:rsidRDefault="008D74A0" w:rsidP="008D74A0">
      <w:pPr>
        <w:pStyle w:val="Akapitzlist"/>
        <w:numPr>
          <w:ilvl w:val="0"/>
          <w:numId w:val="20"/>
        </w:numPr>
        <w:jc w:val="both"/>
        <w:rPr>
          <w:rFonts w:ascii="Arial" w:hAnsi="Arial"/>
          <w:bCs/>
          <w:sz w:val="24"/>
          <w:szCs w:val="24"/>
        </w:rPr>
      </w:pPr>
      <w:r w:rsidRPr="00C1180A">
        <w:rPr>
          <w:rFonts w:ascii="Arial" w:hAnsi="Arial"/>
          <w:bCs/>
          <w:sz w:val="24"/>
          <w:szCs w:val="24"/>
        </w:rPr>
        <w:t>Invisalign</w:t>
      </w:r>
      <w:r w:rsidRPr="00C1180A">
        <w:rPr>
          <w:rFonts w:ascii="Arial" w:hAnsi="Arial"/>
          <w:bCs/>
          <w:sz w:val="24"/>
          <w:szCs w:val="24"/>
          <w:vertAlign w:val="superscript"/>
        </w:rPr>
        <w:t>®</w:t>
      </w:r>
      <w:r w:rsidRPr="00C1180A">
        <w:rPr>
          <w:rFonts w:ascii="Arial" w:hAnsi="Arial"/>
          <w:bCs/>
          <w:sz w:val="24"/>
          <w:szCs w:val="24"/>
        </w:rPr>
        <w:t xml:space="preserve"> Palatal Expander </w:t>
      </w:r>
      <w:r w:rsidR="00C1180A" w:rsidRPr="00C1180A">
        <w:rPr>
          <w:rFonts w:ascii="Arial" w:hAnsi="Arial"/>
          <w:bCs/>
          <w:sz w:val="24"/>
          <w:szCs w:val="24"/>
        </w:rPr>
        <w:t>– ekspander p</w:t>
      </w:r>
      <w:r w:rsidR="00C1180A" w:rsidRPr="00523293">
        <w:rPr>
          <w:rFonts w:ascii="Arial" w:hAnsi="Arial"/>
          <w:bCs/>
          <w:sz w:val="24"/>
          <w:szCs w:val="24"/>
        </w:rPr>
        <w:t>odniebie</w:t>
      </w:r>
      <w:r w:rsidR="00C1180A">
        <w:rPr>
          <w:rFonts w:ascii="Arial" w:hAnsi="Arial"/>
          <w:bCs/>
          <w:sz w:val="24"/>
          <w:szCs w:val="24"/>
        </w:rPr>
        <w:t xml:space="preserve">nny Invisalign </w:t>
      </w:r>
      <w:r w:rsidRPr="00C1180A">
        <w:rPr>
          <w:rFonts w:ascii="Arial" w:hAnsi="Arial" w:cs="Arial"/>
          <w:bCs/>
          <w:sz w:val="24"/>
          <w:szCs w:val="24"/>
        </w:rPr>
        <w:t>z zintegrowanymi haczykami,</w:t>
      </w:r>
    </w:p>
    <w:p w14:paraId="7E1B9B55" w14:textId="05675B5A" w:rsidR="008D74A0" w:rsidRPr="009B4CF1" w:rsidRDefault="008D74A0" w:rsidP="009B4CF1">
      <w:pPr>
        <w:pStyle w:val="Akapitzlist"/>
        <w:numPr>
          <w:ilvl w:val="0"/>
          <w:numId w:val="20"/>
        </w:numPr>
        <w:jc w:val="both"/>
        <w:rPr>
          <w:rFonts w:ascii="Arial" w:hAnsi="Arial"/>
          <w:bCs/>
          <w:sz w:val="24"/>
          <w:szCs w:val="24"/>
        </w:rPr>
      </w:pPr>
      <w:r w:rsidRPr="009B4CF1">
        <w:rPr>
          <w:rFonts w:ascii="Arial" w:hAnsi="Arial"/>
          <w:bCs/>
          <w:sz w:val="24"/>
          <w:szCs w:val="24"/>
        </w:rPr>
        <w:t xml:space="preserve">Możliwość indywidualnego dostosowania linii przycięcia nakładek Invisalign. </w:t>
      </w:r>
    </w:p>
    <w:p w14:paraId="12381F81" w14:textId="4B877855" w:rsidR="008C76B5" w:rsidRDefault="003C5150" w:rsidP="003C5150">
      <w:pPr>
        <w:jc w:val="both"/>
        <w:rPr>
          <w:rFonts w:ascii="Arial" w:hAnsi="Arial" w:cs="Arial"/>
          <w:bCs/>
          <w:sz w:val="24"/>
          <w:szCs w:val="24"/>
        </w:rPr>
      </w:pPr>
      <w:r w:rsidRPr="009B4CF1">
        <w:rPr>
          <w:rFonts w:ascii="Arial" w:hAnsi="Arial" w:cs="Arial"/>
          <w:bCs/>
          <w:sz w:val="24"/>
          <w:szCs w:val="24"/>
        </w:rPr>
        <w:t>Innowacje te zostały opracowane</w:t>
      </w:r>
      <w:r w:rsidRPr="003C5150">
        <w:rPr>
          <w:rFonts w:ascii="Arial" w:hAnsi="Arial" w:cs="Arial"/>
          <w:bCs/>
          <w:sz w:val="24"/>
          <w:szCs w:val="24"/>
        </w:rPr>
        <w:t xml:space="preserve"> z myślą o leczeniu nawet najbardziej złożonych </w:t>
      </w:r>
      <w:r w:rsidR="00B405A8">
        <w:rPr>
          <w:rFonts w:ascii="Arial" w:hAnsi="Arial" w:cs="Arial"/>
          <w:bCs/>
          <w:sz w:val="24"/>
          <w:szCs w:val="24"/>
        </w:rPr>
        <w:t>przypadków</w:t>
      </w:r>
      <w:r w:rsidR="00B405A8" w:rsidRPr="003C5150">
        <w:rPr>
          <w:rFonts w:ascii="Arial" w:hAnsi="Arial" w:cs="Arial"/>
          <w:bCs/>
          <w:sz w:val="24"/>
          <w:szCs w:val="24"/>
        </w:rPr>
        <w:t xml:space="preserve"> </w:t>
      </w:r>
      <w:r w:rsidRPr="003C5150">
        <w:rPr>
          <w:rFonts w:ascii="Arial" w:hAnsi="Arial" w:cs="Arial"/>
          <w:bCs/>
          <w:sz w:val="24"/>
          <w:szCs w:val="24"/>
        </w:rPr>
        <w:t>klinicznych</w:t>
      </w:r>
      <w:r w:rsidR="00672C80">
        <w:rPr>
          <w:rFonts w:ascii="Arial" w:hAnsi="Arial" w:cs="Arial"/>
          <w:bCs/>
          <w:sz w:val="24"/>
          <w:szCs w:val="24"/>
        </w:rPr>
        <w:t>,</w:t>
      </w:r>
      <w:r w:rsidRPr="003C5150">
        <w:rPr>
          <w:rFonts w:ascii="Arial" w:hAnsi="Arial" w:cs="Arial"/>
          <w:bCs/>
          <w:sz w:val="24"/>
          <w:szCs w:val="24"/>
        </w:rPr>
        <w:t xml:space="preserve"> </w:t>
      </w:r>
      <w:r w:rsidR="00672C80" w:rsidRPr="003C5150">
        <w:rPr>
          <w:rFonts w:ascii="Arial" w:hAnsi="Arial" w:cs="Arial"/>
          <w:bCs/>
          <w:sz w:val="24"/>
          <w:szCs w:val="24"/>
        </w:rPr>
        <w:t xml:space="preserve">w tym wad klasy II </w:t>
      </w:r>
      <w:r w:rsidRPr="003C5150">
        <w:rPr>
          <w:rFonts w:ascii="Arial" w:hAnsi="Arial" w:cs="Arial"/>
          <w:bCs/>
          <w:sz w:val="24"/>
          <w:szCs w:val="24"/>
        </w:rPr>
        <w:t>u dzieci, nastolatków i dorosłych, przy jednoczesnym zwiększaniu precyzji leczenia, efektywności pracy gabinetów oraz poprawie doświadczeń pacjentów.</w:t>
      </w:r>
    </w:p>
    <w:p w14:paraId="550C4191" w14:textId="41A99BF8" w:rsidR="00B80061" w:rsidRDefault="006F2BFD" w:rsidP="00B800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– </w:t>
      </w:r>
      <w:r w:rsidR="000066B5" w:rsidRPr="009B4CF1">
        <w:rPr>
          <w:rFonts w:ascii="Arial" w:hAnsi="Arial" w:cs="Arial"/>
          <w:bCs/>
          <w:i/>
          <w:iCs/>
          <w:sz w:val="24"/>
          <w:szCs w:val="24"/>
        </w:rPr>
        <w:t>Kon</w:t>
      </w:r>
      <w:r w:rsidR="0022409C">
        <w:rPr>
          <w:rFonts w:ascii="Arial" w:hAnsi="Arial" w:cs="Arial"/>
          <w:bCs/>
          <w:i/>
          <w:iCs/>
          <w:sz w:val="24"/>
          <w:szCs w:val="24"/>
        </w:rPr>
        <w:t>ferencja</w:t>
      </w:r>
      <w:r w:rsidR="000066B5" w:rsidRPr="009B4CF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>został</w:t>
      </w:r>
      <w:r w:rsidR="0022409C">
        <w:rPr>
          <w:rFonts w:ascii="Arial" w:hAnsi="Arial" w:cs="Arial"/>
          <w:bCs/>
          <w:i/>
          <w:iCs/>
          <w:sz w:val="24"/>
          <w:szCs w:val="24"/>
        </w:rPr>
        <w:t>a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72C80" w:rsidRPr="009B4CF1">
        <w:rPr>
          <w:rFonts w:ascii="Arial" w:hAnsi="Arial" w:cs="Arial"/>
          <w:bCs/>
          <w:i/>
          <w:iCs/>
          <w:sz w:val="24"/>
          <w:szCs w:val="24"/>
        </w:rPr>
        <w:t>zaplanowan</w:t>
      </w:r>
      <w:r w:rsidR="0022409C">
        <w:rPr>
          <w:rFonts w:ascii="Arial" w:hAnsi="Arial" w:cs="Arial"/>
          <w:bCs/>
          <w:i/>
          <w:iCs/>
          <w:sz w:val="24"/>
          <w:szCs w:val="24"/>
        </w:rPr>
        <w:t>a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tak, aby wspierać budowanie relacji i współpracę z lekarzami Invisalign. </w:t>
      </w:r>
      <w:r w:rsidR="0022409C">
        <w:rPr>
          <w:rFonts w:ascii="Arial" w:hAnsi="Arial" w:cs="Arial"/>
          <w:bCs/>
          <w:i/>
          <w:iCs/>
          <w:sz w:val="24"/>
          <w:szCs w:val="24"/>
        </w:rPr>
        <w:t>Program o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>pierał się na prostej idei: doświadczenie ma znaczenie. Osiąganie skutecznych i przewidywalnych wyników, poprawa efektywności oraz podnoszenie jakości doświadczeń pacjentów dzięki cyfrowej ortodoncji wymaga czegoś więcej niż innowacji</w:t>
      </w:r>
      <w:r w:rsidR="004B42F9" w:rsidRPr="009B4CF1">
        <w:rPr>
          <w:rFonts w:ascii="Arial" w:hAnsi="Arial" w:cs="Arial"/>
          <w:bCs/>
          <w:i/>
          <w:iCs/>
          <w:sz w:val="24"/>
          <w:szCs w:val="24"/>
        </w:rPr>
        <w:t xml:space="preserve"> –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kluczową rolę odgrywa doświadczeni</w:t>
      </w:r>
      <w:r w:rsidR="00060439" w:rsidRPr="009B4CF1">
        <w:rPr>
          <w:rFonts w:ascii="Arial" w:hAnsi="Arial" w:cs="Arial"/>
          <w:bCs/>
          <w:i/>
          <w:iCs/>
          <w:sz w:val="24"/>
          <w:szCs w:val="24"/>
        </w:rPr>
        <w:t>e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lekarz</w:t>
      </w:r>
      <w:r w:rsidR="00060439" w:rsidRPr="009B4CF1">
        <w:rPr>
          <w:rFonts w:ascii="Arial" w:hAnsi="Arial" w:cs="Arial"/>
          <w:bCs/>
          <w:i/>
          <w:iCs/>
          <w:sz w:val="24"/>
          <w:szCs w:val="24"/>
        </w:rPr>
        <w:t>y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, którzy potrafią skutecznie wdrażać ją w codziennej praktyce.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Poprzez połączenie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>zintegrowan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>ych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rozwiąza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>ń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cyfrowych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Align z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rzeczywistymi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doświadczeniami klinicznymi, Invisalign EMEA Ortho Summit zjednoczył region i stworzył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przestrzeń do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współpracy z ekspertami,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wzmacniania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pewności klinicznej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>i prezentacji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naszy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ch </w:t>
      </w:r>
      <w:r w:rsidR="0022409C">
        <w:rPr>
          <w:rFonts w:ascii="Arial" w:hAnsi="Arial" w:cs="Arial"/>
          <w:bCs/>
          <w:i/>
          <w:iCs/>
          <w:sz w:val="24"/>
          <w:szCs w:val="24"/>
        </w:rPr>
        <w:t>kolejnych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innowacji.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Cieszymy się 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>również, że mogliśmy zaoferować uczestnikom wczesny dostęp do technologii 3D Soft Tissue Animation</w:t>
      </w:r>
      <w:r w:rsidR="0022409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>jako pierws</w:t>
      </w:r>
      <w:r w:rsidR="0022409C">
        <w:rPr>
          <w:rFonts w:ascii="Arial" w:hAnsi="Arial" w:cs="Arial"/>
          <w:bCs/>
          <w:i/>
          <w:iCs/>
          <w:sz w:val="24"/>
          <w:szCs w:val="24"/>
        </w:rPr>
        <w:t>zym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 klien</w:t>
      </w:r>
      <w:r w:rsidR="0022409C">
        <w:rPr>
          <w:rFonts w:ascii="Arial" w:hAnsi="Arial" w:cs="Arial"/>
          <w:bCs/>
          <w:i/>
          <w:iCs/>
          <w:sz w:val="24"/>
          <w:szCs w:val="24"/>
        </w:rPr>
        <w:t>tom</w:t>
      </w:r>
      <w:r w:rsidR="00B80061" w:rsidRPr="009B4CF1">
        <w:rPr>
          <w:rFonts w:ascii="Arial" w:hAnsi="Arial" w:cs="Arial"/>
          <w:bCs/>
          <w:i/>
          <w:iCs/>
          <w:sz w:val="24"/>
          <w:szCs w:val="24"/>
        </w:rPr>
        <w:t xml:space="preserve"> Invisalign w regionie EMEA</w:t>
      </w:r>
      <w:r w:rsidR="00F03AEA" w:rsidRPr="009B4CF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 podkreślił</w:t>
      </w:r>
      <w:r w:rsidRPr="00B80061">
        <w:rPr>
          <w:rFonts w:ascii="Arial" w:hAnsi="Arial" w:cs="Arial"/>
          <w:bCs/>
          <w:sz w:val="24"/>
          <w:szCs w:val="24"/>
        </w:rPr>
        <w:t xml:space="preserve"> </w:t>
      </w:r>
      <w:r w:rsidRPr="007522B5">
        <w:rPr>
          <w:rFonts w:ascii="Arial" w:hAnsi="Arial" w:cs="Arial"/>
          <w:b/>
          <w:sz w:val="24"/>
          <w:szCs w:val="24"/>
        </w:rPr>
        <w:t xml:space="preserve">David Carr, </w:t>
      </w:r>
      <w:r>
        <w:rPr>
          <w:rFonts w:ascii="Arial" w:hAnsi="Arial" w:cs="Arial"/>
          <w:b/>
          <w:sz w:val="24"/>
          <w:szCs w:val="24"/>
        </w:rPr>
        <w:t>w</w:t>
      </w:r>
      <w:r w:rsidRPr="007522B5">
        <w:rPr>
          <w:rFonts w:ascii="Arial" w:hAnsi="Arial" w:cs="Arial"/>
          <w:b/>
          <w:sz w:val="24"/>
          <w:szCs w:val="24"/>
        </w:rPr>
        <w:t>iceprezes wykonawczy oraz dyrektor zarządzający regionem EMEA w Align Technology</w:t>
      </w:r>
      <w:r>
        <w:rPr>
          <w:rFonts w:ascii="Arial" w:hAnsi="Arial" w:cs="Arial"/>
          <w:bCs/>
          <w:sz w:val="24"/>
          <w:szCs w:val="24"/>
        </w:rPr>
        <w:t>.</w:t>
      </w:r>
    </w:p>
    <w:p w14:paraId="2F7352DA" w14:textId="22D13FFA" w:rsidR="00B80061" w:rsidRDefault="00683A46" w:rsidP="00B800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Align </w:t>
      </w:r>
      <w:r w:rsidR="00B80061" w:rsidRPr="00B80061">
        <w:rPr>
          <w:rFonts w:ascii="Arial" w:hAnsi="Arial" w:cs="Arial"/>
          <w:b/>
          <w:sz w:val="24"/>
          <w:szCs w:val="24"/>
        </w:rPr>
        <w:t>Innovation Hub prezentuje przyszłość ortodoncji</w:t>
      </w:r>
    </w:p>
    <w:p w14:paraId="015C736E" w14:textId="4B918498" w:rsidR="00B80061" w:rsidRPr="00B80061" w:rsidRDefault="00B80061" w:rsidP="00B80061">
      <w:pPr>
        <w:jc w:val="both"/>
        <w:rPr>
          <w:rFonts w:ascii="Arial" w:hAnsi="Arial" w:cs="Arial"/>
          <w:bCs/>
          <w:sz w:val="24"/>
          <w:szCs w:val="24"/>
        </w:rPr>
      </w:pPr>
      <w:r w:rsidRPr="00B80061">
        <w:rPr>
          <w:rFonts w:ascii="Arial" w:hAnsi="Arial" w:cs="Arial"/>
          <w:bCs/>
          <w:sz w:val="24"/>
          <w:szCs w:val="24"/>
        </w:rPr>
        <w:lastRenderedPageBreak/>
        <w:t xml:space="preserve">Centralnym punktem </w:t>
      </w:r>
      <w:r w:rsidR="0022409C">
        <w:rPr>
          <w:rFonts w:ascii="Arial" w:hAnsi="Arial" w:cs="Arial"/>
          <w:bCs/>
          <w:sz w:val="24"/>
          <w:szCs w:val="24"/>
        </w:rPr>
        <w:t>konferencji</w:t>
      </w:r>
      <w:r w:rsidR="00683A46" w:rsidRPr="00B80061">
        <w:rPr>
          <w:rFonts w:ascii="Arial" w:hAnsi="Arial" w:cs="Arial"/>
          <w:bCs/>
          <w:sz w:val="24"/>
          <w:szCs w:val="24"/>
        </w:rPr>
        <w:t xml:space="preserve"> </w:t>
      </w:r>
      <w:r w:rsidRPr="00B80061">
        <w:rPr>
          <w:rFonts w:ascii="Arial" w:hAnsi="Arial" w:cs="Arial"/>
          <w:bCs/>
          <w:sz w:val="24"/>
          <w:szCs w:val="24"/>
        </w:rPr>
        <w:t xml:space="preserve">był Align Innovation Hub </w:t>
      </w:r>
      <w:r w:rsidR="00F03AEA">
        <w:rPr>
          <w:rFonts w:ascii="Arial" w:hAnsi="Arial" w:cs="Arial"/>
          <w:bCs/>
          <w:sz w:val="24"/>
          <w:szCs w:val="24"/>
        </w:rPr>
        <w:t>–</w:t>
      </w:r>
      <w:r w:rsidRPr="00B80061">
        <w:rPr>
          <w:rFonts w:ascii="Arial" w:hAnsi="Arial" w:cs="Arial"/>
          <w:bCs/>
          <w:sz w:val="24"/>
          <w:szCs w:val="24"/>
        </w:rPr>
        <w:t xml:space="preserve"> interaktywna, kompleksowa prezentacja nowoczesnej cyfrowej praktyki ortodontycznej. </w:t>
      </w:r>
      <w:r w:rsidR="00E60A8F">
        <w:rPr>
          <w:rFonts w:ascii="Arial" w:hAnsi="Arial" w:cs="Arial"/>
          <w:bCs/>
          <w:sz w:val="24"/>
          <w:szCs w:val="24"/>
        </w:rPr>
        <w:t>Hub został z</w:t>
      </w:r>
      <w:r w:rsidRPr="00B80061">
        <w:rPr>
          <w:rFonts w:ascii="Arial" w:hAnsi="Arial" w:cs="Arial"/>
          <w:bCs/>
          <w:sz w:val="24"/>
          <w:szCs w:val="24"/>
        </w:rPr>
        <w:t xml:space="preserve">aprojektowany </w:t>
      </w:r>
      <w:r w:rsidR="00E60A8F">
        <w:rPr>
          <w:rFonts w:ascii="Arial" w:hAnsi="Arial" w:cs="Arial"/>
          <w:bCs/>
          <w:sz w:val="24"/>
          <w:szCs w:val="24"/>
        </w:rPr>
        <w:t xml:space="preserve">w taki sposób, aby </w:t>
      </w:r>
      <w:r w:rsidR="0058484D">
        <w:rPr>
          <w:rFonts w:ascii="Arial" w:hAnsi="Arial" w:cs="Arial"/>
          <w:bCs/>
          <w:sz w:val="24"/>
          <w:szCs w:val="24"/>
        </w:rPr>
        <w:t>symulować rzeczywistą</w:t>
      </w:r>
      <w:r w:rsidRPr="00B80061">
        <w:rPr>
          <w:rFonts w:ascii="Arial" w:hAnsi="Arial" w:cs="Arial"/>
          <w:bCs/>
          <w:sz w:val="24"/>
          <w:szCs w:val="24"/>
        </w:rPr>
        <w:t xml:space="preserve"> ścieżk</w:t>
      </w:r>
      <w:r w:rsidR="00E60A8F">
        <w:rPr>
          <w:rFonts w:ascii="Arial" w:hAnsi="Arial" w:cs="Arial"/>
          <w:bCs/>
          <w:sz w:val="24"/>
          <w:szCs w:val="24"/>
        </w:rPr>
        <w:t>ę</w:t>
      </w:r>
      <w:r w:rsidRPr="00B80061">
        <w:rPr>
          <w:rFonts w:ascii="Arial" w:hAnsi="Arial" w:cs="Arial"/>
          <w:bCs/>
          <w:sz w:val="24"/>
          <w:szCs w:val="24"/>
        </w:rPr>
        <w:t xml:space="preserve"> pacjenta</w:t>
      </w:r>
      <w:r w:rsidR="00E60A8F">
        <w:rPr>
          <w:rFonts w:ascii="Arial" w:hAnsi="Arial" w:cs="Arial"/>
          <w:bCs/>
          <w:sz w:val="24"/>
          <w:szCs w:val="24"/>
        </w:rPr>
        <w:t xml:space="preserve"> i</w:t>
      </w:r>
      <w:r w:rsidRPr="00B80061">
        <w:rPr>
          <w:rFonts w:ascii="Arial" w:hAnsi="Arial" w:cs="Arial"/>
          <w:bCs/>
          <w:sz w:val="24"/>
          <w:szCs w:val="24"/>
        </w:rPr>
        <w:t xml:space="preserve"> </w:t>
      </w:r>
      <w:r w:rsidR="00DD7FEE">
        <w:rPr>
          <w:rFonts w:ascii="Arial" w:hAnsi="Arial" w:cs="Arial"/>
          <w:bCs/>
          <w:sz w:val="24"/>
          <w:szCs w:val="24"/>
        </w:rPr>
        <w:t>przeprowadzi</w:t>
      </w:r>
      <w:r w:rsidR="00E60A8F">
        <w:rPr>
          <w:rFonts w:ascii="Arial" w:hAnsi="Arial" w:cs="Arial"/>
          <w:bCs/>
          <w:sz w:val="24"/>
          <w:szCs w:val="24"/>
        </w:rPr>
        <w:t>ć przez nią</w:t>
      </w:r>
      <w:r w:rsidR="00DD7FEE">
        <w:rPr>
          <w:rFonts w:ascii="Arial" w:hAnsi="Arial" w:cs="Arial"/>
          <w:bCs/>
          <w:sz w:val="24"/>
          <w:szCs w:val="24"/>
        </w:rPr>
        <w:t xml:space="preserve"> uczestników</w:t>
      </w:r>
      <w:r w:rsidRPr="00B80061">
        <w:rPr>
          <w:rFonts w:ascii="Arial" w:hAnsi="Arial" w:cs="Arial"/>
          <w:bCs/>
          <w:sz w:val="24"/>
          <w:szCs w:val="24"/>
        </w:rPr>
        <w:t xml:space="preserve"> </w:t>
      </w:r>
      <w:r w:rsidR="00E60A8F">
        <w:rPr>
          <w:rFonts w:ascii="Arial" w:hAnsi="Arial" w:cs="Arial"/>
          <w:bCs/>
          <w:sz w:val="24"/>
          <w:szCs w:val="24"/>
        </w:rPr>
        <w:t xml:space="preserve">– </w:t>
      </w:r>
      <w:r w:rsidRPr="00B80061">
        <w:rPr>
          <w:rFonts w:ascii="Arial" w:hAnsi="Arial" w:cs="Arial"/>
          <w:bCs/>
          <w:sz w:val="24"/>
          <w:szCs w:val="24"/>
        </w:rPr>
        <w:t>od konsultacji, przez leczenie, aż po retencję, pokazując, jak narzędzia cyfrowe mogą ze sobą płynnie współpracować.</w:t>
      </w:r>
    </w:p>
    <w:p w14:paraId="6A2A26BF" w14:textId="4FCCC926" w:rsidR="00F3138E" w:rsidRDefault="006F2BFD" w:rsidP="0022409C">
      <w:pPr>
        <w:jc w:val="both"/>
        <w:rPr>
          <w:rFonts w:ascii="Arial" w:hAnsi="Arial" w:cs="Arial"/>
          <w:bCs/>
          <w:sz w:val="24"/>
          <w:szCs w:val="24"/>
        </w:rPr>
      </w:pPr>
      <w:r w:rsidRPr="009B4CF1">
        <w:rPr>
          <w:rFonts w:ascii="Arial" w:hAnsi="Arial" w:cs="Arial"/>
          <w:bCs/>
          <w:sz w:val="24"/>
          <w:szCs w:val="24"/>
        </w:rPr>
        <w:t xml:space="preserve">Innovation </w:t>
      </w:r>
      <w:r w:rsidR="00F3138E" w:rsidRPr="009B4CF1">
        <w:rPr>
          <w:rFonts w:ascii="Arial" w:hAnsi="Arial" w:cs="Arial"/>
          <w:bCs/>
          <w:sz w:val="24"/>
          <w:szCs w:val="24"/>
        </w:rPr>
        <w:t>Hub obejmował</w:t>
      </w:r>
      <w:r w:rsidR="0022409C">
        <w:rPr>
          <w:rFonts w:ascii="Arial" w:hAnsi="Arial" w:cs="Arial"/>
          <w:bCs/>
          <w:sz w:val="24"/>
          <w:szCs w:val="24"/>
        </w:rPr>
        <w:t xml:space="preserve"> również g</w:t>
      </w:r>
      <w:r w:rsidR="00F3138E" w:rsidRPr="009B4CF1">
        <w:rPr>
          <w:rFonts w:ascii="Arial" w:hAnsi="Arial" w:cs="Arial"/>
          <w:bCs/>
          <w:sz w:val="24"/>
          <w:szCs w:val="24"/>
        </w:rPr>
        <w:t>aleri</w:t>
      </w:r>
      <w:r w:rsidR="00683A46" w:rsidRPr="009B4CF1">
        <w:rPr>
          <w:rFonts w:ascii="Arial" w:hAnsi="Arial" w:cs="Arial"/>
          <w:bCs/>
          <w:sz w:val="24"/>
          <w:szCs w:val="24"/>
        </w:rPr>
        <w:t>ę</w:t>
      </w:r>
      <w:r w:rsidR="00F3138E" w:rsidRPr="009B4CF1">
        <w:rPr>
          <w:rFonts w:ascii="Arial" w:hAnsi="Arial" w:cs="Arial"/>
          <w:bCs/>
          <w:sz w:val="24"/>
          <w:szCs w:val="24"/>
        </w:rPr>
        <w:t xml:space="preserve"> aktualnych oraz nadchodzących innowacji</w:t>
      </w:r>
      <w:r w:rsidR="0022409C" w:rsidRPr="009B4CF1">
        <w:rPr>
          <w:rFonts w:ascii="Arial" w:hAnsi="Arial" w:cs="Arial"/>
          <w:bCs/>
          <w:sz w:val="24"/>
          <w:szCs w:val="24"/>
        </w:rPr>
        <w:t xml:space="preserve">, </w:t>
      </w:r>
      <w:r w:rsidR="006E1818">
        <w:rPr>
          <w:rFonts w:ascii="Arial" w:hAnsi="Arial" w:cs="Arial"/>
          <w:bCs/>
          <w:sz w:val="24"/>
          <w:szCs w:val="24"/>
        </w:rPr>
        <w:t>które Align planuje wdrożyć w połowie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2026 roku</w:t>
      </w:r>
      <w:r w:rsidR="0022409C">
        <w:rPr>
          <w:rFonts w:ascii="Arial" w:hAnsi="Arial" w:cs="Arial"/>
          <w:bCs/>
          <w:sz w:val="24"/>
          <w:szCs w:val="24"/>
        </w:rPr>
        <w:t>.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22409C">
        <w:rPr>
          <w:rFonts w:ascii="Arial" w:hAnsi="Arial" w:cs="Arial"/>
          <w:bCs/>
          <w:sz w:val="24"/>
          <w:szCs w:val="24"/>
        </w:rPr>
        <w:t>M</w:t>
      </w:r>
      <w:r w:rsidR="00683A46">
        <w:rPr>
          <w:rFonts w:ascii="Arial" w:hAnsi="Arial" w:cs="Arial"/>
          <w:bCs/>
          <w:sz w:val="24"/>
          <w:szCs w:val="24"/>
        </w:rPr>
        <w:t>ają</w:t>
      </w:r>
      <w:r w:rsidR="0022409C">
        <w:rPr>
          <w:rFonts w:ascii="Arial" w:hAnsi="Arial" w:cs="Arial"/>
          <w:bCs/>
          <w:sz w:val="24"/>
          <w:szCs w:val="24"/>
        </w:rPr>
        <w:t xml:space="preserve"> one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zwięks</w:t>
      </w:r>
      <w:r w:rsidR="00683A46">
        <w:rPr>
          <w:rFonts w:ascii="Arial" w:hAnsi="Arial" w:cs="Arial"/>
          <w:bCs/>
          <w:sz w:val="24"/>
          <w:szCs w:val="24"/>
        </w:rPr>
        <w:t xml:space="preserve">zać </w:t>
      </w:r>
      <w:r w:rsidR="00F3138E" w:rsidRPr="00F3138E">
        <w:rPr>
          <w:rFonts w:ascii="Arial" w:hAnsi="Arial" w:cs="Arial"/>
          <w:bCs/>
          <w:sz w:val="24"/>
          <w:szCs w:val="24"/>
        </w:rPr>
        <w:t>precyzj</w:t>
      </w:r>
      <w:r w:rsidR="00683A46">
        <w:rPr>
          <w:rFonts w:ascii="Arial" w:hAnsi="Arial" w:cs="Arial"/>
          <w:bCs/>
          <w:sz w:val="24"/>
          <w:szCs w:val="24"/>
        </w:rPr>
        <w:t>ę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i spójnoś</w:t>
      </w:r>
      <w:r w:rsidR="008057A0">
        <w:rPr>
          <w:rFonts w:ascii="Arial" w:hAnsi="Arial" w:cs="Arial"/>
          <w:bCs/>
          <w:sz w:val="24"/>
          <w:szCs w:val="24"/>
        </w:rPr>
        <w:t>ć procedur dotychczas wykonywanych głównie manualnie</w:t>
      </w:r>
      <w:r w:rsidR="006E1818">
        <w:rPr>
          <w:rFonts w:ascii="Arial" w:hAnsi="Arial" w:cs="Arial"/>
          <w:bCs/>
          <w:sz w:val="24"/>
          <w:szCs w:val="24"/>
        </w:rPr>
        <w:t>. Wśród nich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znalazły się:</w:t>
      </w:r>
    </w:p>
    <w:p w14:paraId="2642EBFE" w14:textId="522C0D43" w:rsidR="00F3138E" w:rsidRPr="00AE0079" w:rsidRDefault="00F3138E" w:rsidP="00AE007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DD7FEE">
        <w:rPr>
          <w:rFonts w:ascii="Arial" w:hAnsi="Arial" w:cs="Arial"/>
          <w:b/>
          <w:sz w:val="24"/>
          <w:szCs w:val="24"/>
        </w:rPr>
        <w:t>Invisalign Specifix™ Attachment System</w:t>
      </w:r>
      <w:r w:rsidRPr="00F3138E">
        <w:rPr>
          <w:rFonts w:ascii="Arial" w:hAnsi="Arial" w:cs="Arial"/>
          <w:bCs/>
          <w:sz w:val="24"/>
          <w:szCs w:val="24"/>
        </w:rPr>
        <w:t xml:space="preserve"> – </w:t>
      </w:r>
      <w:r w:rsidR="00C1180A" w:rsidRPr="00523293">
        <w:rPr>
          <w:rFonts w:ascii="Arial" w:hAnsi="Arial" w:cs="Arial"/>
          <w:bCs/>
          <w:sz w:val="24"/>
          <w:szCs w:val="24"/>
        </w:rPr>
        <w:t xml:space="preserve">system </w:t>
      </w:r>
      <w:r w:rsidR="00F35D94">
        <w:rPr>
          <w:rFonts w:ascii="Arial" w:hAnsi="Arial" w:cs="Arial"/>
          <w:bCs/>
          <w:sz w:val="24"/>
          <w:szCs w:val="24"/>
        </w:rPr>
        <w:t>zaczepów</w:t>
      </w:r>
      <w:r w:rsidR="00C1180A" w:rsidRPr="00523293">
        <w:rPr>
          <w:rFonts w:ascii="Arial" w:hAnsi="Arial" w:cs="Arial"/>
          <w:bCs/>
          <w:sz w:val="24"/>
          <w:szCs w:val="24"/>
        </w:rPr>
        <w:t xml:space="preserve"> drukowanych w technologii 3D, który łączy </w:t>
      </w:r>
      <w:r w:rsidR="00F35D94">
        <w:rPr>
          <w:rFonts w:ascii="Arial" w:hAnsi="Arial" w:cs="Arial"/>
          <w:bCs/>
          <w:sz w:val="24"/>
          <w:szCs w:val="24"/>
        </w:rPr>
        <w:t>zaczepy</w:t>
      </w:r>
      <w:r w:rsidR="00C1180A" w:rsidRPr="00523293">
        <w:rPr>
          <w:rFonts w:ascii="Arial" w:hAnsi="Arial" w:cs="Arial"/>
          <w:bCs/>
          <w:sz w:val="24"/>
          <w:szCs w:val="24"/>
        </w:rPr>
        <w:t xml:space="preserve"> drukowane w dokładnym kształcie i rozmiarze określonym w planie leczenia lekarza z innowacyjnym narzędziem do ich precyzyjnego bondingu</w:t>
      </w:r>
      <w:r w:rsidR="00523293"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  <w:r w:rsidR="00523293" w:rsidRPr="00F3138E">
        <w:rPr>
          <w:rFonts w:ascii="Arial" w:hAnsi="Arial" w:cs="Arial"/>
          <w:bCs/>
          <w:sz w:val="24"/>
          <w:szCs w:val="24"/>
        </w:rPr>
        <w:t>.</w:t>
      </w:r>
      <w:r w:rsidR="00AE0079">
        <w:rPr>
          <w:rFonts w:ascii="Arial" w:hAnsi="Arial" w:cs="Arial"/>
          <w:bCs/>
          <w:sz w:val="24"/>
          <w:szCs w:val="24"/>
        </w:rPr>
        <w:t xml:space="preserve"> </w:t>
      </w:r>
      <w:r w:rsidRPr="00AE0079">
        <w:rPr>
          <w:rFonts w:ascii="Arial" w:hAnsi="Arial" w:cs="Arial"/>
          <w:bCs/>
          <w:sz w:val="24"/>
          <w:szCs w:val="24"/>
        </w:rPr>
        <w:t>System Specifix</w:t>
      </w:r>
      <w:r w:rsidR="00C1180A" w:rsidRPr="00AE0079">
        <w:rPr>
          <w:rFonts w:ascii="Arial" w:hAnsi="Arial" w:cs="Arial"/>
          <w:bCs/>
          <w:sz w:val="24"/>
          <w:szCs w:val="24"/>
        </w:rPr>
        <w:t xml:space="preserve"> Attachment</w:t>
      </w:r>
      <w:r w:rsidRPr="00AE0079">
        <w:rPr>
          <w:rFonts w:ascii="Arial" w:hAnsi="Arial" w:cs="Arial"/>
          <w:bCs/>
          <w:sz w:val="24"/>
          <w:szCs w:val="24"/>
        </w:rPr>
        <w:t xml:space="preserve"> został zaprojektowany tak, aby ograniczyć zmienność rozmiaru i umiejscowienia </w:t>
      </w:r>
      <w:r w:rsidR="00F35D94" w:rsidRPr="00AE0079">
        <w:rPr>
          <w:rFonts w:ascii="Arial" w:hAnsi="Arial" w:cs="Arial"/>
          <w:bCs/>
          <w:sz w:val="24"/>
          <w:szCs w:val="24"/>
        </w:rPr>
        <w:t>zaczepów</w:t>
      </w:r>
      <w:r w:rsidRPr="00AE0079">
        <w:rPr>
          <w:rFonts w:ascii="Arial" w:hAnsi="Arial" w:cs="Arial"/>
          <w:bCs/>
          <w:sz w:val="24"/>
          <w:szCs w:val="24"/>
        </w:rPr>
        <w:t>, zwiększyć powtarzalność oraz usprawnić cały proces ich zakładania.</w:t>
      </w:r>
    </w:p>
    <w:p w14:paraId="4EEEB664" w14:textId="6A9B227D" w:rsidR="00F3138E" w:rsidRPr="00F3138E" w:rsidRDefault="00F3138E" w:rsidP="00F3138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B4CF1">
        <w:rPr>
          <w:rFonts w:ascii="Arial" w:hAnsi="Arial" w:cs="Arial"/>
          <w:b/>
          <w:sz w:val="24"/>
          <w:szCs w:val="24"/>
        </w:rPr>
        <w:t>Invisalign</w:t>
      </w:r>
      <w:r w:rsidR="0098235F" w:rsidRPr="009B4CF1">
        <w:rPr>
          <w:rFonts w:ascii="Arial" w:hAnsi="Arial"/>
          <w:bCs/>
          <w:sz w:val="24"/>
          <w:szCs w:val="24"/>
          <w:vertAlign w:val="superscript"/>
        </w:rPr>
        <w:t>®</w:t>
      </w:r>
      <w:r w:rsidRPr="009B4CF1">
        <w:rPr>
          <w:rFonts w:ascii="Arial" w:hAnsi="Arial" w:cs="Arial"/>
          <w:b/>
          <w:sz w:val="24"/>
          <w:szCs w:val="24"/>
        </w:rPr>
        <w:t xml:space="preserve"> integrated buttons</w:t>
      </w:r>
      <w:r w:rsidRPr="009B4CF1">
        <w:rPr>
          <w:rFonts w:ascii="Arial" w:hAnsi="Arial" w:cs="Arial"/>
          <w:bCs/>
          <w:sz w:val="24"/>
          <w:szCs w:val="24"/>
        </w:rPr>
        <w:t xml:space="preserve"> – nowe cyfrowe podejście do małych </w:t>
      </w:r>
      <w:r w:rsidR="0022409C" w:rsidRPr="009B4CF1">
        <w:rPr>
          <w:rFonts w:ascii="Arial" w:hAnsi="Arial" w:cs="Arial"/>
          <w:bCs/>
          <w:sz w:val="24"/>
          <w:szCs w:val="24"/>
        </w:rPr>
        <w:t>guziczków</w:t>
      </w:r>
      <w:r w:rsidRPr="009B4CF1">
        <w:rPr>
          <w:rFonts w:ascii="Arial" w:hAnsi="Arial" w:cs="Arial"/>
          <w:bCs/>
          <w:sz w:val="24"/>
          <w:szCs w:val="24"/>
        </w:rPr>
        <w:t xml:space="preserve"> stosowanych do </w:t>
      </w:r>
      <w:r w:rsidR="0058484D" w:rsidRPr="009B4CF1">
        <w:rPr>
          <w:rFonts w:ascii="Arial" w:hAnsi="Arial" w:cs="Arial"/>
          <w:bCs/>
          <w:sz w:val="24"/>
          <w:szCs w:val="24"/>
        </w:rPr>
        <w:t xml:space="preserve">mocowania </w:t>
      </w:r>
      <w:r w:rsidR="005B3380" w:rsidRPr="009B4CF1">
        <w:rPr>
          <w:rFonts w:ascii="Arial" w:hAnsi="Arial" w:cs="Arial"/>
          <w:bCs/>
          <w:sz w:val="24"/>
          <w:szCs w:val="24"/>
        </w:rPr>
        <w:t xml:space="preserve">wyciągów </w:t>
      </w:r>
      <w:r w:rsidRPr="009B4CF1">
        <w:rPr>
          <w:rFonts w:ascii="Arial" w:hAnsi="Arial" w:cs="Arial"/>
          <w:bCs/>
          <w:sz w:val="24"/>
          <w:szCs w:val="24"/>
        </w:rPr>
        <w:t xml:space="preserve">i </w:t>
      </w:r>
      <w:r w:rsidR="001E05C4" w:rsidRPr="009B4CF1">
        <w:rPr>
          <w:rFonts w:ascii="Arial" w:hAnsi="Arial" w:cs="Arial"/>
          <w:bCs/>
          <w:sz w:val="24"/>
          <w:szCs w:val="24"/>
        </w:rPr>
        <w:t xml:space="preserve">precyzyjnego korygowania wad zgryzu i rotacji zębów </w:t>
      </w:r>
      <w:r w:rsidRPr="009B4CF1">
        <w:rPr>
          <w:rFonts w:ascii="Arial" w:hAnsi="Arial" w:cs="Arial"/>
          <w:bCs/>
          <w:sz w:val="24"/>
          <w:szCs w:val="24"/>
        </w:rPr>
        <w:t xml:space="preserve">w trakcie leczenia. Zintegrowane cyfrowo </w:t>
      </w:r>
      <w:r w:rsidR="006E1818" w:rsidRPr="009B4CF1">
        <w:rPr>
          <w:rFonts w:ascii="Arial" w:hAnsi="Arial" w:cs="Arial"/>
          <w:bCs/>
          <w:sz w:val="24"/>
          <w:szCs w:val="24"/>
        </w:rPr>
        <w:t xml:space="preserve">guziczki można opracować </w:t>
      </w:r>
      <w:r w:rsidRPr="009B4CF1">
        <w:rPr>
          <w:rFonts w:ascii="Arial" w:hAnsi="Arial" w:cs="Arial"/>
          <w:bCs/>
          <w:sz w:val="24"/>
          <w:szCs w:val="24"/>
        </w:rPr>
        <w:t>bezpośrednio w</w:t>
      </w:r>
      <w:r w:rsidR="001E05C4" w:rsidRPr="009B4CF1">
        <w:rPr>
          <w:rFonts w:ascii="Arial" w:hAnsi="Arial" w:cs="Arial"/>
          <w:bCs/>
          <w:sz w:val="24"/>
          <w:szCs w:val="24"/>
        </w:rPr>
        <w:t xml:space="preserve"> programie</w:t>
      </w:r>
      <w:r w:rsidRPr="00F3138E">
        <w:rPr>
          <w:rFonts w:ascii="Arial" w:hAnsi="Arial" w:cs="Arial"/>
          <w:bCs/>
          <w:sz w:val="24"/>
          <w:szCs w:val="24"/>
        </w:rPr>
        <w:t xml:space="preserve"> ClinCheck</w:t>
      </w:r>
      <w:r w:rsidRPr="009B4CF1">
        <w:rPr>
          <w:rFonts w:ascii="Arial" w:hAnsi="Arial" w:cs="Arial"/>
          <w:bCs/>
          <w:sz w:val="24"/>
          <w:szCs w:val="24"/>
          <w:vertAlign w:val="superscript"/>
        </w:rPr>
        <w:t>®</w:t>
      </w:r>
      <w:r w:rsidRPr="00F3138E">
        <w:rPr>
          <w:rFonts w:ascii="Arial" w:hAnsi="Arial" w:cs="Arial"/>
          <w:bCs/>
          <w:sz w:val="24"/>
          <w:szCs w:val="24"/>
        </w:rPr>
        <w:t xml:space="preserve"> podczas planowania leczenia, zastępując tradycyjny proces manualny. Takie podejście pozwala określić typ i pozycję </w:t>
      </w:r>
      <w:r w:rsidR="006E1818">
        <w:rPr>
          <w:rFonts w:ascii="Arial" w:hAnsi="Arial" w:cs="Arial"/>
          <w:bCs/>
          <w:sz w:val="24"/>
          <w:szCs w:val="24"/>
        </w:rPr>
        <w:t>guziczków</w:t>
      </w:r>
      <w:r w:rsidR="006E1818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już na etapie planowania, zmniejszając ryzyko błędu w gabinecie, zwiększając precyzję oraz zapewniając bardziej efektywną i elastyczną korekcję zgryzu.</w:t>
      </w:r>
    </w:p>
    <w:p w14:paraId="18D8439A" w14:textId="0CA8EB7C" w:rsidR="00F3138E" w:rsidRPr="00F3138E" w:rsidRDefault="00F3138E" w:rsidP="00F3138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DD7FEE">
        <w:rPr>
          <w:rFonts w:ascii="Arial" w:hAnsi="Arial" w:cs="Arial"/>
          <w:b/>
          <w:sz w:val="24"/>
          <w:szCs w:val="24"/>
        </w:rPr>
        <w:t>Invisalign</w:t>
      </w:r>
      <w:r w:rsidRPr="009B4CF1">
        <w:rPr>
          <w:rFonts w:ascii="Arial" w:hAnsi="Arial" w:cs="Arial"/>
          <w:b/>
          <w:sz w:val="24"/>
          <w:szCs w:val="24"/>
          <w:vertAlign w:val="superscript"/>
        </w:rPr>
        <w:t>®</w:t>
      </w:r>
      <w:r w:rsidRPr="00DD7FEE">
        <w:rPr>
          <w:rFonts w:ascii="Arial" w:hAnsi="Arial" w:cs="Arial"/>
          <w:b/>
          <w:sz w:val="24"/>
          <w:szCs w:val="24"/>
        </w:rPr>
        <w:t xml:space="preserve"> Palatal Expander z zintegrowanymi </w:t>
      </w:r>
      <w:r w:rsidR="00C9788B">
        <w:rPr>
          <w:rFonts w:ascii="Arial" w:hAnsi="Arial" w:cs="Arial"/>
          <w:b/>
          <w:sz w:val="24"/>
          <w:szCs w:val="24"/>
        </w:rPr>
        <w:t>haczykami</w:t>
      </w:r>
      <w:r w:rsidR="00C9788B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– kolejna ewolucja systemu drukowanego w 3D ekspandera podniebiennego, zaprojektowana, aby umożliwić lekarzom leczenie szerszej grupy pacjentów przy większej elastyczności</w:t>
      </w:r>
      <w:r w:rsidR="00247553">
        <w:rPr>
          <w:rStyle w:val="Odwoanieprzypisudolnego"/>
          <w:rFonts w:ascii="Arial" w:hAnsi="Arial" w:cs="Arial"/>
          <w:bCs/>
          <w:sz w:val="24"/>
          <w:szCs w:val="24"/>
        </w:rPr>
        <w:footnoteReference w:id="2"/>
      </w:r>
      <w:r w:rsidRPr="00F3138E">
        <w:rPr>
          <w:rFonts w:ascii="Arial" w:hAnsi="Arial" w:cs="Arial"/>
          <w:bCs/>
          <w:sz w:val="24"/>
          <w:szCs w:val="24"/>
        </w:rPr>
        <w:t xml:space="preserve">. Bazując na systemie Invisalign Palatal Expander (IPE), nowe </w:t>
      </w:r>
      <w:r w:rsidR="00C9788B">
        <w:rPr>
          <w:rFonts w:ascii="Arial" w:hAnsi="Arial" w:cs="Arial"/>
          <w:bCs/>
          <w:sz w:val="24"/>
          <w:szCs w:val="24"/>
        </w:rPr>
        <w:t>haczyki</w:t>
      </w:r>
      <w:r w:rsidR="00C9788B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 xml:space="preserve">skierowane do przodu i do tyłu są kompatybilne z </w:t>
      </w:r>
      <w:r w:rsidR="005B3380">
        <w:rPr>
          <w:rFonts w:ascii="Arial" w:hAnsi="Arial" w:cs="Arial"/>
          <w:bCs/>
          <w:sz w:val="24"/>
          <w:szCs w:val="24"/>
        </w:rPr>
        <w:t>wyciągami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F3138E">
        <w:rPr>
          <w:rFonts w:ascii="Arial" w:hAnsi="Arial" w:cs="Arial"/>
          <w:bCs/>
          <w:sz w:val="24"/>
          <w:szCs w:val="24"/>
        </w:rPr>
        <w:t>, wspierając bardziej intuicyjne podejście do ekspansji podniebiennej.</w:t>
      </w:r>
    </w:p>
    <w:p w14:paraId="70DE1067" w14:textId="0A6669A5" w:rsidR="00F3138E" w:rsidRPr="00F3138E" w:rsidRDefault="00C9788B" w:rsidP="00F3138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C9788B">
        <w:rPr>
          <w:rFonts w:ascii="Arial" w:hAnsi="Arial" w:cs="Arial"/>
          <w:b/>
          <w:sz w:val="24"/>
          <w:szCs w:val="24"/>
        </w:rPr>
        <w:t>Możliwość indywidualnego dostosowania linii przycięcia nakładek Invisalign</w:t>
      </w:r>
      <w:r w:rsidRPr="00C9788B" w:rsidDel="00C9788B">
        <w:rPr>
          <w:rFonts w:ascii="Arial" w:hAnsi="Arial" w:cs="Arial"/>
          <w:b/>
          <w:sz w:val="24"/>
          <w:szCs w:val="24"/>
        </w:rPr>
        <w:t xml:space="preserve"> </w:t>
      </w:r>
      <w:r w:rsidR="006E1818">
        <w:rPr>
          <w:rFonts w:ascii="Arial" w:hAnsi="Arial" w:cs="Arial"/>
          <w:bCs/>
          <w:sz w:val="24"/>
          <w:szCs w:val="24"/>
        </w:rPr>
        <w:t>–</w:t>
      </w:r>
      <w:r w:rsidR="00DD7FEE">
        <w:rPr>
          <w:rFonts w:ascii="Arial" w:hAnsi="Arial" w:cs="Arial"/>
          <w:bCs/>
          <w:sz w:val="24"/>
          <w:szCs w:val="24"/>
        </w:rPr>
        <w:t xml:space="preserve"> 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daje lekarzom większą kontrolę nad </w:t>
      </w:r>
      <w:r w:rsidR="00636525">
        <w:rPr>
          <w:rFonts w:ascii="Arial" w:hAnsi="Arial" w:cs="Arial"/>
          <w:bCs/>
          <w:sz w:val="24"/>
          <w:szCs w:val="24"/>
        </w:rPr>
        <w:t>linią</w:t>
      </w:r>
      <w:r w:rsidR="00636525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krawędzi dziąsłowych alignerów, </w:t>
      </w:r>
      <w:r w:rsidR="006E1818">
        <w:rPr>
          <w:rFonts w:ascii="Arial" w:hAnsi="Arial" w:cs="Arial"/>
          <w:bCs/>
          <w:sz w:val="24"/>
          <w:szCs w:val="24"/>
        </w:rPr>
        <w:t>poprawiając</w:t>
      </w:r>
      <w:r w:rsidR="006E1818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F3138E" w:rsidRPr="00F3138E">
        <w:rPr>
          <w:rFonts w:ascii="Arial" w:hAnsi="Arial" w:cs="Arial"/>
          <w:bCs/>
          <w:sz w:val="24"/>
          <w:szCs w:val="24"/>
        </w:rPr>
        <w:t>estetykę, komfort i elastyczność kliniczną. W przypadk</w:t>
      </w:r>
      <w:r w:rsidR="00E335F7">
        <w:rPr>
          <w:rFonts w:ascii="Arial" w:hAnsi="Arial" w:cs="Arial"/>
          <w:bCs/>
          <w:sz w:val="24"/>
          <w:szCs w:val="24"/>
        </w:rPr>
        <w:t>u</w:t>
      </w:r>
      <w:r w:rsidR="00F3138E" w:rsidRPr="00F3138E">
        <w:rPr>
          <w:rFonts w:ascii="Arial" w:hAnsi="Arial" w:cs="Arial"/>
          <w:bCs/>
          <w:sz w:val="24"/>
          <w:szCs w:val="24"/>
        </w:rPr>
        <w:t>, gdy</w:t>
      </w:r>
      <w:r w:rsidR="00E335F7">
        <w:rPr>
          <w:rFonts w:ascii="Arial" w:hAnsi="Arial" w:cs="Arial"/>
          <w:bCs/>
          <w:sz w:val="24"/>
          <w:szCs w:val="24"/>
        </w:rPr>
        <w:t xml:space="preserve"> lekarz uzna, że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E335F7">
        <w:rPr>
          <w:rFonts w:ascii="Arial" w:hAnsi="Arial" w:cs="Arial"/>
          <w:bCs/>
          <w:sz w:val="24"/>
          <w:szCs w:val="24"/>
        </w:rPr>
        <w:t>retencja alignera jest niewystarczająca, może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zastosować wydłużon</w:t>
      </w:r>
      <w:r w:rsidR="00E335F7">
        <w:rPr>
          <w:rFonts w:ascii="Arial" w:hAnsi="Arial" w:cs="Arial"/>
          <w:bCs/>
          <w:sz w:val="24"/>
          <w:szCs w:val="24"/>
        </w:rPr>
        <w:t xml:space="preserve">ą, anatomicznie dopasowaną krawędź </w:t>
      </w:r>
      <w:r w:rsidR="00F35D94">
        <w:rPr>
          <w:rFonts w:ascii="Arial" w:hAnsi="Arial" w:cs="Arial"/>
          <w:bCs/>
          <w:sz w:val="24"/>
          <w:szCs w:val="24"/>
        </w:rPr>
        <w:t>nakładki</w:t>
      </w:r>
      <w:r w:rsidR="00E335F7">
        <w:rPr>
          <w:rFonts w:ascii="Arial" w:hAnsi="Arial" w:cs="Arial"/>
          <w:bCs/>
          <w:sz w:val="24"/>
          <w:szCs w:val="24"/>
        </w:rPr>
        <w:t xml:space="preserve">. Rozwiązanie to może być pomocne </w:t>
      </w:r>
      <w:r w:rsidR="00F3138E" w:rsidRPr="00F3138E">
        <w:rPr>
          <w:rFonts w:ascii="Arial" w:hAnsi="Arial" w:cs="Arial"/>
          <w:bCs/>
          <w:sz w:val="24"/>
          <w:szCs w:val="24"/>
        </w:rPr>
        <w:t>m.in.</w:t>
      </w:r>
      <w:r w:rsidR="004074FA">
        <w:rPr>
          <w:rFonts w:ascii="Arial" w:hAnsi="Arial" w:cs="Arial"/>
          <w:bCs/>
          <w:sz w:val="24"/>
          <w:szCs w:val="24"/>
        </w:rPr>
        <w:t xml:space="preserve"> u pacjentów z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4074FA">
        <w:rPr>
          <w:rFonts w:ascii="Arial" w:hAnsi="Arial" w:cs="Arial"/>
          <w:bCs/>
          <w:sz w:val="24"/>
          <w:szCs w:val="24"/>
        </w:rPr>
        <w:t>krótkimi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korona</w:t>
      </w:r>
      <w:r w:rsidR="004074FA">
        <w:rPr>
          <w:rFonts w:ascii="Arial" w:hAnsi="Arial" w:cs="Arial"/>
          <w:bCs/>
          <w:sz w:val="24"/>
          <w:szCs w:val="24"/>
        </w:rPr>
        <w:t>mi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kliniczny</w:t>
      </w:r>
      <w:r w:rsidR="004074FA">
        <w:rPr>
          <w:rFonts w:ascii="Arial" w:hAnsi="Arial" w:cs="Arial"/>
          <w:bCs/>
          <w:sz w:val="24"/>
          <w:szCs w:val="24"/>
        </w:rPr>
        <w:t>mi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, </w:t>
      </w:r>
      <w:r w:rsidR="004074FA">
        <w:rPr>
          <w:rFonts w:ascii="Arial" w:hAnsi="Arial" w:cs="Arial"/>
          <w:bCs/>
          <w:sz w:val="24"/>
          <w:szCs w:val="24"/>
        </w:rPr>
        <w:t xml:space="preserve">w okresie wyrzynania </w:t>
      </w:r>
      <w:r w:rsidR="00F3138E" w:rsidRPr="00F3138E">
        <w:rPr>
          <w:rFonts w:ascii="Arial" w:hAnsi="Arial" w:cs="Arial"/>
          <w:bCs/>
          <w:sz w:val="24"/>
          <w:szCs w:val="24"/>
        </w:rPr>
        <w:t>zęb</w:t>
      </w:r>
      <w:r w:rsidR="004074FA">
        <w:rPr>
          <w:rFonts w:ascii="Arial" w:hAnsi="Arial" w:cs="Arial"/>
          <w:bCs/>
          <w:sz w:val="24"/>
          <w:szCs w:val="24"/>
        </w:rPr>
        <w:t>ów</w:t>
      </w:r>
      <w:r w:rsidR="00F3138E" w:rsidRPr="00F3138E">
        <w:rPr>
          <w:rFonts w:ascii="Arial" w:hAnsi="Arial" w:cs="Arial"/>
          <w:bCs/>
          <w:sz w:val="24"/>
          <w:szCs w:val="24"/>
        </w:rPr>
        <w:t>,</w:t>
      </w:r>
      <w:r w:rsidR="004074FA">
        <w:rPr>
          <w:rFonts w:ascii="Arial" w:hAnsi="Arial" w:cs="Arial"/>
          <w:bCs/>
          <w:sz w:val="24"/>
          <w:szCs w:val="24"/>
        </w:rPr>
        <w:t xml:space="preserve"> przy ograniczaniu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liczby </w:t>
      </w:r>
      <w:r w:rsidR="00F35D94">
        <w:rPr>
          <w:rFonts w:ascii="Arial" w:hAnsi="Arial" w:cs="Arial"/>
          <w:bCs/>
          <w:sz w:val="24"/>
          <w:szCs w:val="24"/>
        </w:rPr>
        <w:t>zaczepów</w:t>
      </w:r>
      <w:r w:rsidR="00F3138E" w:rsidRPr="00F3138E">
        <w:rPr>
          <w:rFonts w:ascii="Arial" w:hAnsi="Arial" w:cs="Arial"/>
          <w:bCs/>
          <w:sz w:val="24"/>
          <w:szCs w:val="24"/>
        </w:rPr>
        <w:t>,</w:t>
      </w:r>
      <w:r w:rsidR="004074FA">
        <w:rPr>
          <w:rFonts w:ascii="Arial" w:hAnsi="Arial" w:cs="Arial"/>
          <w:bCs/>
          <w:sz w:val="24"/>
          <w:szCs w:val="24"/>
        </w:rPr>
        <w:t xml:space="preserve"> w przypadku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recesji dziąseł </w:t>
      </w:r>
      <w:r w:rsidR="004074FA">
        <w:rPr>
          <w:rFonts w:ascii="Arial" w:hAnsi="Arial" w:cs="Arial"/>
          <w:bCs/>
          <w:sz w:val="24"/>
          <w:szCs w:val="24"/>
        </w:rPr>
        <w:t>czy konieczności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objęcia </w:t>
      </w:r>
      <w:r w:rsidR="004074FA">
        <w:rPr>
          <w:rFonts w:ascii="Arial" w:hAnsi="Arial" w:cs="Arial"/>
          <w:bCs/>
          <w:sz w:val="24"/>
          <w:szCs w:val="24"/>
        </w:rPr>
        <w:t>większej powierzchni</w:t>
      </w:r>
      <w:r w:rsidR="004074FA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F3138E" w:rsidRPr="00F3138E">
        <w:rPr>
          <w:rFonts w:ascii="Arial" w:hAnsi="Arial" w:cs="Arial"/>
          <w:bCs/>
          <w:sz w:val="24"/>
          <w:szCs w:val="24"/>
        </w:rPr>
        <w:t>koron</w:t>
      </w:r>
      <w:r w:rsidR="004074FA">
        <w:rPr>
          <w:rFonts w:ascii="Arial" w:hAnsi="Arial" w:cs="Arial"/>
          <w:bCs/>
          <w:sz w:val="24"/>
          <w:szCs w:val="24"/>
        </w:rPr>
        <w:t>y zęba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. </w:t>
      </w:r>
      <w:r w:rsidR="004074FA">
        <w:rPr>
          <w:rFonts w:ascii="Arial" w:hAnsi="Arial" w:cs="Arial"/>
          <w:bCs/>
          <w:sz w:val="24"/>
          <w:szCs w:val="24"/>
        </w:rPr>
        <w:t xml:space="preserve">Dzięki </w:t>
      </w:r>
      <w:r w:rsidR="004074FA">
        <w:rPr>
          <w:rFonts w:ascii="Arial" w:hAnsi="Arial" w:cs="Arial"/>
          <w:bCs/>
          <w:sz w:val="24"/>
          <w:szCs w:val="24"/>
        </w:rPr>
        <w:lastRenderedPageBreak/>
        <w:t>integracji z cyfrowym planowaniem leczenia</w:t>
      </w:r>
      <w:r w:rsidR="004074FA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F3138E" w:rsidRPr="00F3138E">
        <w:rPr>
          <w:rFonts w:ascii="Arial" w:hAnsi="Arial" w:cs="Arial"/>
          <w:bCs/>
          <w:sz w:val="24"/>
          <w:szCs w:val="24"/>
        </w:rPr>
        <w:t>ClinCheck</w:t>
      </w:r>
      <w:r w:rsidR="00F3138E" w:rsidRPr="009B4CF1">
        <w:rPr>
          <w:rFonts w:ascii="Arial" w:hAnsi="Arial" w:cs="Arial"/>
          <w:bCs/>
          <w:sz w:val="24"/>
          <w:szCs w:val="24"/>
          <w:vertAlign w:val="superscript"/>
        </w:rPr>
        <w:t>®</w:t>
      </w:r>
      <w:r w:rsidR="004074FA">
        <w:rPr>
          <w:rFonts w:ascii="Arial" w:hAnsi="Arial" w:cs="Arial"/>
          <w:bCs/>
          <w:sz w:val="24"/>
          <w:szCs w:val="24"/>
        </w:rPr>
        <w:t xml:space="preserve"> lekarze mogą personalizować kształt alignera w oparciu o anatomię pacjenta i cele leczenia.</w:t>
      </w:r>
    </w:p>
    <w:p w14:paraId="4FAB8132" w14:textId="19082369" w:rsidR="00F3138E" w:rsidRDefault="00F3138E" w:rsidP="00F3138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DD7FEE">
        <w:rPr>
          <w:rFonts w:ascii="Arial" w:hAnsi="Arial" w:cs="Arial"/>
          <w:b/>
          <w:sz w:val="24"/>
          <w:szCs w:val="24"/>
        </w:rPr>
        <w:t>3D Soft Tissue Animation</w:t>
      </w:r>
      <w:r w:rsidRPr="00F3138E">
        <w:rPr>
          <w:rFonts w:ascii="Arial" w:hAnsi="Arial" w:cs="Arial"/>
          <w:bCs/>
          <w:sz w:val="24"/>
          <w:szCs w:val="24"/>
        </w:rPr>
        <w:t xml:space="preserve"> – uczestnicy Invisalign EMEA Ortho Summit otrzymali również wczesny dostęp do tej innowacji</w:t>
      </w:r>
      <w:r w:rsidR="004074FA">
        <w:rPr>
          <w:rFonts w:ascii="Arial" w:hAnsi="Arial" w:cs="Arial"/>
          <w:bCs/>
          <w:sz w:val="24"/>
          <w:szCs w:val="24"/>
        </w:rPr>
        <w:t xml:space="preserve"> jako</w:t>
      </w:r>
      <w:r w:rsidRPr="00F3138E">
        <w:rPr>
          <w:rFonts w:ascii="Arial" w:hAnsi="Arial" w:cs="Arial"/>
          <w:bCs/>
          <w:sz w:val="24"/>
          <w:szCs w:val="24"/>
        </w:rPr>
        <w:t xml:space="preserve"> pierw</w:t>
      </w:r>
      <w:r w:rsidR="004074FA">
        <w:rPr>
          <w:rFonts w:ascii="Arial" w:hAnsi="Arial" w:cs="Arial"/>
          <w:bCs/>
          <w:sz w:val="24"/>
          <w:szCs w:val="24"/>
        </w:rPr>
        <w:t>si</w:t>
      </w:r>
      <w:r w:rsidRPr="00F3138E">
        <w:rPr>
          <w:rFonts w:ascii="Arial" w:hAnsi="Arial" w:cs="Arial"/>
          <w:bCs/>
          <w:sz w:val="24"/>
          <w:szCs w:val="24"/>
        </w:rPr>
        <w:t xml:space="preserve"> klien</w:t>
      </w:r>
      <w:r w:rsidR="004074FA">
        <w:rPr>
          <w:rFonts w:ascii="Arial" w:hAnsi="Arial" w:cs="Arial"/>
          <w:bCs/>
          <w:sz w:val="24"/>
          <w:szCs w:val="24"/>
        </w:rPr>
        <w:t>c</w:t>
      </w:r>
      <w:r w:rsidRPr="00F3138E">
        <w:rPr>
          <w:rFonts w:ascii="Arial" w:hAnsi="Arial" w:cs="Arial"/>
          <w:bCs/>
          <w:sz w:val="24"/>
          <w:szCs w:val="24"/>
        </w:rPr>
        <w:t>i w regionie EMEA.</w:t>
      </w:r>
    </w:p>
    <w:p w14:paraId="1CD87764" w14:textId="4853F001" w:rsidR="00F3138E" w:rsidRPr="00F3138E" w:rsidRDefault="00F3138E" w:rsidP="00F3138E">
      <w:pPr>
        <w:jc w:val="both"/>
        <w:rPr>
          <w:rFonts w:ascii="Arial" w:hAnsi="Arial" w:cs="Arial"/>
          <w:b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Edukacja prowadzona przez lekarzy i wymiana doświadczeń klinicznych</w:t>
      </w:r>
    </w:p>
    <w:p w14:paraId="50E1DD0A" w14:textId="68304020" w:rsidR="00F3138E" w:rsidRDefault="00F3138E" w:rsidP="00F3138E">
      <w:p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Cs/>
          <w:sz w:val="24"/>
          <w:szCs w:val="24"/>
        </w:rPr>
        <w:t xml:space="preserve">Program </w:t>
      </w:r>
      <w:r w:rsidR="00BE1972">
        <w:rPr>
          <w:rFonts w:ascii="Arial" w:hAnsi="Arial" w:cs="Arial"/>
          <w:bCs/>
          <w:sz w:val="24"/>
          <w:szCs w:val="24"/>
        </w:rPr>
        <w:t>konferencji</w:t>
      </w:r>
      <w:r w:rsidR="000D48A2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 xml:space="preserve">obejmował dziesiątki sesji prowadzonych przez </w:t>
      </w:r>
      <w:r w:rsidR="004074FA">
        <w:rPr>
          <w:rFonts w:ascii="Arial" w:hAnsi="Arial" w:cs="Arial"/>
          <w:bCs/>
          <w:sz w:val="24"/>
          <w:szCs w:val="24"/>
        </w:rPr>
        <w:t>ortodontów</w:t>
      </w:r>
      <w:r w:rsidRPr="00F3138E">
        <w:rPr>
          <w:rFonts w:ascii="Arial" w:hAnsi="Arial" w:cs="Arial"/>
          <w:bCs/>
          <w:sz w:val="24"/>
          <w:szCs w:val="24"/>
        </w:rPr>
        <w:t>, poświęconych leczeniu złożonych przypadków, takich jak zatrzymane kły, optymalizacj</w:t>
      </w:r>
      <w:r w:rsidR="004074FA">
        <w:rPr>
          <w:rFonts w:ascii="Arial" w:hAnsi="Arial" w:cs="Arial"/>
          <w:bCs/>
          <w:sz w:val="24"/>
          <w:szCs w:val="24"/>
        </w:rPr>
        <w:t>i</w:t>
      </w:r>
      <w:r w:rsidRPr="00F3138E">
        <w:rPr>
          <w:rFonts w:ascii="Arial" w:hAnsi="Arial" w:cs="Arial"/>
          <w:bCs/>
          <w:sz w:val="24"/>
          <w:szCs w:val="24"/>
        </w:rPr>
        <w:t xml:space="preserve"> cyfrow</w:t>
      </w:r>
      <w:r w:rsidR="000D48A2">
        <w:rPr>
          <w:rFonts w:ascii="Arial" w:hAnsi="Arial" w:cs="Arial"/>
          <w:bCs/>
          <w:sz w:val="24"/>
          <w:szCs w:val="24"/>
        </w:rPr>
        <w:t>ego przepływu pracy</w:t>
      </w:r>
      <w:r w:rsidR="004074FA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oraz strategi</w:t>
      </w:r>
      <w:r w:rsidR="004074FA">
        <w:rPr>
          <w:rFonts w:ascii="Arial" w:hAnsi="Arial" w:cs="Arial"/>
          <w:bCs/>
          <w:sz w:val="24"/>
          <w:szCs w:val="24"/>
        </w:rPr>
        <w:t>om</w:t>
      </w:r>
      <w:r w:rsidRPr="00F3138E">
        <w:rPr>
          <w:rFonts w:ascii="Arial" w:hAnsi="Arial" w:cs="Arial"/>
          <w:bCs/>
          <w:sz w:val="24"/>
          <w:szCs w:val="24"/>
        </w:rPr>
        <w:t xml:space="preserve"> angażowania pacjentów. Interaktywne formaty, </w:t>
      </w:r>
      <w:r w:rsidR="004074FA">
        <w:rPr>
          <w:rFonts w:ascii="Arial" w:hAnsi="Arial" w:cs="Arial"/>
          <w:bCs/>
          <w:sz w:val="24"/>
          <w:szCs w:val="24"/>
        </w:rPr>
        <w:t>takie jak</w:t>
      </w:r>
      <w:r w:rsidRPr="00F3138E">
        <w:rPr>
          <w:rFonts w:ascii="Arial" w:hAnsi="Arial" w:cs="Arial"/>
          <w:bCs/>
          <w:sz w:val="24"/>
          <w:szCs w:val="24"/>
        </w:rPr>
        <w:t xml:space="preserve"> panele dyskusyjne, </w:t>
      </w:r>
      <w:r w:rsidR="004074FA">
        <w:rPr>
          <w:rFonts w:ascii="Arial" w:hAnsi="Arial" w:cs="Arial"/>
          <w:bCs/>
          <w:sz w:val="24"/>
          <w:szCs w:val="24"/>
        </w:rPr>
        <w:t xml:space="preserve">kameralne </w:t>
      </w:r>
      <w:r w:rsidRPr="00F3138E">
        <w:rPr>
          <w:rFonts w:ascii="Arial" w:hAnsi="Arial" w:cs="Arial"/>
          <w:bCs/>
          <w:sz w:val="24"/>
          <w:szCs w:val="24"/>
        </w:rPr>
        <w:t xml:space="preserve">sesje warsztatowe oraz prezentacje na żywo, sprzyjały otwartemu dialogowi i wymianie wiedzy między </w:t>
      </w:r>
      <w:r w:rsidR="000D48A2">
        <w:rPr>
          <w:rFonts w:ascii="Arial" w:hAnsi="Arial" w:cs="Arial"/>
          <w:bCs/>
          <w:sz w:val="24"/>
          <w:szCs w:val="24"/>
        </w:rPr>
        <w:t>lekarzami</w:t>
      </w:r>
      <w:r w:rsidRPr="00F3138E">
        <w:rPr>
          <w:rFonts w:ascii="Arial" w:hAnsi="Arial" w:cs="Arial"/>
          <w:bCs/>
          <w:sz w:val="24"/>
          <w:szCs w:val="24"/>
        </w:rPr>
        <w:t>.</w:t>
      </w:r>
    </w:p>
    <w:p w14:paraId="2CC29FCC" w14:textId="68204954" w:rsidR="00F3138E" w:rsidRPr="00F3138E" w:rsidRDefault="00F3138E" w:rsidP="00F3138E">
      <w:pPr>
        <w:jc w:val="both"/>
        <w:rPr>
          <w:rFonts w:ascii="Arial" w:hAnsi="Arial" w:cs="Arial"/>
          <w:b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Rozwój zintegrowanej ortodoncji cyfrowej z systemem Invisalign</w:t>
      </w:r>
    </w:p>
    <w:p w14:paraId="7D909843" w14:textId="1F9E90BE" w:rsidR="00F3138E" w:rsidRPr="00F3138E" w:rsidRDefault="00F3138E" w:rsidP="00F3138E">
      <w:p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Cs/>
          <w:sz w:val="24"/>
          <w:szCs w:val="24"/>
        </w:rPr>
        <w:t xml:space="preserve">Invisalign EMEA Ortho Summit odzwierciedla szerszą strategię Align Technology, której celem jest rozwój </w:t>
      </w:r>
      <w:r w:rsidR="00703721">
        <w:rPr>
          <w:rFonts w:ascii="Arial" w:hAnsi="Arial" w:cs="Arial"/>
          <w:bCs/>
          <w:sz w:val="24"/>
          <w:szCs w:val="24"/>
        </w:rPr>
        <w:t xml:space="preserve">zintegrowanej, </w:t>
      </w:r>
      <w:r w:rsidRPr="00F3138E">
        <w:rPr>
          <w:rFonts w:ascii="Arial" w:hAnsi="Arial" w:cs="Arial"/>
          <w:bCs/>
          <w:sz w:val="24"/>
          <w:szCs w:val="24"/>
        </w:rPr>
        <w:t>cyfrow</w:t>
      </w:r>
      <w:r w:rsidR="000D48A2">
        <w:rPr>
          <w:rFonts w:ascii="Arial" w:hAnsi="Arial" w:cs="Arial"/>
          <w:bCs/>
          <w:sz w:val="24"/>
          <w:szCs w:val="24"/>
        </w:rPr>
        <w:t xml:space="preserve">ej </w:t>
      </w:r>
      <w:r w:rsidRPr="00F3138E">
        <w:rPr>
          <w:rFonts w:ascii="Arial" w:hAnsi="Arial" w:cs="Arial"/>
          <w:bCs/>
          <w:sz w:val="24"/>
          <w:szCs w:val="24"/>
        </w:rPr>
        <w:t>o</w:t>
      </w:r>
      <w:r w:rsidR="00703721">
        <w:rPr>
          <w:rFonts w:ascii="Arial" w:hAnsi="Arial" w:cs="Arial"/>
          <w:bCs/>
          <w:sz w:val="24"/>
          <w:szCs w:val="24"/>
        </w:rPr>
        <w:t>rtodoncji</w:t>
      </w:r>
      <w:r w:rsidRPr="00F3138E">
        <w:rPr>
          <w:rFonts w:ascii="Arial" w:hAnsi="Arial" w:cs="Arial"/>
          <w:bCs/>
          <w:sz w:val="24"/>
          <w:szCs w:val="24"/>
        </w:rPr>
        <w:t xml:space="preserve">. </w:t>
      </w:r>
      <w:r w:rsidR="00703721">
        <w:rPr>
          <w:rFonts w:ascii="Arial" w:hAnsi="Arial" w:cs="Arial"/>
          <w:bCs/>
          <w:sz w:val="24"/>
          <w:szCs w:val="24"/>
        </w:rPr>
        <w:t>Dzięki dalszym</w:t>
      </w:r>
      <w:r w:rsidR="00703721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inwestycj</w:t>
      </w:r>
      <w:r w:rsidR="00703721">
        <w:rPr>
          <w:rFonts w:ascii="Arial" w:hAnsi="Arial" w:cs="Arial"/>
          <w:bCs/>
          <w:sz w:val="24"/>
          <w:szCs w:val="24"/>
        </w:rPr>
        <w:t>om</w:t>
      </w:r>
      <w:r w:rsidRPr="00F3138E">
        <w:rPr>
          <w:rFonts w:ascii="Arial" w:hAnsi="Arial" w:cs="Arial"/>
          <w:bCs/>
          <w:sz w:val="24"/>
          <w:szCs w:val="24"/>
        </w:rPr>
        <w:t xml:space="preserve"> w Align™ Digital Platform </w:t>
      </w:r>
      <w:r w:rsidR="00703721">
        <w:rPr>
          <w:rFonts w:ascii="Arial" w:hAnsi="Arial" w:cs="Arial"/>
          <w:bCs/>
          <w:sz w:val="24"/>
          <w:szCs w:val="24"/>
        </w:rPr>
        <w:t xml:space="preserve">firma </w:t>
      </w:r>
      <w:r w:rsidRPr="00F3138E">
        <w:rPr>
          <w:rFonts w:ascii="Arial" w:hAnsi="Arial" w:cs="Arial"/>
          <w:bCs/>
          <w:sz w:val="24"/>
          <w:szCs w:val="24"/>
        </w:rPr>
        <w:t xml:space="preserve">konsekwentnie </w:t>
      </w:r>
      <w:r w:rsidR="00703721">
        <w:rPr>
          <w:rFonts w:ascii="Arial" w:hAnsi="Arial" w:cs="Arial"/>
          <w:bCs/>
          <w:sz w:val="24"/>
          <w:szCs w:val="24"/>
        </w:rPr>
        <w:t>łączy</w:t>
      </w:r>
      <w:r w:rsidRPr="00F3138E">
        <w:rPr>
          <w:rFonts w:ascii="Arial" w:hAnsi="Arial" w:cs="Arial"/>
          <w:bCs/>
          <w:sz w:val="24"/>
          <w:szCs w:val="24"/>
        </w:rPr>
        <w:t xml:space="preserve"> skanowanie, wizualizację, planowanie leczenia, produkcję </w:t>
      </w:r>
      <w:r w:rsidR="00703721">
        <w:rPr>
          <w:rFonts w:ascii="Arial" w:hAnsi="Arial" w:cs="Arial"/>
          <w:bCs/>
          <w:sz w:val="24"/>
          <w:szCs w:val="24"/>
        </w:rPr>
        <w:t>nakładek</w:t>
      </w:r>
      <w:r w:rsidRPr="00F3138E">
        <w:rPr>
          <w:rFonts w:ascii="Arial" w:hAnsi="Arial" w:cs="Arial"/>
          <w:bCs/>
          <w:sz w:val="24"/>
          <w:szCs w:val="24"/>
        </w:rPr>
        <w:t xml:space="preserve">, monitorowanie terapii oraz retencję w jeden spójny </w:t>
      </w:r>
      <w:r w:rsidR="00703721">
        <w:rPr>
          <w:rFonts w:ascii="Arial" w:hAnsi="Arial" w:cs="Arial"/>
          <w:bCs/>
          <w:sz w:val="24"/>
          <w:szCs w:val="24"/>
        </w:rPr>
        <w:t xml:space="preserve">proces </w:t>
      </w:r>
      <w:r w:rsidRPr="00F3138E">
        <w:rPr>
          <w:rFonts w:ascii="Arial" w:hAnsi="Arial" w:cs="Arial"/>
          <w:bCs/>
          <w:sz w:val="24"/>
          <w:szCs w:val="24"/>
        </w:rPr>
        <w:t>wsp</w:t>
      </w:r>
      <w:r w:rsidR="00703721">
        <w:rPr>
          <w:rFonts w:ascii="Arial" w:hAnsi="Arial" w:cs="Arial"/>
          <w:bCs/>
          <w:sz w:val="24"/>
          <w:szCs w:val="24"/>
        </w:rPr>
        <w:t>ierający</w:t>
      </w:r>
      <w:r w:rsidRPr="00F3138E">
        <w:rPr>
          <w:rFonts w:ascii="Arial" w:hAnsi="Arial" w:cs="Arial"/>
          <w:bCs/>
          <w:sz w:val="24"/>
          <w:szCs w:val="24"/>
        </w:rPr>
        <w:t xml:space="preserve"> lekarzy i poprawi</w:t>
      </w:r>
      <w:r w:rsidR="00703721">
        <w:rPr>
          <w:rFonts w:ascii="Arial" w:hAnsi="Arial" w:cs="Arial"/>
          <w:bCs/>
          <w:sz w:val="24"/>
          <w:szCs w:val="24"/>
        </w:rPr>
        <w:t xml:space="preserve">ający efekty </w:t>
      </w:r>
      <w:r w:rsidRPr="00F3138E">
        <w:rPr>
          <w:rFonts w:ascii="Arial" w:hAnsi="Arial" w:cs="Arial"/>
          <w:bCs/>
          <w:sz w:val="24"/>
          <w:szCs w:val="24"/>
        </w:rPr>
        <w:t>leczenia pacjentów.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Kluczowe obszary rozwoju obejmują:</w:t>
      </w:r>
    </w:p>
    <w:p w14:paraId="2F2E2B04" w14:textId="79BA18BB" w:rsidR="00F3138E" w:rsidRPr="00F3138E" w:rsidRDefault="00F3138E" w:rsidP="00F3138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rozwój cyfrow</w:t>
      </w:r>
      <w:r w:rsidR="000D48A2">
        <w:rPr>
          <w:rFonts w:ascii="Arial" w:hAnsi="Arial" w:cs="Arial"/>
          <w:b/>
          <w:sz w:val="24"/>
          <w:szCs w:val="24"/>
        </w:rPr>
        <w:t xml:space="preserve">ego przepływu pracy w </w:t>
      </w:r>
      <w:r w:rsidRPr="00F3138E">
        <w:rPr>
          <w:rFonts w:ascii="Arial" w:hAnsi="Arial" w:cs="Arial"/>
          <w:b/>
          <w:sz w:val="24"/>
          <w:szCs w:val="24"/>
        </w:rPr>
        <w:t>ortodon</w:t>
      </w:r>
      <w:r w:rsidR="000D48A2">
        <w:rPr>
          <w:rFonts w:ascii="Arial" w:hAnsi="Arial" w:cs="Arial"/>
          <w:b/>
          <w:sz w:val="24"/>
          <w:szCs w:val="24"/>
        </w:rPr>
        <w:t>cji</w:t>
      </w:r>
      <w:r w:rsidRPr="00F3138E">
        <w:rPr>
          <w:rFonts w:ascii="Arial" w:hAnsi="Arial" w:cs="Arial"/>
          <w:bCs/>
          <w:sz w:val="24"/>
          <w:szCs w:val="24"/>
        </w:rPr>
        <w:t>, któr</w:t>
      </w:r>
      <w:r w:rsidR="000D48A2">
        <w:rPr>
          <w:rFonts w:ascii="Arial" w:hAnsi="Arial" w:cs="Arial"/>
          <w:bCs/>
          <w:sz w:val="24"/>
          <w:szCs w:val="24"/>
        </w:rPr>
        <w:t>y</w:t>
      </w:r>
      <w:r w:rsidRPr="00F3138E">
        <w:rPr>
          <w:rFonts w:ascii="Arial" w:hAnsi="Arial" w:cs="Arial"/>
          <w:bCs/>
          <w:sz w:val="24"/>
          <w:szCs w:val="24"/>
        </w:rPr>
        <w:t xml:space="preserve"> łącz</w:t>
      </w:r>
      <w:r w:rsidR="000D48A2">
        <w:rPr>
          <w:rFonts w:ascii="Arial" w:hAnsi="Arial" w:cs="Arial"/>
          <w:bCs/>
          <w:sz w:val="24"/>
          <w:szCs w:val="24"/>
        </w:rPr>
        <w:t>y</w:t>
      </w:r>
      <w:r w:rsidRPr="00F3138E">
        <w:rPr>
          <w:rFonts w:ascii="Arial" w:hAnsi="Arial" w:cs="Arial"/>
          <w:bCs/>
          <w:sz w:val="24"/>
          <w:szCs w:val="24"/>
        </w:rPr>
        <w:t xml:space="preserve"> skanowanie wewnątrzustne, cyfrowe planowanie leczenia, produkcję alignerów, monitorowanie i retencję w płynn</w:t>
      </w:r>
      <w:r w:rsidR="00703721">
        <w:rPr>
          <w:rFonts w:ascii="Arial" w:hAnsi="Arial" w:cs="Arial"/>
          <w:bCs/>
          <w:sz w:val="24"/>
          <w:szCs w:val="24"/>
        </w:rPr>
        <w:t>y</w:t>
      </w:r>
      <w:r w:rsidRPr="00F3138E">
        <w:rPr>
          <w:rFonts w:ascii="Arial" w:hAnsi="Arial" w:cs="Arial"/>
          <w:bCs/>
          <w:sz w:val="24"/>
          <w:szCs w:val="24"/>
        </w:rPr>
        <w:t>, opart</w:t>
      </w:r>
      <w:r w:rsidR="00703721">
        <w:rPr>
          <w:rFonts w:ascii="Arial" w:hAnsi="Arial" w:cs="Arial"/>
          <w:bCs/>
          <w:sz w:val="24"/>
          <w:szCs w:val="24"/>
        </w:rPr>
        <w:t>y</w:t>
      </w:r>
      <w:r w:rsidRPr="00F3138E">
        <w:rPr>
          <w:rFonts w:ascii="Arial" w:hAnsi="Arial" w:cs="Arial"/>
          <w:bCs/>
          <w:sz w:val="24"/>
          <w:szCs w:val="24"/>
        </w:rPr>
        <w:t xml:space="preserve"> na danych </w:t>
      </w:r>
      <w:r w:rsidR="00703721">
        <w:rPr>
          <w:rFonts w:ascii="Arial" w:hAnsi="Arial" w:cs="Arial"/>
          <w:bCs/>
          <w:sz w:val="24"/>
          <w:szCs w:val="24"/>
        </w:rPr>
        <w:t>proces</w:t>
      </w:r>
      <w:r w:rsidR="00703721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dla lekarzy i pacjentów</w:t>
      </w:r>
    </w:p>
    <w:p w14:paraId="193508DB" w14:textId="25359A56" w:rsidR="00F3138E" w:rsidRPr="00523293" w:rsidRDefault="00E44A0B" w:rsidP="00523293">
      <w:pPr>
        <w:pStyle w:val="Akapitzlist"/>
        <w:numPr>
          <w:ilvl w:val="0"/>
          <w:numId w:val="1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523293">
        <w:rPr>
          <w:rFonts w:ascii="Arial" w:hAnsi="Arial" w:cs="Arial"/>
          <w:sz w:val="24"/>
          <w:szCs w:val="24"/>
        </w:rPr>
        <w:t>Utrzymanie pozycji lidera</w:t>
      </w:r>
      <w:r w:rsidR="00523293">
        <w:rPr>
          <w:rFonts w:ascii="Arial" w:hAnsi="Arial" w:cs="Arial"/>
          <w:sz w:val="24"/>
          <w:szCs w:val="24"/>
        </w:rPr>
        <w:t xml:space="preserve"> </w:t>
      </w:r>
      <w:r w:rsidR="00F3138E" w:rsidRPr="00523293">
        <w:rPr>
          <w:rFonts w:ascii="Arial" w:hAnsi="Arial" w:cs="Arial"/>
          <w:sz w:val="24"/>
          <w:szCs w:val="24"/>
        </w:rPr>
        <w:t>w</w:t>
      </w:r>
      <w:r w:rsidR="00F3138E" w:rsidRPr="00523293">
        <w:rPr>
          <w:rFonts w:ascii="Arial" w:hAnsi="Arial" w:cs="Arial"/>
          <w:b/>
          <w:sz w:val="28"/>
          <w:szCs w:val="28"/>
        </w:rPr>
        <w:t xml:space="preserve"> </w:t>
      </w:r>
      <w:r w:rsidR="00F3138E" w:rsidRPr="00523293">
        <w:rPr>
          <w:rFonts w:ascii="Arial" w:hAnsi="Arial" w:cs="Arial"/>
          <w:b/>
          <w:sz w:val="24"/>
          <w:szCs w:val="24"/>
        </w:rPr>
        <w:t>obszarze cyfrowej produkcji i druku 3D</w:t>
      </w:r>
      <w:r w:rsidR="00F3138E" w:rsidRPr="00523293">
        <w:rPr>
          <w:rFonts w:ascii="Arial" w:hAnsi="Arial" w:cs="Arial"/>
          <w:bCs/>
          <w:sz w:val="24"/>
          <w:szCs w:val="24"/>
        </w:rPr>
        <w:t xml:space="preserve">, umożliwiające powtarzalną, wysokiej jakości produkcję alignerów Invisalign na skalę globalną przy jednoczesnym </w:t>
      </w:r>
      <w:r w:rsidR="00AF2891" w:rsidRPr="00523293">
        <w:rPr>
          <w:rFonts w:ascii="Arial" w:hAnsi="Arial" w:cs="Arial"/>
          <w:bCs/>
          <w:sz w:val="24"/>
          <w:szCs w:val="24"/>
        </w:rPr>
        <w:t xml:space="preserve">zachowaniu </w:t>
      </w:r>
      <w:r w:rsidR="00F3138E" w:rsidRPr="00523293">
        <w:rPr>
          <w:rFonts w:ascii="Arial" w:hAnsi="Arial" w:cs="Arial"/>
          <w:bCs/>
          <w:sz w:val="24"/>
          <w:szCs w:val="24"/>
        </w:rPr>
        <w:t>szybkości i niezawodności w praktykach ortodontycznych</w:t>
      </w:r>
    </w:p>
    <w:p w14:paraId="22A16937" w14:textId="77777777" w:rsidR="00F3138E" w:rsidRPr="00F3138E" w:rsidRDefault="00F3138E" w:rsidP="00F3138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ciągłe inwestycje w automatyzację</w:t>
      </w:r>
      <w:r w:rsidRPr="00F3138E">
        <w:rPr>
          <w:rFonts w:ascii="Arial" w:hAnsi="Arial" w:cs="Arial"/>
          <w:bCs/>
          <w:sz w:val="24"/>
          <w:szCs w:val="24"/>
        </w:rPr>
        <w:t>, wspierające bardziej efektywną pracę lekarzy przy zachowaniu kontroli klinicznej wraz ze wzrostem złożoności przypadków i skali praktyk</w:t>
      </w:r>
    </w:p>
    <w:p w14:paraId="254E2A8A" w14:textId="6F3090C5" w:rsidR="00F3138E" w:rsidRPr="00F3138E" w:rsidRDefault="00F3138E" w:rsidP="00F3138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rozwój narzędzi diagnostycznych i wizualizacyjnych</w:t>
      </w:r>
      <w:r w:rsidRPr="00F3138E">
        <w:rPr>
          <w:rFonts w:ascii="Arial" w:hAnsi="Arial" w:cs="Arial"/>
          <w:bCs/>
          <w:sz w:val="24"/>
          <w:szCs w:val="24"/>
        </w:rPr>
        <w:t>, wspierających wcześniejszą interwencję, lepsze zrozumienie leczenia przez pacjentów oraz pewn</w:t>
      </w:r>
      <w:r w:rsidR="00AF2891">
        <w:rPr>
          <w:rFonts w:ascii="Arial" w:hAnsi="Arial" w:cs="Arial"/>
          <w:bCs/>
          <w:sz w:val="24"/>
          <w:szCs w:val="24"/>
        </w:rPr>
        <w:t>i</w:t>
      </w:r>
      <w:r w:rsidRPr="00F3138E">
        <w:rPr>
          <w:rFonts w:ascii="Arial" w:hAnsi="Arial" w:cs="Arial"/>
          <w:bCs/>
          <w:sz w:val="24"/>
          <w:szCs w:val="24"/>
        </w:rPr>
        <w:t>e</w:t>
      </w:r>
      <w:r w:rsidR="00AF2891">
        <w:rPr>
          <w:rFonts w:ascii="Arial" w:hAnsi="Arial" w:cs="Arial"/>
          <w:bCs/>
          <w:sz w:val="24"/>
          <w:szCs w:val="24"/>
        </w:rPr>
        <w:t>jsze</w:t>
      </w:r>
      <w:r w:rsidRPr="00F3138E">
        <w:rPr>
          <w:rFonts w:ascii="Arial" w:hAnsi="Arial" w:cs="Arial"/>
          <w:bCs/>
          <w:sz w:val="24"/>
          <w:szCs w:val="24"/>
        </w:rPr>
        <w:t xml:space="preserve"> planowanie terapii w szerokim spektrum wad zgryzu i wzorców wzrostu</w:t>
      </w:r>
    </w:p>
    <w:p w14:paraId="42BA6A6F" w14:textId="352EC07D" w:rsidR="00F3138E" w:rsidRPr="00F3138E" w:rsidRDefault="00F3138E" w:rsidP="00F3138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F3138E">
        <w:rPr>
          <w:rFonts w:ascii="Arial" w:hAnsi="Arial" w:cs="Arial"/>
          <w:b/>
          <w:sz w:val="24"/>
          <w:szCs w:val="24"/>
        </w:rPr>
        <w:t>skalowanie zintegrowanych rozwiązań</w:t>
      </w:r>
      <w:r w:rsidRPr="00F3138E">
        <w:rPr>
          <w:rFonts w:ascii="Arial" w:hAnsi="Arial" w:cs="Arial"/>
          <w:bCs/>
          <w:sz w:val="24"/>
          <w:szCs w:val="24"/>
        </w:rPr>
        <w:t xml:space="preserve">, odzwierciedlające rosnącą adaptację cyfrowo połączonych </w:t>
      </w:r>
      <w:r w:rsidR="00AF2891">
        <w:rPr>
          <w:rFonts w:ascii="Arial" w:hAnsi="Arial" w:cs="Arial"/>
          <w:bCs/>
          <w:sz w:val="24"/>
          <w:szCs w:val="24"/>
        </w:rPr>
        <w:t>przepływów pracy</w:t>
      </w:r>
      <w:r w:rsidR="00AF2891" w:rsidRPr="00F3138E">
        <w:rPr>
          <w:rFonts w:ascii="Arial" w:hAnsi="Arial" w:cs="Arial"/>
          <w:bCs/>
          <w:sz w:val="24"/>
          <w:szCs w:val="24"/>
        </w:rPr>
        <w:t xml:space="preserve"> </w:t>
      </w:r>
      <w:r w:rsidRPr="00F3138E">
        <w:rPr>
          <w:rFonts w:ascii="Arial" w:hAnsi="Arial" w:cs="Arial"/>
          <w:bCs/>
          <w:sz w:val="24"/>
          <w:szCs w:val="24"/>
        </w:rPr>
        <w:t>w różnych modelach praktyk</w:t>
      </w:r>
    </w:p>
    <w:p w14:paraId="719F2E1B" w14:textId="261CFF47" w:rsidR="00F3138E" w:rsidRPr="00F3138E" w:rsidRDefault="00BE1972" w:rsidP="00F3138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F3138E" w:rsidRPr="00F3138E">
        <w:rPr>
          <w:rFonts w:ascii="Arial" w:hAnsi="Arial" w:cs="Arial"/>
          <w:b/>
          <w:sz w:val="24"/>
          <w:szCs w:val="24"/>
        </w:rPr>
        <w:t>iezależna walidacja Invisalign Palatal Expander (IPE)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– badanie kliniczne przeprowadzone przez naukowców z University of Insubria we Włoszech wykazało, że </w:t>
      </w:r>
      <w:r w:rsidR="00E44A0B">
        <w:rPr>
          <w:rFonts w:ascii="Arial" w:hAnsi="Arial" w:cs="Arial"/>
          <w:bCs/>
          <w:sz w:val="24"/>
          <w:szCs w:val="24"/>
        </w:rPr>
        <w:t>ekspander podniebienny Invisalign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skutecznie poszerza szczękę górną poprzez otwarcie naturalnego szwu podniebiennego, osiągając zmiany kostne i zgryzowe porównywalne z tradycyjnym metalowym ekspanderem Hyrax. Jednocześnie IPE zapewniał bardziej kontrolowane i przewidywalne rezultaty niż Hyrax, co potwierdza jego zastosowanie jako wiarygodnej opcji u </w:t>
      </w:r>
      <w:r w:rsidR="00F3138E" w:rsidRPr="00F3138E">
        <w:rPr>
          <w:rFonts w:ascii="Arial" w:hAnsi="Arial" w:cs="Arial"/>
          <w:bCs/>
          <w:sz w:val="24"/>
          <w:szCs w:val="24"/>
        </w:rPr>
        <w:lastRenderedPageBreak/>
        <w:t>pacjentów w okresie wzrostu oraz podkreśla jego rolę jako ważnego kroku w kierunku w pełni cyfrowej ortodoncji</w:t>
      </w:r>
      <w:r w:rsidR="00F3138E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3138E" w:rsidRPr="00F3138E">
        <w:rPr>
          <w:rFonts w:ascii="Arial" w:hAnsi="Arial" w:cs="Arial"/>
          <w:bCs/>
          <w:sz w:val="24"/>
          <w:szCs w:val="24"/>
        </w:rPr>
        <w:t>.</w:t>
      </w:r>
    </w:p>
    <w:p w14:paraId="57A3E22E" w14:textId="5C7E32EE" w:rsidR="00F3138E" w:rsidRDefault="00AF2891" w:rsidP="00F3138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e oraz </w:t>
      </w:r>
      <w:r>
        <w:rPr>
          <w:rFonts w:ascii="Arial" w:hAnsi="Arial" w:cs="Arial"/>
          <w:bCs/>
          <w:sz w:val="24"/>
          <w:szCs w:val="24"/>
        </w:rPr>
        <w:t>kolejne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planowane innowacje wzmacniają długoterminową strategię </w:t>
      </w:r>
      <w:r>
        <w:rPr>
          <w:rFonts w:ascii="Arial" w:hAnsi="Arial" w:cs="Arial"/>
          <w:bCs/>
          <w:sz w:val="24"/>
          <w:szCs w:val="24"/>
        </w:rPr>
        <w:t>Align, która wykracza poza rozwój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pojedynczych produktów </w:t>
      </w:r>
      <w:r>
        <w:rPr>
          <w:rFonts w:ascii="Arial" w:hAnsi="Arial" w:cs="Arial"/>
          <w:bCs/>
          <w:sz w:val="24"/>
          <w:szCs w:val="24"/>
        </w:rPr>
        <w:t>i koncentruje się na tworzeniu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spójnych doświadczeń </w:t>
      </w:r>
      <w:r>
        <w:rPr>
          <w:rFonts w:ascii="Arial" w:hAnsi="Arial" w:cs="Arial"/>
          <w:bCs/>
          <w:sz w:val="24"/>
          <w:szCs w:val="24"/>
        </w:rPr>
        <w:t>oraz lepszych efektów leczenia. Celem jest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wspiera</w:t>
      </w:r>
      <w:r>
        <w:rPr>
          <w:rFonts w:ascii="Arial" w:hAnsi="Arial" w:cs="Arial"/>
          <w:bCs/>
          <w:sz w:val="24"/>
          <w:szCs w:val="24"/>
        </w:rPr>
        <w:t>nie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profilaktyk</w:t>
      </w:r>
      <w:r>
        <w:rPr>
          <w:rFonts w:ascii="Arial" w:hAnsi="Arial" w:cs="Arial"/>
          <w:bCs/>
          <w:sz w:val="24"/>
          <w:szCs w:val="24"/>
        </w:rPr>
        <w:t>i</w:t>
      </w:r>
      <w:r w:rsidR="00F3138E" w:rsidRPr="00F3138E">
        <w:rPr>
          <w:rFonts w:ascii="Arial" w:hAnsi="Arial" w:cs="Arial"/>
          <w:bCs/>
          <w:sz w:val="24"/>
          <w:szCs w:val="24"/>
        </w:rPr>
        <w:t>, wczesn</w:t>
      </w:r>
      <w:r>
        <w:rPr>
          <w:rFonts w:ascii="Arial" w:hAnsi="Arial" w:cs="Arial"/>
          <w:bCs/>
          <w:sz w:val="24"/>
          <w:szCs w:val="24"/>
        </w:rPr>
        <w:t>ej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interwencj</w:t>
      </w:r>
      <w:r>
        <w:rPr>
          <w:rFonts w:ascii="Arial" w:hAnsi="Arial" w:cs="Arial"/>
          <w:bCs/>
          <w:sz w:val="24"/>
          <w:szCs w:val="24"/>
        </w:rPr>
        <w:t>i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oraz cyfrow</w:t>
      </w:r>
      <w:r>
        <w:rPr>
          <w:rFonts w:ascii="Arial" w:hAnsi="Arial" w:cs="Arial"/>
          <w:bCs/>
          <w:sz w:val="24"/>
          <w:szCs w:val="24"/>
        </w:rPr>
        <w:t>ej opieki ortodontycznej</w:t>
      </w:r>
      <w:r w:rsidR="00F3138E" w:rsidRPr="00F3138E">
        <w:rPr>
          <w:rFonts w:ascii="Arial" w:hAnsi="Arial" w:cs="Arial"/>
          <w:bCs/>
          <w:sz w:val="24"/>
          <w:szCs w:val="24"/>
        </w:rPr>
        <w:t xml:space="preserve"> </w:t>
      </w:r>
      <w:r w:rsidR="008D74A0">
        <w:rPr>
          <w:rFonts w:ascii="Arial" w:hAnsi="Arial" w:cs="Arial"/>
          <w:bCs/>
          <w:sz w:val="24"/>
          <w:szCs w:val="24"/>
        </w:rPr>
        <w:t xml:space="preserve">na </w:t>
      </w:r>
      <w:r w:rsidR="00F3138E" w:rsidRPr="00F3138E">
        <w:rPr>
          <w:rFonts w:ascii="Arial" w:hAnsi="Arial" w:cs="Arial"/>
          <w:bCs/>
          <w:sz w:val="24"/>
          <w:szCs w:val="24"/>
        </w:rPr>
        <w:t>całym świecie.</w:t>
      </w:r>
    </w:p>
    <w:p w14:paraId="550BA354" w14:textId="77777777" w:rsidR="00AF2891" w:rsidRDefault="00AF2891" w:rsidP="00F3138E">
      <w:pPr>
        <w:jc w:val="both"/>
        <w:rPr>
          <w:rFonts w:ascii="Arial" w:hAnsi="Arial" w:cs="Arial"/>
          <w:bCs/>
          <w:sz w:val="24"/>
          <w:szCs w:val="24"/>
        </w:rPr>
      </w:pPr>
    </w:p>
    <w:p w14:paraId="560E6770" w14:textId="77777777" w:rsidR="00247553" w:rsidRPr="00B14D61" w:rsidRDefault="00247553" w:rsidP="00247553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20"/>
          <w:u w:val="single"/>
        </w:rPr>
      </w:pPr>
      <w:r w:rsidRPr="00B14D61">
        <w:rPr>
          <w:rFonts w:ascii="Arial" w:eastAsia="Times New Roman" w:hAnsi="Arial" w:cs="Arial"/>
          <w:b/>
          <w:sz w:val="20"/>
          <w:u w:val="single"/>
        </w:rPr>
        <w:t>O Align Technology</w:t>
      </w:r>
    </w:p>
    <w:p w14:paraId="01A31805" w14:textId="7074BC02" w:rsidR="00247553" w:rsidRPr="00A105F7" w:rsidRDefault="00247553" w:rsidP="00247553">
      <w:pPr>
        <w:spacing w:line="240" w:lineRule="auto"/>
        <w:jc w:val="both"/>
        <w:rPr>
          <w:rFonts w:ascii="Arial" w:eastAsia="Times New Roman" w:hAnsi="Arial" w:cs="Arial"/>
          <w:kern w:val="16"/>
          <w:sz w:val="20"/>
        </w:rPr>
      </w:pPr>
      <w:r w:rsidRPr="00A105F7">
        <w:rPr>
          <w:rFonts w:ascii="Arial" w:eastAsia="Times New Roman" w:hAnsi="Arial" w:cs="Arial"/>
          <w:kern w:val="16"/>
          <w:sz w:val="20"/>
        </w:rPr>
        <w:t>Firma Align Technology projektuje i produkuje system Invisalign</w:t>
      </w:r>
      <w:r w:rsidRPr="00A105F7">
        <w:rPr>
          <w:rFonts w:ascii="Arial" w:eastAsia="Times New Roman" w:hAnsi="Arial" w:cs="Arial"/>
          <w:kern w:val="16"/>
          <w:sz w:val="20"/>
          <w:vertAlign w:val="superscript"/>
        </w:rPr>
        <w:t>®</w:t>
      </w:r>
      <w:r w:rsidRPr="00A105F7">
        <w:rPr>
          <w:rFonts w:ascii="Arial" w:eastAsia="Times New Roman" w:hAnsi="Arial" w:cs="Arial"/>
          <w:kern w:val="16"/>
          <w:sz w:val="20"/>
        </w:rPr>
        <w:t>, najbardziej zaawansowany system przezroczystych nakładek na świecie, skanery wewnątrzustne iTero™ oraz usługi i oprogramowanie CAD/CAM exocad™. Technologie te pozwalają na udoskonalenie cyfrowych procesów ortodontycznych i protetycznych w celu poprawy wyników leczenia pacjentów i efektywności praktyki dla ponad 2</w:t>
      </w:r>
      <w:r>
        <w:rPr>
          <w:rFonts w:ascii="Arial" w:eastAsia="Times New Roman" w:hAnsi="Arial" w:cs="Arial"/>
          <w:kern w:val="16"/>
          <w:sz w:val="20"/>
        </w:rPr>
        <w:t>99 5</w:t>
      </w:r>
      <w:r w:rsidRPr="00A105F7">
        <w:rPr>
          <w:rFonts w:ascii="Arial" w:eastAsia="Times New Roman" w:hAnsi="Arial" w:cs="Arial"/>
          <w:kern w:val="16"/>
          <w:sz w:val="20"/>
        </w:rPr>
        <w:t>00 lekarzy, a także są kluczowe w dotarciu firmy Align do 600 milionów konsumentów na całym świecie. W ciągu ostatnich 29 lat Align pomógł lekarzom w leczeniu ok. 22,</w:t>
      </w:r>
      <w:r>
        <w:rPr>
          <w:rFonts w:ascii="Arial" w:eastAsia="Times New Roman" w:hAnsi="Arial" w:cs="Arial"/>
          <w:kern w:val="16"/>
          <w:sz w:val="20"/>
        </w:rPr>
        <w:t>8</w:t>
      </w:r>
      <w:r w:rsidRPr="00A105F7">
        <w:rPr>
          <w:rFonts w:ascii="Arial" w:eastAsia="Times New Roman" w:hAnsi="Arial" w:cs="Arial"/>
          <w:kern w:val="16"/>
          <w:sz w:val="20"/>
        </w:rPr>
        <w:t xml:space="preserve"> milionów pacjentów poprzez system</w:t>
      </w:r>
      <w:r>
        <w:rPr>
          <w:rFonts w:ascii="Arial" w:eastAsia="Times New Roman" w:hAnsi="Arial" w:cs="Arial"/>
          <w:kern w:val="16"/>
          <w:sz w:val="20"/>
        </w:rPr>
        <w:t xml:space="preserve"> </w:t>
      </w:r>
      <w:r w:rsidRPr="00A105F7">
        <w:rPr>
          <w:rFonts w:ascii="Arial" w:eastAsia="Times New Roman" w:hAnsi="Arial" w:cs="Arial"/>
          <w:kern w:val="16"/>
          <w:sz w:val="20"/>
        </w:rPr>
        <w:t xml:space="preserve">Invisalign i napędza ewolucję cyfrowej stomatologii poprzez Align Digital Platform™, zintegrowany pakiet unikatowych, zastrzeżonych technologii i usług dostarczanych w postaci bezproblemowych, kompleksowych rozwiązań dla pacjentów i konsumentów, ortodontów i stomatologów oraz laboratoriów/partnerów. Jest ona także motorem napędowym ewolucji cyfrowej w dziedzinie stomatologii. Więcej informacji na </w:t>
      </w:r>
      <w:hyperlink r:id="rId8" w:history="1">
        <w:r w:rsidRPr="00A105F7">
          <w:rPr>
            <w:rStyle w:val="Hipercze"/>
            <w:rFonts w:ascii="Arial" w:eastAsia="Times New Roman" w:hAnsi="Arial" w:cs="Arial"/>
            <w:kern w:val="16"/>
            <w:sz w:val="20"/>
          </w:rPr>
          <w:t>www.aligntech.com</w:t>
        </w:r>
      </w:hyperlink>
      <w:r w:rsidRPr="00A105F7">
        <w:rPr>
          <w:rFonts w:ascii="Arial" w:eastAsia="Times New Roman" w:hAnsi="Arial" w:cs="Arial"/>
          <w:kern w:val="16"/>
          <w:sz w:val="20"/>
        </w:rPr>
        <w:t>.</w:t>
      </w:r>
    </w:p>
    <w:p w14:paraId="6ED3FFEF" w14:textId="3517F4FB" w:rsidR="00247553" w:rsidRPr="00F3138E" w:rsidRDefault="00247553" w:rsidP="009B4CF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05F7">
        <w:rPr>
          <w:rFonts w:ascii="Arial" w:eastAsia="Times New Roman" w:hAnsi="Arial" w:cs="Arial"/>
          <w:kern w:val="16"/>
          <w:sz w:val="20"/>
        </w:rPr>
        <w:t xml:space="preserve">Dodatkowe informacje na temat systemu Invisalign i wyszukiwarka lekarzy Invisalign dostępne są na </w:t>
      </w:r>
      <w:hyperlink r:id="rId9" w:history="1">
        <w:r w:rsidRPr="00A105F7">
          <w:rPr>
            <w:rStyle w:val="Hipercze"/>
            <w:rFonts w:ascii="Arial" w:eastAsia="Times New Roman" w:hAnsi="Arial" w:cs="Arial"/>
            <w:kern w:val="16"/>
            <w:sz w:val="20"/>
          </w:rPr>
          <w:t>www.invisalign.com</w:t>
        </w:r>
      </w:hyperlink>
      <w:r w:rsidRPr="00A105F7">
        <w:rPr>
          <w:rFonts w:ascii="Arial" w:eastAsia="Times New Roman" w:hAnsi="Arial" w:cs="Arial"/>
          <w:kern w:val="16"/>
          <w:sz w:val="20"/>
        </w:rPr>
        <w:t xml:space="preserve">. Dodatkowe informacje o skanerach i usługach iTero znajdują się na stronie </w:t>
      </w:r>
      <w:hyperlink r:id="rId10" w:history="1">
        <w:r w:rsidRPr="00A105F7">
          <w:rPr>
            <w:rStyle w:val="Hipercze"/>
            <w:rFonts w:ascii="Arial" w:eastAsia="Times New Roman" w:hAnsi="Arial" w:cs="Arial"/>
            <w:kern w:val="16"/>
            <w:sz w:val="20"/>
          </w:rPr>
          <w:t>www.itero.com</w:t>
        </w:r>
      </w:hyperlink>
      <w:r w:rsidRPr="00A105F7">
        <w:rPr>
          <w:rFonts w:ascii="Arial" w:eastAsia="Times New Roman" w:hAnsi="Arial" w:cs="Arial"/>
          <w:kern w:val="16"/>
          <w:sz w:val="20"/>
        </w:rPr>
        <w:t xml:space="preserve">. Dodatkowe informacje o ofercie oprogramowania CAD/CAM exocad oraz listę partnerów handlowych można znaleźć na stronie </w:t>
      </w:r>
      <w:hyperlink r:id="rId11" w:history="1">
        <w:r w:rsidRPr="00A105F7">
          <w:rPr>
            <w:rStyle w:val="Hipercze"/>
            <w:rFonts w:ascii="Arial" w:eastAsia="Times New Roman" w:hAnsi="Arial" w:cs="Arial"/>
            <w:kern w:val="16"/>
            <w:sz w:val="20"/>
          </w:rPr>
          <w:t>www.exocad.com</w:t>
        </w:r>
      </w:hyperlink>
      <w:r w:rsidRPr="00A105F7">
        <w:rPr>
          <w:rFonts w:ascii="Arial" w:eastAsia="Times New Roman" w:hAnsi="Arial" w:cs="Arial"/>
          <w:kern w:val="16"/>
          <w:sz w:val="20"/>
        </w:rPr>
        <w:t>.</w:t>
      </w:r>
    </w:p>
    <w:sectPr w:rsidR="00247553" w:rsidRPr="00F3138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3AD4" w14:textId="77777777" w:rsidR="006F0B49" w:rsidRDefault="006F0B49" w:rsidP="00A25CC5">
      <w:pPr>
        <w:spacing w:after="0" w:line="240" w:lineRule="auto"/>
      </w:pPr>
      <w:r>
        <w:separator/>
      </w:r>
    </w:p>
  </w:endnote>
  <w:endnote w:type="continuationSeparator" w:id="0">
    <w:p w14:paraId="00C2F068" w14:textId="77777777" w:rsidR="006F0B49" w:rsidRDefault="006F0B49" w:rsidP="00A2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C5A6" w14:textId="77777777" w:rsidR="006F0B49" w:rsidRDefault="006F0B49" w:rsidP="00A25CC5">
      <w:pPr>
        <w:spacing w:after="0" w:line="240" w:lineRule="auto"/>
      </w:pPr>
      <w:r>
        <w:separator/>
      </w:r>
    </w:p>
  </w:footnote>
  <w:footnote w:type="continuationSeparator" w:id="0">
    <w:p w14:paraId="509C6F74" w14:textId="77777777" w:rsidR="006F0B49" w:rsidRDefault="006F0B49" w:rsidP="00A25CC5">
      <w:pPr>
        <w:spacing w:after="0" w:line="240" w:lineRule="auto"/>
      </w:pPr>
      <w:r>
        <w:continuationSeparator/>
      </w:r>
    </w:p>
  </w:footnote>
  <w:footnote w:id="1">
    <w:p w14:paraId="220E20CA" w14:textId="77777777" w:rsidR="00523293" w:rsidRPr="00247553" w:rsidRDefault="00523293" w:rsidP="0052329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47553">
        <w:rPr>
          <w:lang w:val="en-US"/>
        </w:rPr>
        <w:t xml:space="preserve"> </w:t>
      </w:r>
      <w:r>
        <w:rPr>
          <w:lang w:val="en-US"/>
        </w:rPr>
        <w:t>B</w:t>
      </w:r>
      <w:r w:rsidRPr="00247553">
        <w:rPr>
          <w:lang w:val="en-US"/>
        </w:rPr>
        <w:t>ased on bench testing conducted in August 2025 according to Design Verification on Specifix™ attachment volume precision (A035851). </w:t>
      </w:r>
      <w:r w:rsidRPr="00247553">
        <w:rPr>
          <w:i/>
          <w:iCs/>
          <w:lang w:val="en-US"/>
        </w:rPr>
        <w:t>Data on File at Align Technology, as of </w:t>
      </w:r>
      <w:r w:rsidRPr="00247553">
        <w:rPr>
          <w:b/>
          <w:bCs/>
          <w:i/>
          <w:iCs/>
          <w:lang w:val="en-US"/>
        </w:rPr>
        <w:t>January 28, 2026</w:t>
      </w:r>
      <w:r w:rsidRPr="00247553">
        <w:rPr>
          <w:i/>
          <w:iCs/>
          <w:lang w:val="en-US"/>
        </w:rPr>
        <w:t>.</w:t>
      </w:r>
    </w:p>
  </w:footnote>
  <w:footnote w:id="2">
    <w:p w14:paraId="319BF4F5" w14:textId="4D9C6855" w:rsidR="00247553" w:rsidRPr="00247553" w:rsidRDefault="0024755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47553">
        <w:rPr>
          <w:lang w:val="en-US"/>
        </w:rPr>
        <w:t xml:space="preserve"> Based on data from a multi-site US IDE (Investigational Device Exemption) clinical study (n=29 subjects, ages 7-10 years) of expansion treatment with Invisalign® Palatal Expanders. Data on file at Align Technology, as of October 30, 2023</w:t>
      </w:r>
    </w:p>
  </w:footnote>
  <w:footnote w:id="3">
    <w:p w14:paraId="379376C4" w14:textId="583E85BB" w:rsidR="00F3138E" w:rsidRPr="00F3138E" w:rsidRDefault="00F3138E">
      <w:pPr>
        <w:pStyle w:val="Tekstprzypisudolnego"/>
        <w:rPr>
          <w:lang w:val="en-US"/>
        </w:rPr>
      </w:pPr>
      <w:r w:rsidRPr="00F3138E">
        <w:rPr>
          <w:rStyle w:val="Odwoanieprzypisudolnego"/>
        </w:rPr>
        <w:footnoteRef/>
      </w:r>
      <w:r w:rsidRPr="00F3138E">
        <w:rPr>
          <w:lang w:val="en-US"/>
        </w:rPr>
        <w:t xml:space="preserve"> </w:t>
      </w:r>
      <w:r w:rsidR="00247553" w:rsidRPr="00F3138E">
        <w:rPr>
          <w:lang w:val="en-US"/>
        </w:rPr>
        <w:t>Elastics are not supplied/provided by Align Technology, Inc</w:t>
      </w:r>
    </w:p>
  </w:footnote>
  <w:footnote w:id="4">
    <w:p w14:paraId="61BD72CB" w14:textId="77777777" w:rsidR="00F3138E" w:rsidRPr="00F3138E" w:rsidRDefault="00F3138E" w:rsidP="00F3138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F3138E">
        <w:rPr>
          <w:lang w:val="en-US"/>
        </w:rPr>
        <w:t xml:space="preserve"> Levrini L, Saran S, Imbesi E, Vanini I, Russo V, Rimoldi V, Carganico A, Giannotta N and Perugini M (2026), Skeletal and dentoalveolar effects on the midpalatal suture and maxillary arch assessed by occlusal radiographs and three-dimensional digital models in patients treated with Invisalign palatal expander and rapid palatal expander: a pilot study. Front. Dent. Med. 7:1757094. doi: 10.3389/fdmed.2026.1757094</w:t>
      </w:r>
    </w:p>
    <w:p w14:paraId="55F9A795" w14:textId="3BE9C637" w:rsidR="00F3138E" w:rsidRPr="00F3138E" w:rsidRDefault="00F3138E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C918" w14:textId="1FCF227D" w:rsidR="00A25CC5" w:rsidRDefault="00A25C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AC5A9" wp14:editId="0EC87ACA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984250" cy="413385"/>
          <wp:effectExtent l="0" t="0" r="635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FCB"/>
    <w:multiLevelType w:val="multilevel"/>
    <w:tmpl w:val="A4C4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744C7"/>
    <w:multiLevelType w:val="multilevel"/>
    <w:tmpl w:val="AC82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00615"/>
    <w:multiLevelType w:val="multilevel"/>
    <w:tmpl w:val="0E4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30AE4"/>
    <w:multiLevelType w:val="hybridMultilevel"/>
    <w:tmpl w:val="74FC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12CF7"/>
    <w:multiLevelType w:val="hybridMultilevel"/>
    <w:tmpl w:val="836C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107"/>
    <w:multiLevelType w:val="hybridMultilevel"/>
    <w:tmpl w:val="CE90E38C"/>
    <w:lvl w:ilvl="0" w:tplc="6AF6E4B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243A"/>
    <w:multiLevelType w:val="hybridMultilevel"/>
    <w:tmpl w:val="224075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1A7B"/>
    <w:multiLevelType w:val="multilevel"/>
    <w:tmpl w:val="406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57662"/>
    <w:multiLevelType w:val="hybridMultilevel"/>
    <w:tmpl w:val="138A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7E97"/>
    <w:multiLevelType w:val="hybridMultilevel"/>
    <w:tmpl w:val="5C0CB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F01DE"/>
    <w:multiLevelType w:val="hybridMultilevel"/>
    <w:tmpl w:val="B9E03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74D5"/>
    <w:multiLevelType w:val="hybridMultilevel"/>
    <w:tmpl w:val="D868B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106EE"/>
    <w:multiLevelType w:val="hybridMultilevel"/>
    <w:tmpl w:val="FB442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D085E"/>
    <w:multiLevelType w:val="hybridMultilevel"/>
    <w:tmpl w:val="66F0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D423A"/>
    <w:multiLevelType w:val="multilevel"/>
    <w:tmpl w:val="DBC8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D721B"/>
    <w:multiLevelType w:val="multilevel"/>
    <w:tmpl w:val="8EFA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96598"/>
    <w:multiLevelType w:val="hybridMultilevel"/>
    <w:tmpl w:val="91282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D79EB"/>
    <w:multiLevelType w:val="hybridMultilevel"/>
    <w:tmpl w:val="2032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D7A5D"/>
    <w:multiLevelType w:val="hybridMultilevel"/>
    <w:tmpl w:val="1D5CA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03C9A"/>
    <w:multiLevelType w:val="multilevel"/>
    <w:tmpl w:val="464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45198">
    <w:abstractNumId w:val="5"/>
  </w:num>
  <w:num w:numId="2" w16cid:durableId="1984892401">
    <w:abstractNumId w:val="8"/>
  </w:num>
  <w:num w:numId="3" w16cid:durableId="176426455">
    <w:abstractNumId w:val="6"/>
  </w:num>
  <w:num w:numId="4" w16cid:durableId="184296899">
    <w:abstractNumId w:val="18"/>
  </w:num>
  <w:num w:numId="5" w16cid:durableId="226384931">
    <w:abstractNumId w:val="17"/>
  </w:num>
  <w:num w:numId="6" w16cid:durableId="1739522472">
    <w:abstractNumId w:val="9"/>
  </w:num>
  <w:num w:numId="7" w16cid:durableId="1712657208">
    <w:abstractNumId w:val="0"/>
  </w:num>
  <w:num w:numId="8" w16cid:durableId="2095318412">
    <w:abstractNumId w:val="15"/>
  </w:num>
  <w:num w:numId="9" w16cid:durableId="1465924290">
    <w:abstractNumId w:val="2"/>
  </w:num>
  <w:num w:numId="10" w16cid:durableId="835993291">
    <w:abstractNumId w:val="1"/>
  </w:num>
  <w:num w:numId="11" w16cid:durableId="1726638377">
    <w:abstractNumId w:val="7"/>
  </w:num>
  <w:num w:numId="12" w16cid:durableId="1400597787">
    <w:abstractNumId w:val="19"/>
  </w:num>
  <w:num w:numId="13" w16cid:durableId="318193164">
    <w:abstractNumId w:val="4"/>
  </w:num>
  <w:num w:numId="14" w16cid:durableId="544564129">
    <w:abstractNumId w:val="16"/>
  </w:num>
  <w:num w:numId="15" w16cid:durableId="702903294">
    <w:abstractNumId w:val="10"/>
  </w:num>
  <w:num w:numId="16" w16cid:durableId="521094287">
    <w:abstractNumId w:val="12"/>
  </w:num>
  <w:num w:numId="17" w16cid:durableId="133985596">
    <w:abstractNumId w:val="13"/>
  </w:num>
  <w:num w:numId="18" w16cid:durableId="834953132">
    <w:abstractNumId w:val="3"/>
  </w:num>
  <w:num w:numId="19" w16cid:durableId="229198019">
    <w:abstractNumId w:val="14"/>
  </w:num>
  <w:num w:numId="20" w16cid:durableId="604969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66"/>
    <w:rsid w:val="00005382"/>
    <w:rsid w:val="00005603"/>
    <w:rsid w:val="000066B5"/>
    <w:rsid w:val="000177D8"/>
    <w:rsid w:val="00020F2D"/>
    <w:rsid w:val="000428F8"/>
    <w:rsid w:val="00045788"/>
    <w:rsid w:val="000463F1"/>
    <w:rsid w:val="00060439"/>
    <w:rsid w:val="00075168"/>
    <w:rsid w:val="000775D2"/>
    <w:rsid w:val="00077EB7"/>
    <w:rsid w:val="00082CB7"/>
    <w:rsid w:val="000941A9"/>
    <w:rsid w:val="000941FD"/>
    <w:rsid w:val="000B5F91"/>
    <w:rsid w:val="000B6EA6"/>
    <w:rsid w:val="000C6287"/>
    <w:rsid w:val="000D1CF6"/>
    <w:rsid w:val="000D48A2"/>
    <w:rsid w:val="000D6AAA"/>
    <w:rsid w:val="000E63AA"/>
    <w:rsid w:val="000F5C74"/>
    <w:rsid w:val="000F7CB8"/>
    <w:rsid w:val="00117BF4"/>
    <w:rsid w:val="00120DEF"/>
    <w:rsid w:val="0012363E"/>
    <w:rsid w:val="00125F7F"/>
    <w:rsid w:val="00136C87"/>
    <w:rsid w:val="00142283"/>
    <w:rsid w:val="001912BC"/>
    <w:rsid w:val="0019764C"/>
    <w:rsid w:val="001A60A4"/>
    <w:rsid w:val="001B3654"/>
    <w:rsid w:val="001C14D3"/>
    <w:rsid w:val="001C16FF"/>
    <w:rsid w:val="001E05C4"/>
    <w:rsid w:val="001E3D52"/>
    <w:rsid w:val="001E44D0"/>
    <w:rsid w:val="001E7A6D"/>
    <w:rsid w:val="00210D03"/>
    <w:rsid w:val="0021772C"/>
    <w:rsid w:val="00217C8D"/>
    <w:rsid w:val="00221FDE"/>
    <w:rsid w:val="0022383D"/>
    <w:rsid w:val="0022409C"/>
    <w:rsid w:val="00231B5E"/>
    <w:rsid w:val="00240BFD"/>
    <w:rsid w:val="00247553"/>
    <w:rsid w:val="00274BD0"/>
    <w:rsid w:val="0028129E"/>
    <w:rsid w:val="002A0825"/>
    <w:rsid w:val="002B0F0F"/>
    <w:rsid w:val="002B6D0E"/>
    <w:rsid w:val="002D7213"/>
    <w:rsid w:val="00301D45"/>
    <w:rsid w:val="00331170"/>
    <w:rsid w:val="00340074"/>
    <w:rsid w:val="003525FD"/>
    <w:rsid w:val="00353B4E"/>
    <w:rsid w:val="0036602D"/>
    <w:rsid w:val="0036740A"/>
    <w:rsid w:val="00373984"/>
    <w:rsid w:val="003962BF"/>
    <w:rsid w:val="003A2507"/>
    <w:rsid w:val="003A7835"/>
    <w:rsid w:val="003B3104"/>
    <w:rsid w:val="003B70E6"/>
    <w:rsid w:val="003C1265"/>
    <w:rsid w:val="003C5150"/>
    <w:rsid w:val="003D245E"/>
    <w:rsid w:val="003E2A0F"/>
    <w:rsid w:val="003F0517"/>
    <w:rsid w:val="00400F7D"/>
    <w:rsid w:val="004074FA"/>
    <w:rsid w:val="00411C75"/>
    <w:rsid w:val="00412410"/>
    <w:rsid w:val="00441376"/>
    <w:rsid w:val="00442F11"/>
    <w:rsid w:val="004579DE"/>
    <w:rsid w:val="004602F8"/>
    <w:rsid w:val="00462A46"/>
    <w:rsid w:val="00471768"/>
    <w:rsid w:val="00475FE0"/>
    <w:rsid w:val="004B42F9"/>
    <w:rsid w:val="004C147C"/>
    <w:rsid w:val="004C416E"/>
    <w:rsid w:val="00501CC4"/>
    <w:rsid w:val="00512EF1"/>
    <w:rsid w:val="00522E67"/>
    <w:rsid w:val="00523293"/>
    <w:rsid w:val="005355EC"/>
    <w:rsid w:val="00540FAD"/>
    <w:rsid w:val="00551A8C"/>
    <w:rsid w:val="00571B2F"/>
    <w:rsid w:val="00582C41"/>
    <w:rsid w:val="0058484D"/>
    <w:rsid w:val="00590018"/>
    <w:rsid w:val="0059017D"/>
    <w:rsid w:val="00592764"/>
    <w:rsid w:val="005938C6"/>
    <w:rsid w:val="00595C73"/>
    <w:rsid w:val="005A2D2A"/>
    <w:rsid w:val="005B0CF0"/>
    <w:rsid w:val="005B3380"/>
    <w:rsid w:val="005C5376"/>
    <w:rsid w:val="005D002D"/>
    <w:rsid w:val="005E10AD"/>
    <w:rsid w:val="005F4243"/>
    <w:rsid w:val="00602055"/>
    <w:rsid w:val="00636525"/>
    <w:rsid w:val="00637A51"/>
    <w:rsid w:val="00642313"/>
    <w:rsid w:val="00647EBC"/>
    <w:rsid w:val="00657CAE"/>
    <w:rsid w:val="00657F91"/>
    <w:rsid w:val="00661640"/>
    <w:rsid w:val="0066190C"/>
    <w:rsid w:val="00672C80"/>
    <w:rsid w:val="00675641"/>
    <w:rsid w:val="006819C0"/>
    <w:rsid w:val="00683A46"/>
    <w:rsid w:val="006854BC"/>
    <w:rsid w:val="006A7D6D"/>
    <w:rsid w:val="006B4784"/>
    <w:rsid w:val="006C52FB"/>
    <w:rsid w:val="006D0CA6"/>
    <w:rsid w:val="006D1BE0"/>
    <w:rsid w:val="006E1275"/>
    <w:rsid w:val="006E1818"/>
    <w:rsid w:val="006F0B49"/>
    <w:rsid w:val="006F2BFD"/>
    <w:rsid w:val="006F6A67"/>
    <w:rsid w:val="006F7DC5"/>
    <w:rsid w:val="00701092"/>
    <w:rsid w:val="00703721"/>
    <w:rsid w:val="007116CF"/>
    <w:rsid w:val="00716C8B"/>
    <w:rsid w:val="00727983"/>
    <w:rsid w:val="00762576"/>
    <w:rsid w:val="0078385F"/>
    <w:rsid w:val="007A1E5C"/>
    <w:rsid w:val="007B1C31"/>
    <w:rsid w:val="007B390E"/>
    <w:rsid w:val="007B3B67"/>
    <w:rsid w:val="007B430E"/>
    <w:rsid w:val="007C3D80"/>
    <w:rsid w:val="007D032F"/>
    <w:rsid w:val="007D03D1"/>
    <w:rsid w:val="007D4466"/>
    <w:rsid w:val="007E164A"/>
    <w:rsid w:val="007E2112"/>
    <w:rsid w:val="007E37B2"/>
    <w:rsid w:val="008057A0"/>
    <w:rsid w:val="0081003A"/>
    <w:rsid w:val="00825A8D"/>
    <w:rsid w:val="008504FB"/>
    <w:rsid w:val="00855BDF"/>
    <w:rsid w:val="00860970"/>
    <w:rsid w:val="008776C8"/>
    <w:rsid w:val="00880F77"/>
    <w:rsid w:val="00892755"/>
    <w:rsid w:val="008B2BCD"/>
    <w:rsid w:val="008C30FA"/>
    <w:rsid w:val="008C76B5"/>
    <w:rsid w:val="008D0A3C"/>
    <w:rsid w:val="008D2F58"/>
    <w:rsid w:val="008D74A0"/>
    <w:rsid w:val="008D76C4"/>
    <w:rsid w:val="008E0AE8"/>
    <w:rsid w:val="008F60FB"/>
    <w:rsid w:val="00900F18"/>
    <w:rsid w:val="00911E78"/>
    <w:rsid w:val="00926029"/>
    <w:rsid w:val="00931E0D"/>
    <w:rsid w:val="0096654A"/>
    <w:rsid w:val="00973724"/>
    <w:rsid w:val="009763E9"/>
    <w:rsid w:val="0097686D"/>
    <w:rsid w:val="0098055E"/>
    <w:rsid w:val="0098235F"/>
    <w:rsid w:val="009A601C"/>
    <w:rsid w:val="009A7DE2"/>
    <w:rsid w:val="009B29CF"/>
    <w:rsid w:val="009B4CF1"/>
    <w:rsid w:val="009C1CF0"/>
    <w:rsid w:val="009D4FA0"/>
    <w:rsid w:val="009E016E"/>
    <w:rsid w:val="009F6B13"/>
    <w:rsid w:val="00A11223"/>
    <w:rsid w:val="00A13B0E"/>
    <w:rsid w:val="00A13B9A"/>
    <w:rsid w:val="00A1429A"/>
    <w:rsid w:val="00A23E96"/>
    <w:rsid w:val="00A25929"/>
    <w:rsid w:val="00A25CC5"/>
    <w:rsid w:val="00A26B64"/>
    <w:rsid w:val="00A94AF9"/>
    <w:rsid w:val="00AA048D"/>
    <w:rsid w:val="00AC53FD"/>
    <w:rsid w:val="00AD0C1F"/>
    <w:rsid w:val="00AE0079"/>
    <w:rsid w:val="00AF2891"/>
    <w:rsid w:val="00B17429"/>
    <w:rsid w:val="00B271D6"/>
    <w:rsid w:val="00B3196B"/>
    <w:rsid w:val="00B32C18"/>
    <w:rsid w:val="00B3782C"/>
    <w:rsid w:val="00B405A8"/>
    <w:rsid w:val="00B5559E"/>
    <w:rsid w:val="00B71902"/>
    <w:rsid w:val="00B745CF"/>
    <w:rsid w:val="00B80061"/>
    <w:rsid w:val="00B86E48"/>
    <w:rsid w:val="00B92EDF"/>
    <w:rsid w:val="00B94597"/>
    <w:rsid w:val="00B977C4"/>
    <w:rsid w:val="00BA0396"/>
    <w:rsid w:val="00BA5BE6"/>
    <w:rsid w:val="00BA6756"/>
    <w:rsid w:val="00BB0A7C"/>
    <w:rsid w:val="00BB10AC"/>
    <w:rsid w:val="00BB45BF"/>
    <w:rsid w:val="00BC5B09"/>
    <w:rsid w:val="00BD5DAE"/>
    <w:rsid w:val="00BE1972"/>
    <w:rsid w:val="00BE2626"/>
    <w:rsid w:val="00BE2FF0"/>
    <w:rsid w:val="00BE30EF"/>
    <w:rsid w:val="00BE3616"/>
    <w:rsid w:val="00BF187D"/>
    <w:rsid w:val="00BF2640"/>
    <w:rsid w:val="00BF6AA2"/>
    <w:rsid w:val="00BF7B09"/>
    <w:rsid w:val="00C03920"/>
    <w:rsid w:val="00C10036"/>
    <w:rsid w:val="00C1180A"/>
    <w:rsid w:val="00C22482"/>
    <w:rsid w:val="00C25778"/>
    <w:rsid w:val="00C50110"/>
    <w:rsid w:val="00C512F0"/>
    <w:rsid w:val="00C544D4"/>
    <w:rsid w:val="00C70B0A"/>
    <w:rsid w:val="00C97520"/>
    <w:rsid w:val="00C9788B"/>
    <w:rsid w:val="00CA5296"/>
    <w:rsid w:val="00CC2033"/>
    <w:rsid w:val="00CC2E8F"/>
    <w:rsid w:val="00CC5799"/>
    <w:rsid w:val="00CD598B"/>
    <w:rsid w:val="00CE2D49"/>
    <w:rsid w:val="00CF2253"/>
    <w:rsid w:val="00CF2955"/>
    <w:rsid w:val="00CF6394"/>
    <w:rsid w:val="00D04693"/>
    <w:rsid w:val="00D247D9"/>
    <w:rsid w:val="00D26ADC"/>
    <w:rsid w:val="00D35490"/>
    <w:rsid w:val="00D529C7"/>
    <w:rsid w:val="00D65719"/>
    <w:rsid w:val="00D750E8"/>
    <w:rsid w:val="00DC1FBB"/>
    <w:rsid w:val="00DC3591"/>
    <w:rsid w:val="00DD192C"/>
    <w:rsid w:val="00DD4A00"/>
    <w:rsid w:val="00DD7FEE"/>
    <w:rsid w:val="00DE5787"/>
    <w:rsid w:val="00E11A6A"/>
    <w:rsid w:val="00E126E2"/>
    <w:rsid w:val="00E32ECF"/>
    <w:rsid w:val="00E335F7"/>
    <w:rsid w:val="00E362B3"/>
    <w:rsid w:val="00E44A0B"/>
    <w:rsid w:val="00E45D8D"/>
    <w:rsid w:val="00E46080"/>
    <w:rsid w:val="00E5395A"/>
    <w:rsid w:val="00E60A8F"/>
    <w:rsid w:val="00E8245F"/>
    <w:rsid w:val="00E91FF1"/>
    <w:rsid w:val="00EA5AB8"/>
    <w:rsid w:val="00EA6669"/>
    <w:rsid w:val="00ED32A7"/>
    <w:rsid w:val="00ED6ADE"/>
    <w:rsid w:val="00EE059F"/>
    <w:rsid w:val="00EE1433"/>
    <w:rsid w:val="00EE36DE"/>
    <w:rsid w:val="00EE56A3"/>
    <w:rsid w:val="00EE5E54"/>
    <w:rsid w:val="00EE6991"/>
    <w:rsid w:val="00EF0890"/>
    <w:rsid w:val="00F03AEA"/>
    <w:rsid w:val="00F053DD"/>
    <w:rsid w:val="00F268B8"/>
    <w:rsid w:val="00F2768E"/>
    <w:rsid w:val="00F3138E"/>
    <w:rsid w:val="00F351DE"/>
    <w:rsid w:val="00F35D94"/>
    <w:rsid w:val="00F51C08"/>
    <w:rsid w:val="00F6558C"/>
    <w:rsid w:val="00F73D64"/>
    <w:rsid w:val="00F76B7E"/>
    <w:rsid w:val="00F82D3D"/>
    <w:rsid w:val="00F8497C"/>
    <w:rsid w:val="00F92B3D"/>
    <w:rsid w:val="00F94730"/>
    <w:rsid w:val="00F953E3"/>
    <w:rsid w:val="00F96877"/>
    <w:rsid w:val="00FA0830"/>
    <w:rsid w:val="00FA6886"/>
    <w:rsid w:val="00FC4A4C"/>
    <w:rsid w:val="00FE4573"/>
    <w:rsid w:val="00FE6B66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9AF3"/>
  <w15:chartTrackingRefBased/>
  <w15:docId w15:val="{3DDEDDF4-7916-44BB-98E1-ECB34BED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4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4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2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CC5"/>
  </w:style>
  <w:style w:type="paragraph" w:styleId="Stopka">
    <w:name w:val="footer"/>
    <w:basedOn w:val="Normalny"/>
    <w:link w:val="StopkaZnak"/>
    <w:uiPriority w:val="99"/>
    <w:unhideWhenUsed/>
    <w:rsid w:val="00A2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CC5"/>
  </w:style>
  <w:style w:type="paragraph" w:styleId="Poprawka">
    <w:name w:val="Revision"/>
    <w:hidden/>
    <w:uiPriority w:val="99"/>
    <w:semiHidden/>
    <w:rsid w:val="007B4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30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5C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C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248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36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36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36D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0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E460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B0A7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00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A8D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4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4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0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lwawpfsmsl0002\MSL_WAW_RUN\Corporate&amp;Healthcare\Healthcare\Align%20Technology\2026\Media\Media%20advisories\2026%20Invisalign%20EMEA%20Ortho%20Summit\www.alignte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lwawpfsmsl0002\MSL_WAW_RUN\Corporate&amp;Healthcare\Healthcare\Align%20Technology\2026\Media\Media%20advisories\2026%20Invisalign%20EMEA%20Ortho%20Summit\www.exoca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plwawpfsmsl0002\MSL_WAW_RUN\Corporate&amp;Healthcare\Healthcare\Align%20Technology\2026\Media\Media%20advisories\2026%20Invisalign%20EMEA%20Ortho%20Summit\www.itero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plwawpfsmsl0002\MSL_WAW_RUN\Corporate&amp;Healthcare\Healthcare\Align%20Technology\2026\Media\Media%20advisories\2026%20Invisalign%20EMEA%20Ortho%20Summit\www.invisalig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4CCE-CF0A-4FCC-817B-FA058230D3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c44c96-980a-481b-ae23-d8f56b82c605}" enabled="0" method="" siteId="{9ac44c96-980a-481b-ae23-d8f56b82c6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1393</Words>
  <Characters>9336</Characters>
  <Application>Microsoft Office Word</Application>
  <DocSecurity>0</DocSecurity>
  <Lines>131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Kowalewska</dc:creator>
  <cp:keywords/>
  <dc:description/>
  <cp:lastModifiedBy>Natalia Furgala</cp:lastModifiedBy>
  <cp:revision>7</cp:revision>
  <dcterms:created xsi:type="dcterms:W3CDTF">2026-06-01T09:55:00Z</dcterms:created>
  <dcterms:modified xsi:type="dcterms:W3CDTF">2026-06-01T12:22:00Z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148278949b36818359e8ddfcbaaeb1f9fafb0646f613c21cafcb4d7e8258565d</vt:lpwstr>
  </property>
</Properties>
</file>