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6ADBA51F" w:rsidR="00045F40" w:rsidRDefault="000460C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0E64BF">
        <w:rPr>
          <w:rFonts w:asciiTheme="majorHAnsi" w:hAnsiTheme="majorHAnsi"/>
          <w:sz w:val="18"/>
          <w:szCs w:val="18"/>
          <w:lang w:val="lv-LV"/>
        </w:rPr>
        <w:t xml:space="preserve">Gdańsk, </w:t>
      </w:r>
      <w:r w:rsidR="00B541FA">
        <w:rPr>
          <w:rFonts w:asciiTheme="majorHAnsi" w:hAnsiTheme="majorHAnsi"/>
          <w:sz w:val="18"/>
          <w:szCs w:val="18"/>
          <w:lang w:val="lv-LV"/>
        </w:rPr>
        <w:t xml:space="preserve">10 </w:t>
      </w:r>
      <w:r w:rsidR="002070D0">
        <w:rPr>
          <w:rFonts w:asciiTheme="majorHAnsi" w:hAnsiTheme="majorHAnsi"/>
          <w:sz w:val="18"/>
          <w:szCs w:val="18"/>
          <w:lang w:val="lv-LV"/>
        </w:rPr>
        <w:t>czerwca</w:t>
      </w:r>
      <w:r w:rsidRPr="00F16ADC">
        <w:rPr>
          <w:rFonts w:asciiTheme="majorHAnsi" w:hAnsiTheme="majorHAnsi"/>
          <w:sz w:val="18"/>
          <w:szCs w:val="18"/>
          <w:lang w:val="lv-LV"/>
        </w:rPr>
        <w:t xml:space="preserve"> 202</w:t>
      </w:r>
      <w:r w:rsidR="002070D0">
        <w:rPr>
          <w:rFonts w:asciiTheme="majorHAnsi" w:hAnsiTheme="majorHAnsi"/>
          <w:sz w:val="18"/>
          <w:szCs w:val="18"/>
          <w:lang w:val="lv-LV"/>
        </w:rPr>
        <w:t>6</w:t>
      </w:r>
      <w:r w:rsidRPr="00F16ADC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F16ADC">
        <w:rPr>
          <w:rFonts w:asciiTheme="majorHAnsi" w:hAnsiTheme="majorHAnsi"/>
          <w:sz w:val="18"/>
          <w:szCs w:val="18"/>
          <w:lang w:val="lv-LV"/>
        </w:rPr>
        <w:t>.</w:t>
      </w:r>
    </w:p>
    <w:p w14:paraId="04A0027F" w14:textId="79E09F25" w:rsidR="00045F40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6FDAF58D" w14:textId="4CCC2B3A" w:rsidR="00655E88" w:rsidRDefault="00B56A47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 w:rsidRPr="00B56A47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Czy w Polsce panuje przyzwolenie na to, by nie oddawać długów?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</w:t>
      </w:r>
      <w:r w:rsidR="008865F0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Odpowied</w:t>
      </w:r>
      <w:r w:rsidR="00BE5A0D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ź</w:t>
      </w:r>
      <w:r w:rsidR="008865F0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przynosi r</w:t>
      </w:r>
      <w:r w:rsidR="00F2272B" w:rsidRPr="00F2272B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aport „Moralność finansowa Polaków 202</w:t>
      </w:r>
      <w:r w:rsidR="002070D0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6</w:t>
      </w:r>
      <w:r w:rsidR="00F2272B" w:rsidRPr="00F2272B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”</w:t>
      </w:r>
    </w:p>
    <w:p w14:paraId="36D2CE50" w14:textId="77777777" w:rsidR="0034567A" w:rsidRDefault="0034567A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40755077" w14:textId="0DE3685E" w:rsidR="00F91DC2" w:rsidRPr="0034567A" w:rsidRDefault="0034567A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34567A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Większość Polaków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(88 proc.)</w:t>
      </w:r>
      <w:r w:rsidR="00757EDA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</w:t>
      </w:r>
      <w:r w:rsidRPr="0034567A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uważa,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że długi należy oddawać</w:t>
      </w:r>
      <w:r w:rsidR="00663B61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,</w:t>
      </w:r>
      <w:r w:rsidRPr="0034567A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ale ta zasada jest mniej oczywista niż dekadę temu.</w:t>
      </w:r>
      <w:r w:rsidR="00757EDA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</w:t>
      </w:r>
      <w:r w:rsidR="00C95C2B" w:rsidRPr="00C95C2B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Nadal najczęściej usprawiedliwianym zachowaniem pozostaje praca na czarno podejmowana po to, by uniknąć ściągania długów z pensji.</w:t>
      </w:r>
    </w:p>
    <w:p w14:paraId="4ADAB12C" w14:textId="77777777" w:rsidR="00D517FB" w:rsidRPr="00991C40" w:rsidRDefault="00D517FB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strike/>
          <w:color w:val="auto"/>
          <w:spacing w:val="-2"/>
          <w:sz w:val="21"/>
          <w:szCs w:val="21"/>
        </w:rPr>
      </w:pPr>
    </w:p>
    <w:p w14:paraId="435EC85D" w14:textId="5D4D01E9" w:rsidR="00477BDF" w:rsidRDefault="00940B01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bookmarkStart w:id="0" w:name="_Hlk120263354"/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 wnioski</w:t>
      </w:r>
      <w:r w:rsidR="00477BDF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477BDF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1</w:t>
      </w:r>
      <w:r w:rsidR="00854B8C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="00477BDF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edycj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 w:rsidR="00477BDF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raportu „Moralność finansowa Polaków</w:t>
      </w:r>
      <w:r w:rsid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2026</w:t>
      </w:r>
      <w:r w:rsidR="00477BDF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”, opublikowanego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właśnie </w:t>
      </w:r>
      <w:r w:rsidR="00477BDF" w:rsidRPr="003456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przez Związek Przedsiębiorstw Finansowych w Polsce (ZPF).</w:t>
      </w:r>
    </w:p>
    <w:p w14:paraId="7A77A8CD" w14:textId="77777777" w:rsidR="001D085E" w:rsidRDefault="001D085E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2EC6C06" w14:textId="41B3C189" w:rsidR="001D085E" w:rsidRPr="0034567A" w:rsidRDefault="00096827" w:rsidP="001D085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A1AB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Głównym celem</w:t>
      </w:r>
      <w:r w:rsidR="001D085E" w:rsidRPr="001154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projektu jest cykliczna analiza moralności finansowej Polaków. Badanie opiera się</w:t>
      </w:r>
      <w:r w:rsidR="00E817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D085E" w:rsidRPr="001154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 ocenach poszczególnych nadużyć dokonywanych przez konsumentów oraz wskazaniach powodów usprawiedliwiania</w:t>
      </w:r>
      <w:r w:rsidR="00E817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D085E" w:rsidRPr="001154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bądź braku usprawiedliwiania tych nadużyć – wyjaśnia autorka raportu prof. dr hab. Anna Lewicka-Strzałecka, badaczka etyki życia gospodarczego i publicznego z Instytutu Filozofii i Socjologii PAN.</w:t>
      </w:r>
    </w:p>
    <w:p w14:paraId="4B6B0004" w14:textId="77777777" w:rsidR="001D085E" w:rsidRPr="0034567A" w:rsidRDefault="001D085E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B88E252" w14:textId="3F79A9D0" w:rsidR="00940B01" w:rsidRPr="001D085E" w:rsidRDefault="00477BDF" w:rsidP="00940B0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D085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Partnerami raportu są: Krajowy Rejestr Długów (Partner </w:t>
      </w:r>
      <w:r w:rsidR="00E817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</w:t>
      </w:r>
      <w:r w:rsidRPr="001D085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trategiczny), </w:t>
      </w:r>
      <w:r w:rsidR="002070D0" w:rsidRPr="001D085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EOS Poland (Partner Główny), </w:t>
      </w:r>
      <w:r w:rsidRPr="001D085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B2 Impact</w:t>
      </w:r>
      <w:r w:rsidR="002070D0" w:rsidRPr="001D085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(Partner).</w:t>
      </w:r>
      <w:r w:rsidR="00940B01" w:rsidRPr="001D085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 „Moralność finansowa Polaków 2026” jest dostępny na stronie: </w:t>
      </w:r>
      <w:hyperlink r:id="rId11" w:history="1">
        <w:r w:rsidR="00940B01" w:rsidRPr="001D085E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https://zpf.pl/badania-i-publikacje/raporty/raporty-cykliczne/</w:t>
        </w:r>
      </w:hyperlink>
    </w:p>
    <w:p w14:paraId="0FC31EFF" w14:textId="77777777" w:rsidR="00940B01" w:rsidRPr="001D085E" w:rsidRDefault="00940B01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  <w:highlight w:val="lightGray"/>
        </w:rPr>
      </w:pPr>
    </w:p>
    <w:p w14:paraId="21DE80B1" w14:textId="7F8276B6" w:rsidR="0099091E" w:rsidRPr="00C95C2B" w:rsidRDefault="0099091E" w:rsidP="00C95C2B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99091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Przekonanie o obowiązku spłaty długów słabnie</w:t>
      </w:r>
    </w:p>
    <w:p w14:paraId="58F16687" w14:textId="77777777" w:rsidR="00C95C2B" w:rsidRPr="00C95C2B" w:rsidRDefault="00C95C2B" w:rsidP="00C95C2B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C401F06" w14:textId="03B19475" w:rsidR="00E152A6" w:rsidRDefault="007A04C3" w:rsidP="0077211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A04C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 raz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kolejny w badaniu ZPF zadano</w:t>
      </w:r>
      <w:r w:rsidR="00595DA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77BDF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pytanie: „Czy zgadza się Pani/Pan z poglądem, że oddawanie długów jest zawsze obowiązkiem moralnym?”</w:t>
      </w:r>
      <w:r w:rsidR="00991C4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736DA" w:rsidRPr="00F736D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tym roku z takim poglądem zgadza się 88 proc. badanych, wobec 91 proc. w latach 2024–2025. </w:t>
      </w:r>
      <w:r w:rsidR="00330878" w:rsidRPr="003308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dłuższej perspektywie widać jednak stopniowy spadek jednoznacznego przekonania, że długi należy oddawać. Jednocześnie rośnie </w:t>
      </w:r>
      <w:r w:rsidR="00381F9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odsetek</w:t>
      </w:r>
      <w:r w:rsidR="00330878" w:rsidRPr="003308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osób niemających zdania w tej sprawie – z 1 proc. w 2016 r. do 8 proc. w 2026 r</w:t>
      </w:r>
      <w:r w:rsidR="00E152A6" w:rsidRPr="00E152A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E152A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 kolei o</w:t>
      </w:r>
      <w:r w:rsidR="00E152A6" w:rsidRPr="00E152A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soby negujące obowiązek oddawania długów stanowią obecnie 4 proc. badanych.</w:t>
      </w:r>
    </w:p>
    <w:p w14:paraId="7750B207" w14:textId="77777777" w:rsidR="00772113" w:rsidRDefault="00772113" w:rsidP="0077211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6EA4F56" w14:textId="4D83D14E" w:rsidR="00991C40" w:rsidRDefault="00772113" w:rsidP="00991C4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8A09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8A0989" w:rsidRPr="008A09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Należy zwrócić uwagę, że jeszcze w 2016 r. z poglądem, że oddawanie długów jest obowiązkiem moralnym, zgadzało się 97 proc. Polaków.</w:t>
      </w:r>
      <w:r w:rsidR="008A09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72E4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Analizując ten rozkład opinii z perspektywy czasowej</w:t>
      </w:r>
      <w:r w:rsidR="008A09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072E4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dostrzegamy postępującą erozję tej ogólnej normy.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91C40" w:rsidRPr="00991C4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Większość Polaków nadal uznaje oddawanie długów za obowiązek moralny, ale ta norma stopniowo traci jednoznaczność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ED495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podkreśla</w:t>
      </w:r>
      <w:r w:rsidR="0021022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Agnieszka Kozioł</w:t>
      </w:r>
      <w:r w:rsidR="00ED495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</w:t>
      </w:r>
      <w:r w:rsidR="00210229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Dyrektor Departamentu Badań i Analiz ZPF.</w:t>
      </w:r>
    </w:p>
    <w:p w14:paraId="623E163A" w14:textId="77777777" w:rsidR="00991C40" w:rsidRDefault="00991C40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C53859D" w14:textId="693A77F8" w:rsidR="00B443A4" w:rsidRDefault="00B443A4" w:rsidP="00072E40">
      <w:pPr>
        <w:spacing w:line="276" w:lineRule="auto"/>
        <w:jc w:val="both"/>
        <w:rPr>
          <w:rFonts w:asciiTheme="majorHAnsi" w:hAnsiTheme="majorHAnsi" w:cs="Calibri"/>
          <w:i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Szczegółowe wyniki prezentujemy na poniższej grafice</w:t>
      </w:r>
      <w:r w:rsidR="00322E2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757ED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49627F95" w14:textId="266921E5" w:rsidR="008301AB" w:rsidRDefault="008301AB" w:rsidP="00072E4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C1187F3" w14:textId="55A9FC84" w:rsidR="009D6395" w:rsidRPr="001F33E3" w:rsidRDefault="009D6395" w:rsidP="00072E4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lastRenderedPageBreak/>
        <w:drawing>
          <wp:inline distT="0" distB="0" distL="0" distR="0" wp14:anchorId="7549313C" wp14:editId="28946A7B">
            <wp:extent cx="5181600" cy="4730802"/>
            <wp:effectExtent l="0" t="0" r="0" b="0"/>
            <wp:docPr id="14279513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51311" name="Obraz 14279513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44" cy="47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525E" w14:textId="77777777" w:rsidR="001D085E" w:rsidRPr="0024515A" w:rsidRDefault="001D085E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C4D5B44" w14:textId="0FEB54D2" w:rsidR="00072E40" w:rsidRPr="0024515A" w:rsidRDefault="000841BA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Dla kogo oddawanie </w:t>
      </w:r>
      <w:r w:rsidR="00380E11" w:rsidRPr="0024515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długów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nie jest oczywiste</w:t>
      </w:r>
      <w:r w:rsidR="00380E11" w:rsidRPr="0024515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?</w:t>
      </w:r>
      <w:r w:rsidR="001D085E" w:rsidRPr="0024515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65CBFDD1" w14:textId="77777777" w:rsidR="00380E11" w:rsidRDefault="00380E11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3E8E31B" w14:textId="14FF21B2" w:rsidR="00477BDF" w:rsidRDefault="00E36D56" w:rsidP="00930DD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36D5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Jak wskazuje prof. Anna Lewicka-Strzałecka, brak przekonania o moralnym obowiązku spłaty zobowiązań częściej deklarują osoby młode (18–29 lat), </w:t>
      </w:r>
      <w:r w:rsidR="00C67E8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które </w:t>
      </w:r>
      <w:r w:rsidRPr="00E36D5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dośw</w:t>
      </w:r>
      <w:r w:rsidR="00C67E8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iadczyły</w:t>
      </w:r>
      <w:r w:rsidRPr="00E36D5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problemów ze spłatą kredytów lub negatywnie oceniające instytucje finansowe.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30DDE" w:rsidRPr="00930DD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Wyniki poprzednich edycji badania pokazują, że ten profil pozostaje relatywnie stabilny.</w:t>
      </w:r>
    </w:p>
    <w:p w14:paraId="12909D63" w14:textId="77777777" w:rsidR="00F006CF" w:rsidRDefault="00F006CF" w:rsidP="00930DD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8136366" w14:textId="0596B815" w:rsidR="005F454E" w:rsidRPr="00DF423D" w:rsidRDefault="00F006C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F006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 tym obrazem korespondują </w:t>
      </w:r>
      <w:r w:rsidR="006B2C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niepokojące </w:t>
      </w:r>
      <w:r w:rsidRPr="00F006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dane Krajowego Rejestru Długów.</w:t>
      </w:r>
      <w:r w:rsidR="00DF423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5F454E" w:rsidRPr="00323D76">
        <w:rPr>
          <w:rFonts w:ascii="Cambria" w:hAnsi="Cambria"/>
          <w:spacing w:val="-2"/>
          <w:sz w:val="21"/>
          <w:szCs w:val="21"/>
        </w:rPr>
        <w:t>Adam Łącki, prezes Zarządu Krajowego Rejestru Długów Biura Informacji Gospodarczej, zwraca uwagę, że wśród młodych dorosłych problem zadłużenia nie kończy się na deklaracjach dotyczących podejścia do spłaty zobowiązań. W tej grupie widać realne narastanie zaległości, i to często już na bardzo wczesnym etapie życia. W ciągu ostatnich pięciu lat zadłużenie osób w wieku 18–29 lat wzrosło niemal trzykrotnie, podczas gdy łączne zadłużenie wszystkich konsumentów spadło. Najmocniej przybywa zobowiązań wobec funduszy sekurytyzacyjnych, czyli podmiotów, które skupują niespłacone długi – głównie od banków i firm pożyczkowych, a w mniejszym stopniu także od operatorów telekomunikacyjnych.</w:t>
      </w:r>
    </w:p>
    <w:p w14:paraId="0AF502EE" w14:textId="77777777" w:rsidR="001E10D6" w:rsidRDefault="001E10D6">
      <w:pPr>
        <w:spacing w:line="276" w:lineRule="auto"/>
        <w:jc w:val="both"/>
        <w:rPr>
          <w:rFonts w:ascii="Cambria" w:hAnsi="Cambria"/>
          <w:spacing w:val="-2"/>
          <w:sz w:val="21"/>
          <w:szCs w:val="21"/>
        </w:rPr>
      </w:pPr>
    </w:p>
    <w:p w14:paraId="191D924A" w14:textId="277A087A" w:rsidR="005F454E" w:rsidRDefault="005F454E">
      <w:pPr>
        <w:spacing w:line="276" w:lineRule="auto"/>
        <w:jc w:val="both"/>
        <w:rPr>
          <w:kern w:val="2"/>
          <w14:ligatures w14:val="standardContextual"/>
        </w:rPr>
      </w:pPr>
      <w:r w:rsidRPr="00323D76">
        <w:rPr>
          <w:rFonts w:ascii="Cambria" w:hAnsi="Cambria"/>
          <w:spacing w:val="-2"/>
          <w:sz w:val="21"/>
          <w:szCs w:val="21"/>
        </w:rPr>
        <w:t xml:space="preserve">– Taki wierzyciel wtórny pojawia się wtedy, gdy zobowiązanie nie zostało uregulowane wcześniej wobec pierwotnego wierzyciela. W tej grupie długów widać więc nie tylko problem finansowy, ale także utrwalone unikanie spłaty. Jednocześnie wśród młodych wyraźnie rosną też zaległości </w:t>
      </w:r>
      <w:r w:rsidR="00994E0A">
        <w:rPr>
          <w:rFonts w:ascii="Cambria" w:hAnsi="Cambria"/>
          <w:spacing w:val="-2"/>
          <w:sz w:val="21"/>
          <w:szCs w:val="21"/>
        </w:rPr>
        <w:t xml:space="preserve">wobec instytucji finansowych, </w:t>
      </w:r>
      <w:r w:rsidRPr="00323D76">
        <w:rPr>
          <w:rFonts w:ascii="Cambria" w:hAnsi="Cambria"/>
          <w:spacing w:val="-2"/>
          <w:sz w:val="21"/>
          <w:szCs w:val="21"/>
        </w:rPr>
        <w:t xml:space="preserve">alimentacyjne oraz kary za jazdę bez biletu. To pokazuje, że źródła zadłużenia w tej grupie </w:t>
      </w:r>
      <w:r w:rsidRPr="00323D76">
        <w:rPr>
          <w:rFonts w:ascii="Cambria" w:hAnsi="Cambria"/>
          <w:spacing w:val="-2"/>
          <w:sz w:val="21"/>
          <w:szCs w:val="21"/>
        </w:rPr>
        <w:lastRenderedPageBreak/>
        <w:t>są różne – od drobnych, codziennych należności po poważne i długotrwałe zobowiązania. Co istotne, pierwsze wpisy w rejestrze pojawiają się niekiedy już u 16- i 17-latków – komentuje Adam Łącki.</w:t>
      </w:r>
    </w:p>
    <w:p w14:paraId="6343A1D5" w14:textId="77777777" w:rsidR="0094523C" w:rsidRDefault="0094523C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00A6838C" w14:textId="34A4516E" w:rsidR="00B51C5E" w:rsidRPr="00FB1496" w:rsidRDefault="0069744F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69744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Praca na czarno nadal na szczycie listy usprawiedliwianych nadużyć</w:t>
      </w:r>
    </w:p>
    <w:p w14:paraId="30D3C71A" w14:textId="77777777" w:rsidR="0069744F" w:rsidRDefault="0069744F" w:rsidP="00DC13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6874DCF" w14:textId="2926E599" w:rsidR="00186425" w:rsidRPr="00745E8D" w:rsidRDefault="00DC136E" w:rsidP="0018642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 n</w:t>
      </w:r>
      <w:r w:rsidR="00E7460C" w:rsidRPr="00745E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ajnowsz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ej</w:t>
      </w:r>
      <w:r w:rsidR="00E7460C" w:rsidRPr="00745E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edycj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 w:rsidR="00E7460C" w:rsidRPr="00745E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raportu „Moralność finansowa Polaków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2026</w:t>
      </w:r>
      <w:r w:rsidR="00E7460C" w:rsidRPr="00745E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9744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wynika,</w:t>
      </w:r>
      <w:r w:rsidR="00E7460C" w:rsidRPr="00745E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że </w:t>
      </w:r>
      <w:r w:rsidR="001864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niezmiennie od 11 lat </w:t>
      </w:r>
      <w:r w:rsidR="00186425" w:rsidRPr="00ED49B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najczęściej usprawiedliwianym zachowaniem jest praca na czarno podejmowana </w:t>
      </w:r>
      <w:r w:rsidR="00C67E8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celu</w:t>
      </w:r>
      <w:r w:rsidR="00186425" w:rsidRPr="00ED49B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uniknięcia ściągania długów z pensji</w:t>
      </w:r>
      <w:r w:rsidR="00D75BF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(58 proc.)</w:t>
      </w:r>
      <w:r w:rsidR="00186425" w:rsidRPr="00ED49B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</w:t>
      </w:r>
      <w:r w:rsidR="00186425" w:rsidRPr="003864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natomiast zachowaniem usprawiedliwianym najrzadziej pozostaje posługiwanie się cudzym dokumentem tożsamości, by uzyskać kredyt</w:t>
      </w:r>
      <w:r w:rsidR="00D75BF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(10,1 proc.)</w:t>
      </w:r>
      <w:r w:rsidR="00186425" w:rsidRPr="003864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74603FF6" w14:textId="76969198" w:rsidR="00DC136E" w:rsidRDefault="00E7460C" w:rsidP="00DC13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br/>
      </w:r>
      <w:r w:rsidR="00DC136E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czołówce nadużyć finansowych usprawiedliwianych przez Polaków znalazły się też: płacenie gotówką</w:t>
      </w:r>
      <w:r w:rsidR="00DC13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bez rachunku</w:t>
      </w:r>
      <w:r w:rsidR="00DC136E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by uniknąć podatku VAT (5</w:t>
      </w:r>
      <w:r w:rsidR="00DC13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="00DC136E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DC13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="00DC136E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proc.), a także przepisywanie majątku na rodzinę, by uciec przed wierzycielem (</w:t>
      </w:r>
      <w:r w:rsidR="00DC13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52</w:t>
      </w:r>
      <w:r w:rsidR="00DC136E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DC13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</w:t>
      </w:r>
      <w:r w:rsidR="00DC136E"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proc.).</w:t>
      </w:r>
    </w:p>
    <w:p w14:paraId="6655275D" w14:textId="77777777" w:rsidR="001E10D6" w:rsidRDefault="001E10D6" w:rsidP="00DC13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1EFADAB" w14:textId="77777777" w:rsidR="001E10D6" w:rsidRDefault="001E10D6" w:rsidP="001E10D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3D1E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tym kontekście warto odnotować również, że 46,9 proc. respondentów usprawiedliwia częstą zmianę rachunków bankowych, by uniknąć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zajęć komorniczych</w:t>
      </w:r>
      <w:r w:rsidRPr="003D1E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a 31,8 proc.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3D1E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niezwrócenie uwagi kasjerowi, który pomylił się na własną niekorzyść.</w:t>
      </w:r>
    </w:p>
    <w:p w14:paraId="254B791B" w14:textId="77777777" w:rsidR="001E10D6" w:rsidRDefault="001E10D6" w:rsidP="00DC13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318FF09" w14:textId="77D3D273" w:rsidR="009801AC" w:rsidRDefault="001E10D6" w:rsidP="009801A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323D76">
        <w:rPr>
          <w:rFonts w:ascii="Cambria" w:hAnsi="Cambria"/>
          <w:spacing w:val="-2"/>
          <w:sz w:val="21"/>
          <w:szCs w:val="21"/>
        </w:rPr>
        <w:t>–</w:t>
      </w:r>
      <w:r>
        <w:rPr>
          <w:rFonts w:ascii="Cambria" w:hAnsi="Cambria"/>
          <w:spacing w:val="-2"/>
          <w:sz w:val="21"/>
          <w:szCs w:val="21"/>
        </w:rPr>
        <w:t xml:space="preserve"> 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Za decyzją o unikaniu spłaty bardzo często stoi nie zła wola, lecz </w:t>
      </w:r>
      <w:r w:rsidR="009801AC" w:rsidRPr="2046EA48">
        <w:rPr>
          <w:rFonts w:asciiTheme="majorHAnsi" w:hAnsiTheme="majorHAnsi" w:cs="Calibri"/>
          <w:color w:val="auto"/>
          <w:sz w:val="21"/>
          <w:szCs w:val="21"/>
        </w:rPr>
        <w:t>pewna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nieufność wobec instytucji finansowych</w:t>
      </w:r>
      <w:r w:rsidR="009801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mówi </w:t>
      </w:r>
      <w:r w:rsidR="009801AC" w:rsidRPr="001E10D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Karina Poznańska, dyrektor departamentu komunikacji, marketingu i ESG EOS Poland. </w:t>
      </w:r>
      <w:r w:rsidRPr="00323D76">
        <w:rPr>
          <w:rFonts w:ascii="Cambria" w:hAnsi="Cambria"/>
          <w:spacing w:val="-2"/>
          <w:sz w:val="21"/>
          <w:szCs w:val="21"/>
        </w:rPr>
        <w:t>–</w:t>
      </w:r>
      <w:r>
        <w:rPr>
          <w:rFonts w:ascii="Cambria" w:hAnsi="Cambria"/>
          <w:spacing w:val="-2"/>
          <w:sz w:val="21"/>
          <w:szCs w:val="21"/>
        </w:rPr>
        <w:t xml:space="preserve"> </w:t>
      </w:r>
      <w:r w:rsidR="009801AC" w:rsidRPr="00394548">
        <w:rPr>
          <w:rFonts w:asciiTheme="majorHAnsi" w:hAnsiTheme="majorHAnsi" w:cs="Calibri"/>
          <w:color w:val="auto"/>
          <w:spacing w:val="-2"/>
          <w:sz w:val="21"/>
          <w:szCs w:val="21"/>
        </w:rPr>
        <w:t>Raport pokazuje to wprost: 74 proc. osób usprawiedliwiających ucieczkę przed komornikiem wskazuje na nieuczciwe praktyki komorników, a 63 proc. przepisujących majątek na rodzinę na nieuczciwe praktyki windykatorów.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801AC" w:rsidRPr="384803B2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Aby zminimalizować ten trend i odwrócić </w:t>
      </w:r>
      <w:r w:rsidR="009801AC" w:rsidRPr="0ED87267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postrzeganie </w:t>
      </w:r>
      <w:r w:rsidR="009801AC" w:rsidRPr="6C95AB87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branży, 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stawia</w:t>
      </w:r>
      <w:r w:rsidR="009801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my 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transparentne procesy, prosty język komunikacji i </w:t>
      </w:r>
      <w:r w:rsidR="009801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przyjazne rozwiązania technologiczne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dzięki któr</w:t>
      </w:r>
      <w:r w:rsidR="009801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ym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osoba zadłużona może samodzielnie uregulować zobowiązanie. Zaufanie nie jest miłym dodatkiem </w:t>
      </w:r>
      <w:r w:rsidR="00DF423D" w:rsidRPr="00323D76">
        <w:rPr>
          <w:rFonts w:ascii="Cambria" w:hAnsi="Cambria"/>
          <w:spacing w:val="-2"/>
          <w:sz w:val="21"/>
          <w:szCs w:val="21"/>
        </w:rPr>
        <w:t>–</w:t>
      </w:r>
      <w:r w:rsidR="00DF423D">
        <w:rPr>
          <w:rFonts w:ascii="Cambria" w:hAnsi="Cambria"/>
          <w:spacing w:val="-2"/>
          <w:sz w:val="21"/>
          <w:szCs w:val="21"/>
        </w:rPr>
        <w:t xml:space="preserve"> </w:t>
      </w:r>
      <w:r w:rsidR="009801AC" w:rsidRPr="000B03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 fundament skutecznej windykacji.</w:t>
      </w:r>
    </w:p>
    <w:p w14:paraId="7144DDB9" w14:textId="77777777" w:rsidR="00F821A6" w:rsidRDefault="00F821A6" w:rsidP="00E7460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6C2F0AB" w14:textId="21EF3805" w:rsidR="00587F3B" w:rsidRDefault="00E7460C" w:rsidP="00E7460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45E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Szczegółowe wyniki badania prezentujemy na poniższej grafice.</w:t>
      </w:r>
      <w:r w:rsidR="002006F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3C7E5F87" w14:textId="0D414878" w:rsidR="00E7460C" w:rsidRDefault="00E7460C" w:rsidP="00E7460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21949BE" w14:textId="39FC8594" w:rsidR="00E7460C" w:rsidRDefault="001F33E3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lastRenderedPageBreak/>
        <w:drawing>
          <wp:inline distT="0" distB="0" distL="0" distR="0" wp14:anchorId="279D56A9" wp14:editId="66891926">
            <wp:extent cx="4457700" cy="3900488"/>
            <wp:effectExtent l="0" t="0" r="0" b="5080"/>
            <wp:docPr id="18238125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12534" name="Obraz 182381253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703" cy="391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AB66" w14:textId="5E0A8720" w:rsidR="00477BDF" w:rsidRDefault="00477BDF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AEECDFE" w14:textId="77777777" w:rsidR="00C77417" w:rsidRDefault="00C77417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45F8877" w14:textId="73A47912" w:rsidR="00477BDF" w:rsidRDefault="00477BDF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9A24A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Raport „Moralność finansowa Polaków 202</w:t>
      </w:r>
      <w:r w:rsidR="009F477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6</w:t>
      </w:r>
      <w:r w:rsidRPr="009A24A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”. Komentarze</w:t>
      </w:r>
    </w:p>
    <w:p w14:paraId="33C20622" w14:textId="77777777" w:rsidR="009A24A4" w:rsidRPr="009A24A4" w:rsidRDefault="009A24A4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0034634" w14:textId="13961EF7" w:rsidR="00477BDF" w:rsidRDefault="00477BDF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Poniżej prezentujemy opinie ekspertów, poświęcone wnioskom z badania „Moralność finansowa Polaków 202</w:t>
      </w:r>
      <w:r w:rsidR="008533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Pr="00477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”.</w:t>
      </w:r>
    </w:p>
    <w:p w14:paraId="234AFFF1" w14:textId="77777777" w:rsidR="0086481E" w:rsidRDefault="0086481E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8A8EDDD" w14:textId="306DEB8C" w:rsidR="00477BDF" w:rsidRDefault="00477BDF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175F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Marcin Czugan, prezes Z</w:t>
      </w:r>
      <w:r w:rsidR="00CE430D" w:rsidRPr="005175F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wiązku Przedsiębiorstw Finansowych w Polsce</w:t>
      </w:r>
    </w:p>
    <w:p w14:paraId="41E5C8C1" w14:textId="77777777" w:rsidR="00644C9C" w:rsidRDefault="00644C9C" w:rsidP="00644C9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4751F9D" w14:textId="4BFB9CEF" w:rsidR="00644C9C" w:rsidRPr="00644C9C" w:rsidRDefault="006A63E1" w:rsidP="00644C9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A6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Choć większość Polaków deklaruje, że długi należy oddawać, rośnie społeczne przyzwolenie na unikanie egzekucji komorniczej i ukrywanie majątku</w:t>
      </w:r>
      <w:r w:rsidR="002036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644C9C" w:rsidRPr="00644C9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Najbardziej niepokoi przyzwolenie na działania, które utrudniają skuteczne dochodzenie należności: pracę na czarno, przepisywanie majątku na rodzinę czy zmianę rachunków bankowych w celu uniknięcia egzekucji komorniczej.</w:t>
      </w:r>
    </w:p>
    <w:p w14:paraId="0C4A9E09" w14:textId="77777777" w:rsidR="00644C9C" w:rsidRPr="00644C9C" w:rsidRDefault="00644C9C" w:rsidP="00644C9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59D6423" w14:textId="77777777" w:rsidR="00644C9C" w:rsidRPr="00644C9C" w:rsidRDefault="00644C9C" w:rsidP="00644C9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44C9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ZPF od dawna zwraca uwagę, że problem moralności finansowej łączy się z niską skutecznością egzekucji wierzytelności w Polsce. Postrzeganie unikania spłaty jako zaradności i sprytu, a nie powodu do wstydu, osłabia pozycję wierzycieli i uderza w cały obrót gospodarczy. Dotyczy to nie tylko instytucji finansowych, ale także przedsiębiorców, kontrahentów i konsumentów, którzy sami terminowo regulują swoje zobowiązania. W efekcie koszt zachowania osób nierzetelnych ponoszą także ci, którzy płacą terminowo.</w:t>
      </w:r>
    </w:p>
    <w:p w14:paraId="22175447" w14:textId="77777777" w:rsidR="00644C9C" w:rsidRPr="00644C9C" w:rsidRDefault="00644C9C" w:rsidP="00644C9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5014220" w14:textId="2AA7429E" w:rsidR="00250058" w:rsidRDefault="00644C9C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644C9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konsekwentnie podkreśla, że ten problem należy traktować systemowo. Rosnące minimalne wynagrodzenie, przy braku odpowiednich zmian w zakresie kwoty wolnej od potrąceń, powoduje, że część osób pozostaje realnie poza skuteczną egzekucją komorniczą. </w:t>
      </w:r>
      <w:r w:rsidR="00DD7482" w:rsidRPr="00DD74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praktyce utrudnia to odzyskiwanie należności i może wypychać część konsumentów do szarej strefy. Zdaniem ZPF problem wymaga zmian systemowych.</w:t>
      </w:r>
    </w:p>
    <w:p w14:paraId="0699CE7F" w14:textId="4D75A67F" w:rsidR="00477BDF" w:rsidRPr="0055614D" w:rsidRDefault="00EC6E1E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5614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>Jakub Kostecki</w:t>
      </w:r>
      <w:r w:rsidR="00477BDF" w:rsidRPr="0055614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, </w:t>
      </w:r>
      <w:r w:rsidRPr="0055614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wice</w:t>
      </w:r>
      <w:r w:rsidR="00036571" w:rsidRPr="0055614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prezes </w:t>
      </w:r>
      <w:r w:rsidRPr="0055614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Zarządu  firmy windykacyjnej Kaczmarski Inkasso</w:t>
      </w:r>
    </w:p>
    <w:p w14:paraId="42719E46" w14:textId="77777777" w:rsidR="0055614D" w:rsidRDefault="0055614D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D0E6B6F" w14:textId="77777777" w:rsidR="00421A02" w:rsidRDefault="0055614D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561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Odzyskiwanie należności od młodych osób wymaga innego podejścia niż praca z dojrzałymi dłużnikami. W grupie 18–29 lat problemem często nie jest od razu zła wola, lecz brak świadomości, czym w praktyce jest zobowiązanie i jakie konsekwencje niesie jego ignorowanie. Dla wielu młodych dług początkowo nie ma ciężaru realnego problemu – jest po prostu kwotą widoczną w aplikacji, nieopłaconym abonamentem, mandatem za jazdę bez biletu, ratą za sprzęt czy pożyczką zaciągniętą przy okazji codziennych zakupów. Dlatego rolą negocjatora jest najpierw uporządkowanie sytuacji: wyjaśnienie źródła należności, wskazanie, kto jest wierzycielem, jakie koszty już narosły i co może się wydarzyć, jeśli dłużnik nadal będzie unikał kontaktu. </w:t>
      </w:r>
    </w:p>
    <w:p w14:paraId="3E967689" w14:textId="77777777" w:rsidR="00421A02" w:rsidRDefault="00421A02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B0602B3" w14:textId="6D3C5504" w:rsidR="007A53F6" w:rsidRPr="0055614D" w:rsidRDefault="0055614D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561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Młodzi często bagatelizują niewielkie kwoty, zakładając, że problem rozwiąże się sam. Dopiero kiedy słyszą, że wpis w rejestrze może utrudnić podpisanie umowy abonamentowej, uzyskanie kredytu czy zakup sprzętu na raty, zaczynają patrzeć na swoje zobowiązania bardziej realistycznie. W takiej rozmowie kluczowe jest używanie prostego, zrozumiałego języka i unikanie moralizowania. Część osób reaguje stresem i potrzebuje spokojnego przeprowadzenia krok po kroku przez proces windykacji, ale są też tacy, którzy negują konieczność spłaty i próbują unikać odpowiedzialności. W obu przypadkach najważniejsze jest doprowadzenie do kontaktu z negocjatorem i uświadomienie, że odpowiedzialność finansowa zaczyna się nie od wysokości dochodów, lecz od dotrzymywania ustaleń – wyjaśnia Jakub Kostecki, wiceprezes Zarządu firmy windykacyjnej Kaczmarski Inkasso.</w:t>
      </w:r>
    </w:p>
    <w:p w14:paraId="29E6B1A1" w14:textId="77777777" w:rsidR="00C95398" w:rsidRPr="00421A02" w:rsidRDefault="00C95398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9B3F805" w14:textId="77777777" w:rsidR="00421A02" w:rsidRPr="00421A02" w:rsidRDefault="00421A02" w:rsidP="00421A0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421A0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Dariusz Petynka, prezes EOS Poland</w:t>
      </w:r>
    </w:p>
    <w:p w14:paraId="7D770E5F" w14:textId="77777777" w:rsidR="00421A02" w:rsidRDefault="00421A02" w:rsidP="00421A0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D1F1C2C" w14:textId="043B995C" w:rsidR="00421A02" w:rsidRDefault="00421A02" w:rsidP="00421A0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421A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Tegoroczna edycja raportu potwierdza trend, który powinien niepokoić nie tylko branżę finansową, ale całe otoczenie gospodarcze. Jeszcze w 2016 roku 97 proc. Polaków uznawało oddawanie długów za bezwzględny obowiązek moralny. Dziś ten odsetek wynosi 88 proc., a grupa osób niemających zdania w tej sprawie wzrosła ośmiokrotnie. To nie jest jednorazowe wahnięcie - to powolna, konsekwentna erozja normy, która jest fundamentem zdrowego obrotu gospodarczego. Równie istotne jest to, co raport mówi o motywacji do spłaty: skuteczniej niż apele do sumienia działa konkretna wiedza o konsekwencjach - prawnych, finansowych, praktycznych. To ważna wskazówka dla całej branży. Oznacza, że kluczem do odbudowania kultury spłaty zobowiązań jest nie moralizowanie, lecz rzetelna edukacja finansowa i jasna komunikacja - o tym, co grozi, ale też o tym, jakie są realne wyjścia z trudnej sytuacji.</w:t>
      </w:r>
    </w:p>
    <w:p w14:paraId="3A6C7372" w14:textId="77777777" w:rsidR="00C95398" w:rsidRPr="00DF3BFD" w:rsidRDefault="00C95398" w:rsidP="00477BD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424F99A" w14:textId="77777777" w:rsidR="00C95398" w:rsidRPr="00C95398" w:rsidRDefault="00C95398" w:rsidP="00477BD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11B374F" w14:textId="77777777" w:rsidR="00D25EBC" w:rsidRDefault="00D25EBC">
      <w:pPr>
        <w:jc w:val="both"/>
        <w:rPr>
          <w:rFonts w:asciiTheme="majorHAnsi" w:hAnsiTheme="majorHAnsi" w:cstheme="minorHAnsi"/>
          <w:sz w:val="21"/>
          <w:szCs w:val="21"/>
        </w:rPr>
      </w:pPr>
    </w:p>
    <w:p w14:paraId="04A002AF" w14:textId="54C9E9CD" w:rsidR="00045F40" w:rsidRDefault="000460C8" w:rsidP="00C95398">
      <w:pPr>
        <w:jc w:val="center"/>
        <w:rPr>
          <w:rFonts w:asciiTheme="majorHAnsi" w:hAnsiTheme="majorHAnsi" w:cstheme="minorHAnsi"/>
          <w:sz w:val="21"/>
          <w:szCs w:val="21"/>
        </w:rPr>
      </w:pPr>
      <w:r w:rsidRPr="005748CE">
        <w:rPr>
          <w:rFonts w:asciiTheme="majorHAnsi" w:hAnsiTheme="majorHAnsi" w:cstheme="minorHAnsi"/>
          <w:sz w:val="21"/>
          <w:szCs w:val="21"/>
        </w:rPr>
        <w:t>***</w:t>
      </w:r>
    </w:p>
    <w:p w14:paraId="7F9E3FCA" w14:textId="2A6D1527" w:rsidR="00DF3BFD" w:rsidRPr="001A0714" w:rsidRDefault="00DF3BFD" w:rsidP="00DF3BFD">
      <w:pPr>
        <w:rPr>
          <w:rFonts w:asciiTheme="majorHAnsi" w:hAnsiTheme="majorHAnsi" w:cstheme="minorHAnsi"/>
          <w:sz w:val="21"/>
          <w:szCs w:val="21"/>
        </w:rPr>
      </w:pPr>
    </w:p>
    <w:p w14:paraId="750220A4" w14:textId="77777777" w:rsidR="00DF3BFD" w:rsidRPr="001A0714" w:rsidRDefault="00DF3BFD" w:rsidP="00DF3BFD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DAB21F2" w14:textId="77777777" w:rsidR="00DF3BFD" w:rsidRPr="0065044E" w:rsidRDefault="00DF3BFD" w:rsidP="00DF3BFD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5942302E" w14:textId="77777777" w:rsidR="00DF3BFD" w:rsidRPr="0065044E" w:rsidRDefault="00DF3BFD" w:rsidP="00DF3BFD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B3F4ADF" w14:textId="77777777" w:rsidR="00DF3BFD" w:rsidRPr="0065044E" w:rsidRDefault="00DF3BFD" w:rsidP="00DF3BFD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26283803" w14:textId="77777777" w:rsidR="00DF3BFD" w:rsidRPr="0065044E" w:rsidRDefault="00DF3BFD" w:rsidP="00DF3BFD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6FF98D40" w14:textId="77777777" w:rsidR="00DF3BFD" w:rsidRPr="0065044E" w:rsidRDefault="00DF3BFD" w:rsidP="00DF3BFD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53ACB900" w14:textId="77777777" w:rsidR="00DF3BFD" w:rsidRPr="001A0714" w:rsidRDefault="00DF3BFD" w:rsidP="00DF3BFD">
      <w:pPr>
        <w:jc w:val="both"/>
        <w:rPr>
          <w:rFonts w:asciiTheme="majorHAnsi" w:hAnsiTheme="majorHAnsi"/>
        </w:rPr>
      </w:pPr>
    </w:p>
    <w:p w14:paraId="24420C71" w14:textId="77777777" w:rsidR="00DF3BFD" w:rsidRPr="001A0714" w:rsidRDefault="00DF3BFD" w:rsidP="00DF3BFD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A0714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11C3390B" wp14:editId="0970264D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423EB" w14:textId="77777777" w:rsidR="00DF3BFD" w:rsidRPr="001A0714" w:rsidRDefault="00DF3BFD" w:rsidP="00DF3BFD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5" w:history="1">
        <w:r w:rsidRPr="001A0714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0F42B22F" w14:textId="77777777" w:rsidR="00DF3BFD" w:rsidRPr="001A0714" w:rsidRDefault="00DF3BFD" w:rsidP="00DF3BFD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0CBA7750" w14:textId="77777777" w:rsidR="00DF3BFD" w:rsidRPr="001A0714" w:rsidRDefault="00DF3BFD" w:rsidP="00DF3BFD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880016A" w14:textId="77777777" w:rsidR="00DF3BFD" w:rsidRPr="001A0714" w:rsidRDefault="00DF3BFD" w:rsidP="00DF3BFD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1A0714">
        <w:rPr>
          <w:noProof/>
        </w:rPr>
        <w:drawing>
          <wp:inline distT="0" distB="0" distL="0" distR="0" wp14:anchorId="2E7A2081" wp14:editId="1E3DC81C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0" w14:textId="77777777" w:rsidR="00045F40" w:rsidRDefault="00045F40">
      <w:pPr>
        <w:jc w:val="both"/>
        <w:rPr>
          <w:rFonts w:asciiTheme="majorHAnsi" w:hAnsiTheme="majorHAnsi" w:cstheme="minorHAnsi"/>
          <w:sz w:val="22"/>
          <w:szCs w:val="22"/>
        </w:rPr>
      </w:pPr>
    </w:p>
    <w:bookmarkEnd w:id="0"/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7"/>
      <w:footerReference w:type="default" r:id="rId18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3612" w14:textId="77777777" w:rsidR="003B7C9D" w:rsidRDefault="003B7C9D">
      <w:r>
        <w:separator/>
      </w:r>
    </w:p>
    <w:p w14:paraId="205E1F97" w14:textId="77777777" w:rsidR="003B7C9D" w:rsidRDefault="003B7C9D"/>
  </w:endnote>
  <w:endnote w:type="continuationSeparator" w:id="0">
    <w:p w14:paraId="40D0DFC7" w14:textId="77777777" w:rsidR="003B7C9D" w:rsidRDefault="003B7C9D">
      <w:r>
        <w:continuationSeparator/>
      </w:r>
    </w:p>
    <w:p w14:paraId="2825BA4C" w14:textId="77777777" w:rsidR="003B7C9D" w:rsidRDefault="003B7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E4CF" w14:textId="77777777" w:rsidR="003B7C9D" w:rsidRDefault="003B7C9D">
      <w:r>
        <w:separator/>
      </w:r>
    </w:p>
    <w:p w14:paraId="3CEEB0CA" w14:textId="77777777" w:rsidR="003B7C9D" w:rsidRDefault="003B7C9D"/>
  </w:footnote>
  <w:footnote w:type="continuationSeparator" w:id="0">
    <w:p w14:paraId="41A31901" w14:textId="77777777" w:rsidR="003B7C9D" w:rsidRDefault="003B7C9D">
      <w:r>
        <w:continuationSeparator/>
      </w:r>
    </w:p>
    <w:p w14:paraId="290324B7" w14:textId="77777777" w:rsidR="003B7C9D" w:rsidRDefault="003B7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58D4"/>
    <w:rsid w:val="000073B0"/>
    <w:rsid w:val="00007AFD"/>
    <w:rsid w:val="000134EE"/>
    <w:rsid w:val="000208C0"/>
    <w:rsid w:val="00023AE9"/>
    <w:rsid w:val="000260F2"/>
    <w:rsid w:val="00027524"/>
    <w:rsid w:val="00027973"/>
    <w:rsid w:val="00033092"/>
    <w:rsid w:val="000340E1"/>
    <w:rsid w:val="00035C48"/>
    <w:rsid w:val="00036571"/>
    <w:rsid w:val="00036796"/>
    <w:rsid w:val="000374B6"/>
    <w:rsid w:val="00040837"/>
    <w:rsid w:val="00040EEF"/>
    <w:rsid w:val="00041AF9"/>
    <w:rsid w:val="00045F40"/>
    <w:rsid w:val="000460C8"/>
    <w:rsid w:val="0004733F"/>
    <w:rsid w:val="00051EB0"/>
    <w:rsid w:val="0005565E"/>
    <w:rsid w:val="00055F50"/>
    <w:rsid w:val="00061B5E"/>
    <w:rsid w:val="00063631"/>
    <w:rsid w:val="00063979"/>
    <w:rsid w:val="00072E40"/>
    <w:rsid w:val="0008045D"/>
    <w:rsid w:val="0008331E"/>
    <w:rsid w:val="000841BA"/>
    <w:rsid w:val="0009204F"/>
    <w:rsid w:val="00093196"/>
    <w:rsid w:val="00093E47"/>
    <w:rsid w:val="00094A0E"/>
    <w:rsid w:val="00095352"/>
    <w:rsid w:val="00095A92"/>
    <w:rsid w:val="000966AD"/>
    <w:rsid w:val="00096827"/>
    <w:rsid w:val="000A0E09"/>
    <w:rsid w:val="000A192C"/>
    <w:rsid w:val="000A5FF0"/>
    <w:rsid w:val="000A66E4"/>
    <w:rsid w:val="000B126C"/>
    <w:rsid w:val="000B3023"/>
    <w:rsid w:val="000B4092"/>
    <w:rsid w:val="000B4D45"/>
    <w:rsid w:val="000C37B6"/>
    <w:rsid w:val="000C5B79"/>
    <w:rsid w:val="000C6009"/>
    <w:rsid w:val="000D1E01"/>
    <w:rsid w:val="000E64BF"/>
    <w:rsid w:val="000F0C85"/>
    <w:rsid w:val="000F5622"/>
    <w:rsid w:val="000F5963"/>
    <w:rsid w:val="00102328"/>
    <w:rsid w:val="001044C1"/>
    <w:rsid w:val="0010640C"/>
    <w:rsid w:val="0011549D"/>
    <w:rsid w:val="001160AB"/>
    <w:rsid w:val="00117585"/>
    <w:rsid w:val="001179F1"/>
    <w:rsid w:val="00124A28"/>
    <w:rsid w:val="00124DF7"/>
    <w:rsid w:val="00132183"/>
    <w:rsid w:val="00132CC5"/>
    <w:rsid w:val="00146260"/>
    <w:rsid w:val="0015118E"/>
    <w:rsid w:val="001545D8"/>
    <w:rsid w:val="00156F0B"/>
    <w:rsid w:val="001659AE"/>
    <w:rsid w:val="00165C48"/>
    <w:rsid w:val="00167E29"/>
    <w:rsid w:val="0017168C"/>
    <w:rsid w:val="00173926"/>
    <w:rsid w:val="00176218"/>
    <w:rsid w:val="00184B05"/>
    <w:rsid w:val="00186425"/>
    <w:rsid w:val="00194A55"/>
    <w:rsid w:val="001A1606"/>
    <w:rsid w:val="001A1ABF"/>
    <w:rsid w:val="001C3BD3"/>
    <w:rsid w:val="001C78EF"/>
    <w:rsid w:val="001D085E"/>
    <w:rsid w:val="001D64FE"/>
    <w:rsid w:val="001E1088"/>
    <w:rsid w:val="001E10D6"/>
    <w:rsid w:val="001E1802"/>
    <w:rsid w:val="001F0FED"/>
    <w:rsid w:val="001F18CE"/>
    <w:rsid w:val="001F209A"/>
    <w:rsid w:val="001F33E3"/>
    <w:rsid w:val="001F6B12"/>
    <w:rsid w:val="002006F9"/>
    <w:rsid w:val="002036E9"/>
    <w:rsid w:val="0020511C"/>
    <w:rsid w:val="00205E39"/>
    <w:rsid w:val="002070D0"/>
    <w:rsid w:val="00210229"/>
    <w:rsid w:val="00213A23"/>
    <w:rsid w:val="002179CD"/>
    <w:rsid w:val="0022075F"/>
    <w:rsid w:val="00222664"/>
    <w:rsid w:val="00226538"/>
    <w:rsid w:val="0023306E"/>
    <w:rsid w:val="00235676"/>
    <w:rsid w:val="00241EC0"/>
    <w:rsid w:val="0024515A"/>
    <w:rsid w:val="00250058"/>
    <w:rsid w:val="00254E47"/>
    <w:rsid w:val="00270DDD"/>
    <w:rsid w:val="002727AF"/>
    <w:rsid w:val="0027660B"/>
    <w:rsid w:val="0028340C"/>
    <w:rsid w:val="00290B51"/>
    <w:rsid w:val="00290D93"/>
    <w:rsid w:val="00291BA1"/>
    <w:rsid w:val="00293878"/>
    <w:rsid w:val="002945C8"/>
    <w:rsid w:val="00297FE7"/>
    <w:rsid w:val="002B047D"/>
    <w:rsid w:val="002B3963"/>
    <w:rsid w:val="002B423A"/>
    <w:rsid w:val="002B72E4"/>
    <w:rsid w:val="002C2F51"/>
    <w:rsid w:val="002C34A0"/>
    <w:rsid w:val="002C58DF"/>
    <w:rsid w:val="002D3EA0"/>
    <w:rsid w:val="002D5F2A"/>
    <w:rsid w:val="002E4215"/>
    <w:rsid w:val="002E7B7F"/>
    <w:rsid w:val="002F3E63"/>
    <w:rsid w:val="002F5B1C"/>
    <w:rsid w:val="00300207"/>
    <w:rsid w:val="00300652"/>
    <w:rsid w:val="00300A12"/>
    <w:rsid w:val="00311D17"/>
    <w:rsid w:val="0031470B"/>
    <w:rsid w:val="00321B05"/>
    <w:rsid w:val="00322E2F"/>
    <w:rsid w:val="00323D76"/>
    <w:rsid w:val="0032709E"/>
    <w:rsid w:val="00330878"/>
    <w:rsid w:val="0033464E"/>
    <w:rsid w:val="00335F86"/>
    <w:rsid w:val="00337009"/>
    <w:rsid w:val="003403C2"/>
    <w:rsid w:val="00343988"/>
    <w:rsid w:val="0034567A"/>
    <w:rsid w:val="00345E1B"/>
    <w:rsid w:val="00347442"/>
    <w:rsid w:val="00354BC0"/>
    <w:rsid w:val="00355F1A"/>
    <w:rsid w:val="00360078"/>
    <w:rsid w:val="00363671"/>
    <w:rsid w:val="003674D8"/>
    <w:rsid w:val="003737C0"/>
    <w:rsid w:val="00373A1E"/>
    <w:rsid w:val="0037514B"/>
    <w:rsid w:val="0037776B"/>
    <w:rsid w:val="0038014A"/>
    <w:rsid w:val="00380E11"/>
    <w:rsid w:val="00381E37"/>
    <w:rsid w:val="00381F90"/>
    <w:rsid w:val="0038607C"/>
    <w:rsid w:val="003864AC"/>
    <w:rsid w:val="00392F95"/>
    <w:rsid w:val="003944E5"/>
    <w:rsid w:val="00397E7F"/>
    <w:rsid w:val="00397F5D"/>
    <w:rsid w:val="003A08FF"/>
    <w:rsid w:val="003A1F99"/>
    <w:rsid w:val="003A320F"/>
    <w:rsid w:val="003A3A0F"/>
    <w:rsid w:val="003A4CED"/>
    <w:rsid w:val="003A62E3"/>
    <w:rsid w:val="003A64F0"/>
    <w:rsid w:val="003B473B"/>
    <w:rsid w:val="003B77A9"/>
    <w:rsid w:val="003B7C9D"/>
    <w:rsid w:val="003B7FB1"/>
    <w:rsid w:val="003C546D"/>
    <w:rsid w:val="003C627C"/>
    <w:rsid w:val="003D1EEA"/>
    <w:rsid w:val="003D5B4A"/>
    <w:rsid w:val="003E11E7"/>
    <w:rsid w:val="003E1CF7"/>
    <w:rsid w:val="003E3D57"/>
    <w:rsid w:val="003E7F55"/>
    <w:rsid w:val="003F5740"/>
    <w:rsid w:val="0040256C"/>
    <w:rsid w:val="00403F78"/>
    <w:rsid w:val="004172F4"/>
    <w:rsid w:val="00420316"/>
    <w:rsid w:val="0042061B"/>
    <w:rsid w:val="00421A02"/>
    <w:rsid w:val="00421BE2"/>
    <w:rsid w:val="00422136"/>
    <w:rsid w:val="00430A16"/>
    <w:rsid w:val="004319CF"/>
    <w:rsid w:val="00431AC9"/>
    <w:rsid w:val="00443D95"/>
    <w:rsid w:val="00447FD6"/>
    <w:rsid w:val="00450BB6"/>
    <w:rsid w:val="004523A8"/>
    <w:rsid w:val="00462C7C"/>
    <w:rsid w:val="00463DCA"/>
    <w:rsid w:val="00472B79"/>
    <w:rsid w:val="00472DD4"/>
    <w:rsid w:val="00474116"/>
    <w:rsid w:val="004751D8"/>
    <w:rsid w:val="00475C17"/>
    <w:rsid w:val="00476EF2"/>
    <w:rsid w:val="00477BDF"/>
    <w:rsid w:val="00487D05"/>
    <w:rsid w:val="00487DBF"/>
    <w:rsid w:val="004952F6"/>
    <w:rsid w:val="00495998"/>
    <w:rsid w:val="004966B5"/>
    <w:rsid w:val="00496918"/>
    <w:rsid w:val="00497C84"/>
    <w:rsid w:val="004A69C3"/>
    <w:rsid w:val="004B294D"/>
    <w:rsid w:val="004B375C"/>
    <w:rsid w:val="004B483F"/>
    <w:rsid w:val="004C0E8D"/>
    <w:rsid w:val="004C4341"/>
    <w:rsid w:val="004C59E3"/>
    <w:rsid w:val="004C6A46"/>
    <w:rsid w:val="004D0CD8"/>
    <w:rsid w:val="004D26F5"/>
    <w:rsid w:val="004D2D40"/>
    <w:rsid w:val="004D74BD"/>
    <w:rsid w:val="004E294B"/>
    <w:rsid w:val="004E2C1D"/>
    <w:rsid w:val="004E3B63"/>
    <w:rsid w:val="004E724B"/>
    <w:rsid w:val="004E7FF6"/>
    <w:rsid w:val="004F08AD"/>
    <w:rsid w:val="004F6564"/>
    <w:rsid w:val="004F67D8"/>
    <w:rsid w:val="004F720C"/>
    <w:rsid w:val="0050102F"/>
    <w:rsid w:val="0050662B"/>
    <w:rsid w:val="00513A5D"/>
    <w:rsid w:val="005175FB"/>
    <w:rsid w:val="00522196"/>
    <w:rsid w:val="00522B8F"/>
    <w:rsid w:val="00523F9F"/>
    <w:rsid w:val="0052444F"/>
    <w:rsid w:val="00524A94"/>
    <w:rsid w:val="00524F54"/>
    <w:rsid w:val="0052588A"/>
    <w:rsid w:val="00526337"/>
    <w:rsid w:val="0052781A"/>
    <w:rsid w:val="00534132"/>
    <w:rsid w:val="0054360B"/>
    <w:rsid w:val="00550D73"/>
    <w:rsid w:val="0055614D"/>
    <w:rsid w:val="00560E86"/>
    <w:rsid w:val="00571C38"/>
    <w:rsid w:val="005725A4"/>
    <w:rsid w:val="005748CE"/>
    <w:rsid w:val="00577F6F"/>
    <w:rsid w:val="00587F3B"/>
    <w:rsid w:val="005906AA"/>
    <w:rsid w:val="00590DDB"/>
    <w:rsid w:val="00591F7A"/>
    <w:rsid w:val="005955D5"/>
    <w:rsid w:val="00595DAD"/>
    <w:rsid w:val="0059725C"/>
    <w:rsid w:val="005B54BF"/>
    <w:rsid w:val="005C0B66"/>
    <w:rsid w:val="005C1321"/>
    <w:rsid w:val="005C21EF"/>
    <w:rsid w:val="005C350E"/>
    <w:rsid w:val="005D47D1"/>
    <w:rsid w:val="005D7F9F"/>
    <w:rsid w:val="005F38CC"/>
    <w:rsid w:val="005F454E"/>
    <w:rsid w:val="00601E42"/>
    <w:rsid w:val="006044C6"/>
    <w:rsid w:val="006075EB"/>
    <w:rsid w:val="00607E92"/>
    <w:rsid w:val="00623D84"/>
    <w:rsid w:val="0064291B"/>
    <w:rsid w:val="00644C9C"/>
    <w:rsid w:val="00647CDF"/>
    <w:rsid w:val="00650CB6"/>
    <w:rsid w:val="0065581F"/>
    <w:rsid w:val="00655B69"/>
    <w:rsid w:val="00655E88"/>
    <w:rsid w:val="00656763"/>
    <w:rsid w:val="006579AE"/>
    <w:rsid w:val="00662C89"/>
    <w:rsid w:val="00663B61"/>
    <w:rsid w:val="00666B3A"/>
    <w:rsid w:val="0067127B"/>
    <w:rsid w:val="0067777F"/>
    <w:rsid w:val="00681196"/>
    <w:rsid w:val="0068155D"/>
    <w:rsid w:val="006842E2"/>
    <w:rsid w:val="00685A42"/>
    <w:rsid w:val="00687E91"/>
    <w:rsid w:val="006951BE"/>
    <w:rsid w:val="00696A33"/>
    <w:rsid w:val="0069744F"/>
    <w:rsid w:val="006A1C50"/>
    <w:rsid w:val="006A1EDB"/>
    <w:rsid w:val="006A2E08"/>
    <w:rsid w:val="006A39AD"/>
    <w:rsid w:val="006A4B79"/>
    <w:rsid w:val="006A63E1"/>
    <w:rsid w:val="006A7AA8"/>
    <w:rsid w:val="006A7B09"/>
    <w:rsid w:val="006B0455"/>
    <w:rsid w:val="006B1226"/>
    <w:rsid w:val="006B1F86"/>
    <w:rsid w:val="006B2C4D"/>
    <w:rsid w:val="006B5A27"/>
    <w:rsid w:val="006C29AB"/>
    <w:rsid w:val="006D1EEA"/>
    <w:rsid w:val="006D5193"/>
    <w:rsid w:val="006D725F"/>
    <w:rsid w:val="006D74B4"/>
    <w:rsid w:val="006E2373"/>
    <w:rsid w:val="006E33BF"/>
    <w:rsid w:val="006E473E"/>
    <w:rsid w:val="006E54F7"/>
    <w:rsid w:val="006E729C"/>
    <w:rsid w:val="0071381E"/>
    <w:rsid w:val="00715F92"/>
    <w:rsid w:val="00716B46"/>
    <w:rsid w:val="00717BB7"/>
    <w:rsid w:val="00721035"/>
    <w:rsid w:val="00721EAD"/>
    <w:rsid w:val="00724228"/>
    <w:rsid w:val="00735BEE"/>
    <w:rsid w:val="00741555"/>
    <w:rsid w:val="007431C9"/>
    <w:rsid w:val="007471BE"/>
    <w:rsid w:val="0075225E"/>
    <w:rsid w:val="00752745"/>
    <w:rsid w:val="0075406F"/>
    <w:rsid w:val="007554E6"/>
    <w:rsid w:val="00757EDA"/>
    <w:rsid w:val="00762777"/>
    <w:rsid w:val="00765CA7"/>
    <w:rsid w:val="00772113"/>
    <w:rsid w:val="00772EE2"/>
    <w:rsid w:val="00773458"/>
    <w:rsid w:val="00773A4A"/>
    <w:rsid w:val="00773B89"/>
    <w:rsid w:val="00773B98"/>
    <w:rsid w:val="00777782"/>
    <w:rsid w:val="00781D46"/>
    <w:rsid w:val="00784E7C"/>
    <w:rsid w:val="007856F3"/>
    <w:rsid w:val="007958F7"/>
    <w:rsid w:val="007A04C3"/>
    <w:rsid w:val="007A1A60"/>
    <w:rsid w:val="007A53F6"/>
    <w:rsid w:val="007A79E1"/>
    <w:rsid w:val="007B2049"/>
    <w:rsid w:val="007B468A"/>
    <w:rsid w:val="007B7788"/>
    <w:rsid w:val="007C55AA"/>
    <w:rsid w:val="007D12B9"/>
    <w:rsid w:val="007D12EB"/>
    <w:rsid w:val="007D5F40"/>
    <w:rsid w:val="007D62E9"/>
    <w:rsid w:val="007E452C"/>
    <w:rsid w:val="007E4D2C"/>
    <w:rsid w:val="007E62ED"/>
    <w:rsid w:val="007F0CDD"/>
    <w:rsid w:val="007F196E"/>
    <w:rsid w:val="007F239B"/>
    <w:rsid w:val="007F4E69"/>
    <w:rsid w:val="00801890"/>
    <w:rsid w:val="0080774E"/>
    <w:rsid w:val="00810832"/>
    <w:rsid w:val="00810FC0"/>
    <w:rsid w:val="008118CF"/>
    <w:rsid w:val="00812A83"/>
    <w:rsid w:val="008148BE"/>
    <w:rsid w:val="00815832"/>
    <w:rsid w:val="00816FA2"/>
    <w:rsid w:val="0082218B"/>
    <w:rsid w:val="00822425"/>
    <w:rsid w:val="00822BEC"/>
    <w:rsid w:val="008301AB"/>
    <w:rsid w:val="00835889"/>
    <w:rsid w:val="0084602A"/>
    <w:rsid w:val="0085331D"/>
    <w:rsid w:val="00853910"/>
    <w:rsid w:val="00854B8C"/>
    <w:rsid w:val="00860235"/>
    <w:rsid w:val="0086481E"/>
    <w:rsid w:val="00867D06"/>
    <w:rsid w:val="00875769"/>
    <w:rsid w:val="00881317"/>
    <w:rsid w:val="00883EFD"/>
    <w:rsid w:val="00883FFA"/>
    <w:rsid w:val="008865F0"/>
    <w:rsid w:val="00890A96"/>
    <w:rsid w:val="008A0989"/>
    <w:rsid w:val="008A2118"/>
    <w:rsid w:val="008B0395"/>
    <w:rsid w:val="008B245F"/>
    <w:rsid w:val="008C0B28"/>
    <w:rsid w:val="008C124B"/>
    <w:rsid w:val="008C39CB"/>
    <w:rsid w:val="008C49F6"/>
    <w:rsid w:val="008C6506"/>
    <w:rsid w:val="008C7143"/>
    <w:rsid w:val="008C7F58"/>
    <w:rsid w:val="008D6A08"/>
    <w:rsid w:val="008E3DF0"/>
    <w:rsid w:val="008F44A0"/>
    <w:rsid w:val="008F486C"/>
    <w:rsid w:val="00900372"/>
    <w:rsid w:val="009011C7"/>
    <w:rsid w:val="009042AA"/>
    <w:rsid w:val="00911FE8"/>
    <w:rsid w:val="009133E5"/>
    <w:rsid w:val="00915598"/>
    <w:rsid w:val="00915640"/>
    <w:rsid w:val="00922380"/>
    <w:rsid w:val="00923298"/>
    <w:rsid w:val="00923D2B"/>
    <w:rsid w:val="0092445A"/>
    <w:rsid w:val="00926BB9"/>
    <w:rsid w:val="00930DDE"/>
    <w:rsid w:val="00932E3D"/>
    <w:rsid w:val="00937410"/>
    <w:rsid w:val="00940B01"/>
    <w:rsid w:val="0094523C"/>
    <w:rsid w:val="0095097E"/>
    <w:rsid w:val="00951716"/>
    <w:rsid w:val="009525CE"/>
    <w:rsid w:val="009601FB"/>
    <w:rsid w:val="00964C3B"/>
    <w:rsid w:val="009656FC"/>
    <w:rsid w:val="00966A5A"/>
    <w:rsid w:val="00973B83"/>
    <w:rsid w:val="00974C18"/>
    <w:rsid w:val="009801AC"/>
    <w:rsid w:val="0098417C"/>
    <w:rsid w:val="0099091E"/>
    <w:rsid w:val="00990D48"/>
    <w:rsid w:val="00991C40"/>
    <w:rsid w:val="0099441B"/>
    <w:rsid w:val="00994E0A"/>
    <w:rsid w:val="009962AF"/>
    <w:rsid w:val="009A21AD"/>
    <w:rsid w:val="009A24A4"/>
    <w:rsid w:val="009B299B"/>
    <w:rsid w:val="009B3D83"/>
    <w:rsid w:val="009B4773"/>
    <w:rsid w:val="009B62D7"/>
    <w:rsid w:val="009D0442"/>
    <w:rsid w:val="009D3E23"/>
    <w:rsid w:val="009D537A"/>
    <w:rsid w:val="009D6395"/>
    <w:rsid w:val="009E0474"/>
    <w:rsid w:val="009E1C35"/>
    <w:rsid w:val="009E4308"/>
    <w:rsid w:val="009F03B4"/>
    <w:rsid w:val="009F1C9F"/>
    <w:rsid w:val="009F258A"/>
    <w:rsid w:val="009F4779"/>
    <w:rsid w:val="009F5F02"/>
    <w:rsid w:val="009F78E0"/>
    <w:rsid w:val="009F7CD0"/>
    <w:rsid w:val="00A0045E"/>
    <w:rsid w:val="00A01340"/>
    <w:rsid w:val="00A110A6"/>
    <w:rsid w:val="00A13EA3"/>
    <w:rsid w:val="00A14ED2"/>
    <w:rsid w:val="00A243BE"/>
    <w:rsid w:val="00A24FCF"/>
    <w:rsid w:val="00A251E2"/>
    <w:rsid w:val="00A25580"/>
    <w:rsid w:val="00A26C49"/>
    <w:rsid w:val="00A3320A"/>
    <w:rsid w:val="00A502F8"/>
    <w:rsid w:val="00A54E3E"/>
    <w:rsid w:val="00A56080"/>
    <w:rsid w:val="00A62400"/>
    <w:rsid w:val="00A6297C"/>
    <w:rsid w:val="00A66F92"/>
    <w:rsid w:val="00A72280"/>
    <w:rsid w:val="00A73DA7"/>
    <w:rsid w:val="00A80197"/>
    <w:rsid w:val="00A80E80"/>
    <w:rsid w:val="00A82568"/>
    <w:rsid w:val="00A90507"/>
    <w:rsid w:val="00A90AC8"/>
    <w:rsid w:val="00A90F06"/>
    <w:rsid w:val="00A9442B"/>
    <w:rsid w:val="00AA32BB"/>
    <w:rsid w:val="00AB3DF3"/>
    <w:rsid w:val="00AB637B"/>
    <w:rsid w:val="00AB7550"/>
    <w:rsid w:val="00AC0A03"/>
    <w:rsid w:val="00AC0E0E"/>
    <w:rsid w:val="00AC40F5"/>
    <w:rsid w:val="00AC50BD"/>
    <w:rsid w:val="00AC696A"/>
    <w:rsid w:val="00AC6DCA"/>
    <w:rsid w:val="00AC743B"/>
    <w:rsid w:val="00AD321A"/>
    <w:rsid w:val="00AD3706"/>
    <w:rsid w:val="00AD483A"/>
    <w:rsid w:val="00AD5345"/>
    <w:rsid w:val="00AE07D3"/>
    <w:rsid w:val="00AE2362"/>
    <w:rsid w:val="00AE42F0"/>
    <w:rsid w:val="00AE742E"/>
    <w:rsid w:val="00AF0515"/>
    <w:rsid w:val="00AF0D8C"/>
    <w:rsid w:val="00AF10A5"/>
    <w:rsid w:val="00AF6672"/>
    <w:rsid w:val="00B069C6"/>
    <w:rsid w:val="00B17E69"/>
    <w:rsid w:val="00B21C7B"/>
    <w:rsid w:val="00B30AF3"/>
    <w:rsid w:val="00B329A0"/>
    <w:rsid w:val="00B403BF"/>
    <w:rsid w:val="00B41BF6"/>
    <w:rsid w:val="00B42D73"/>
    <w:rsid w:val="00B42F64"/>
    <w:rsid w:val="00B4378E"/>
    <w:rsid w:val="00B443A4"/>
    <w:rsid w:val="00B46D64"/>
    <w:rsid w:val="00B51C5E"/>
    <w:rsid w:val="00B522C5"/>
    <w:rsid w:val="00B541FA"/>
    <w:rsid w:val="00B56A47"/>
    <w:rsid w:val="00B633A8"/>
    <w:rsid w:val="00B65A8F"/>
    <w:rsid w:val="00B7026F"/>
    <w:rsid w:val="00B71C5B"/>
    <w:rsid w:val="00B766EC"/>
    <w:rsid w:val="00B846E4"/>
    <w:rsid w:val="00B8624E"/>
    <w:rsid w:val="00B96278"/>
    <w:rsid w:val="00B963EB"/>
    <w:rsid w:val="00BA0BB9"/>
    <w:rsid w:val="00BA2506"/>
    <w:rsid w:val="00BA2839"/>
    <w:rsid w:val="00BA49AA"/>
    <w:rsid w:val="00BB0F0F"/>
    <w:rsid w:val="00BB3B32"/>
    <w:rsid w:val="00BB4826"/>
    <w:rsid w:val="00BB547F"/>
    <w:rsid w:val="00BC1752"/>
    <w:rsid w:val="00BC2A88"/>
    <w:rsid w:val="00BC4881"/>
    <w:rsid w:val="00BC7431"/>
    <w:rsid w:val="00BD4F9F"/>
    <w:rsid w:val="00BE2997"/>
    <w:rsid w:val="00BE5540"/>
    <w:rsid w:val="00BE5A0D"/>
    <w:rsid w:val="00BE6DDA"/>
    <w:rsid w:val="00BF080A"/>
    <w:rsid w:val="00BF51A5"/>
    <w:rsid w:val="00BF606D"/>
    <w:rsid w:val="00BF7935"/>
    <w:rsid w:val="00C051D9"/>
    <w:rsid w:val="00C25B52"/>
    <w:rsid w:val="00C300D2"/>
    <w:rsid w:val="00C307B3"/>
    <w:rsid w:val="00C375E6"/>
    <w:rsid w:val="00C41FC8"/>
    <w:rsid w:val="00C42021"/>
    <w:rsid w:val="00C425DA"/>
    <w:rsid w:val="00C431D7"/>
    <w:rsid w:val="00C45010"/>
    <w:rsid w:val="00C46BA3"/>
    <w:rsid w:val="00C55B0D"/>
    <w:rsid w:val="00C60CCB"/>
    <w:rsid w:val="00C621CC"/>
    <w:rsid w:val="00C67420"/>
    <w:rsid w:val="00C67E87"/>
    <w:rsid w:val="00C77417"/>
    <w:rsid w:val="00C778E3"/>
    <w:rsid w:val="00C81ED5"/>
    <w:rsid w:val="00C83792"/>
    <w:rsid w:val="00C84E53"/>
    <w:rsid w:val="00C854CC"/>
    <w:rsid w:val="00C86483"/>
    <w:rsid w:val="00C86521"/>
    <w:rsid w:val="00C90E84"/>
    <w:rsid w:val="00C9158F"/>
    <w:rsid w:val="00C95398"/>
    <w:rsid w:val="00C95C2B"/>
    <w:rsid w:val="00CA585A"/>
    <w:rsid w:val="00CA6FB5"/>
    <w:rsid w:val="00CB31C0"/>
    <w:rsid w:val="00CB6C25"/>
    <w:rsid w:val="00CC40C6"/>
    <w:rsid w:val="00CC531A"/>
    <w:rsid w:val="00CD0358"/>
    <w:rsid w:val="00CD760D"/>
    <w:rsid w:val="00CD7DD5"/>
    <w:rsid w:val="00CE430D"/>
    <w:rsid w:val="00CE4F69"/>
    <w:rsid w:val="00CF078F"/>
    <w:rsid w:val="00CF46D7"/>
    <w:rsid w:val="00D02AF8"/>
    <w:rsid w:val="00D047B9"/>
    <w:rsid w:val="00D0503D"/>
    <w:rsid w:val="00D0582D"/>
    <w:rsid w:val="00D07C01"/>
    <w:rsid w:val="00D124BD"/>
    <w:rsid w:val="00D1692D"/>
    <w:rsid w:val="00D206EE"/>
    <w:rsid w:val="00D22BE6"/>
    <w:rsid w:val="00D247A8"/>
    <w:rsid w:val="00D25E4E"/>
    <w:rsid w:val="00D25EBC"/>
    <w:rsid w:val="00D26CFB"/>
    <w:rsid w:val="00D3237B"/>
    <w:rsid w:val="00D35DE3"/>
    <w:rsid w:val="00D40E41"/>
    <w:rsid w:val="00D5152B"/>
    <w:rsid w:val="00D517FB"/>
    <w:rsid w:val="00D541C3"/>
    <w:rsid w:val="00D6181C"/>
    <w:rsid w:val="00D6271B"/>
    <w:rsid w:val="00D63AE0"/>
    <w:rsid w:val="00D66817"/>
    <w:rsid w:val="00D66A18"/>
    <w:rsid w:val="00D7067A"/>
    <w:rsid w:val="00D74429"/>
    <w:rsid w:val="00D75BFE"/>
    <w:rsid w:val="00D811F6"/>
    <w:rsid w:val="00D84AAC"/>
    <w:rsid w:val="00D93CFE"/>
    <w:rsid w:val="00D961A5"/>
    <w:rsid w:val="00DA3B60"/>
    <w:rsid w:val="00DB4043"/>
    <w:rsid w:val="00DB7286"/>
    <w:rsid w:val="00DB7E9A"/>
    <w:rsid w:val="00DC0586"/>
    <w:rsid w:val="00DC119D"/>
    <w:rsid w:val="00DC136E"/>
    <w:rsid w:val="00DD2717"/>
    <w:rsid w:val="00DD7482"/>
    <w:rsid w:val="00DD7EEC"/>
    <w:rsid w:val="00DE05BD"/>
    <w:rsid w:val="00DE0F99"/>
    <w:rsid w:val="00DE22DD"/>
    <w:rsid w:val="00DE2FD3"/>
    <w:rsid w:val="00DF1161"/>
    <w:rsid w:val="00DF3BFD"/>
    <w:rsid w:val="00DF423D"/>
    <w:rsid w:val="00DF46DF"/>
    <w:rsid w:val="00DF554A"/>
    <w:rsid w:val="00E03533"/>
    <w:rsid w:val="00E049CD"/>
    <w:rsid w:val="00E10859"/>
    <w:rsid w:val="00E14526"/>
    <w:rsid w:val="00E152A6"/>
    <w:rsid w:val="00E16CB9"/>
    <w:rsid w:val="00E20F76"/>
    <w:rsid w:val="00E30934"/>
    <w:rsid w:val="00E309CB"/>
    <w:rsid w:val="00E31FF4"/>
    <w:rsid w:val="00E337E3"/>
    <w:rsid w:val="00E36D56"/>
    <w:rsid w:val="00E4301A"/>
    <w:rsid w:val="00E443B0"/>
    <w:rsid w:val="00E45140"/>
    <w:rsid w:val="00E45220"/>
    <w:rsid w:val="00E50CC7"/>
    <w:rsid w:val="00E618DB"/>
    <w:rsid w:val="00E62F9A"/>
    <w:rsid w:val="00E67710"/>
    <w:rsid w:val="00E7460C"/>
    <w:rsid w:val="00E75738"/>
    <w:rsid w:val="00E760A0"/>
    <w:rsid w:val="00E8174A"/>
    <w:rsid w:val="00E82A9F"/>
    <w:rsid w:val="00E87DEC"/>
    <w:rsid w:val="00E90FBD"/>
    <w:rsid w:val="00E91A1E"/>
    <w:rsid w:val="00E962F5"/>
    <w:rsid w:val="00EA56E0"/>
    <w:rsid w:val="00EA5F54"/>
    <w:rsid w:val="00EA7324"/>
    <w:rsid w:val="00EB00D1"/>
    <w:rsid w:val="00EB4F55"/>
    <w:rsid w:val="00EC2CBB"/>
    <w:rsid w:val="00EC5049"/>
    <w:rsid w:val="00EC6E1E"/>
    <w:rsid w:val="00ED18CB"/>
    <w:rsid w:val="00ED3F71"/>
    <w:rsid w:val="00ED495B"/>
    <w:rsid w:val="00ED49B1"/>
    <w:rsid w:val="00ED4D46"/>
    <w:rsid w:val="00ED6269"/>
    <w:rsid w:val="00EE0154"/>
    <w:rsid w:val="00EE2251"/>
    <w:rsid w:val="00EE60AA"/>
    <w:rsid w:val="00EF0AA9"/>
    <w:rsid w:val="00EF5560"/>
    <w:rsid w:val="00F006CF"/>
    <w:rsid w:val="00F02098"/>
    <w:rsid w:val="00F03137"/>
    <w:rsid w:val="00F06BF0"/>
    <w:rsid w:val="00F06F86"/>
    <w:rsid w:val="00F11F48"/>
    <w:rsid w:val="00F16ADC"/>
    <w:rsid w:val="00F2094C"/>
    <w:rsid w:val="00F22587"/>
    <w:rsid w:val="00F2272B"/>
    <w:rsid w:val="00F25A56"/>
    <w:rsid w:val="00F313EA"/>
    <w:rsid w:val="00F319FE"/>
    <w:rsid w:val="00F35DE4"/>
    <w:rsid w:val="00F436EC"/>
    <w:rsid w:val="00F44368"/>
    <w:rsid w:val="00F45602"/>
    <w:rsid w:val="00F53C36"/>
    <w:rsid w:val="00F60F61"/>
    <w:rsid w:val="00F7288E"/>
    <w:rsid w:val="00F736DA"/>
    <w:rsid w:val="00F807E3"/>
    <w:rsid w:val="00F814FF"/>
    <w:rsid w:val="00F821A6"/>
    <w:rsid w:val="00F824A0"/>
    <w:rsid w:val="00F82D06"/>
    <w:rsid w:val="00F84A72"/>
    <w:rsid w:val="00F908F2"/>
    <w:rsid w:val="00F915E6"/>
    <w:rsid w:val="00F91A5E"/>
    <w:rsid w:val="00F91BB0"/>
    <w:rsid w:val="00F91DC2"/>
    <w:rsid w:val="00F93488"/>
    <w:rsid w:val="00F96D81"/>
    <w:rsid w:val="00F97EFD"/>
    <w:rsid w:val="00FA416D"/>
    <w:rsid w:val="00FA462A"/>
    <w:rsid w:val="00FB015D"/>
    <w:rsid w:val="00FB1496"/>
    <w:rsid w:val="00FB2448"/>
    <w:rsid w:val="00FC1F77"/>
    <w:rsid w:val="00FC5BF4"/>
    <w:rsid w:val="00FC7386"/>
    <w:rsid w:val="00FD013E"/>
    <w:rsid w:val="00FD2B3F"/>
    <w:rsid w:val="00FD7BB6"/>
    <w:rsid w:val="00FD7BC7"/>
    <w:rsid w:val="00FE2E40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character" w:customStyle="1" w:styleId="cf01">
    <w:name w:val="cf01"/>
    <w:basedOn w:val="Domylnaczcionkaakapitu"/>
    <w:rsid w:val="00772113"/>
    <w:rPr>
      <w:rFonts w:ascii="Segoe UI" w:hAnsi="Segoe UI" w:cs="Segoe UI" w:hint="default"/>
      <w:color w:val="1C2442"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9801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pf.pl/badania-i-publikacje/raporty/raporty-cykliczn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zp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1605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11217</CharactersWithSpaces>
  <SharedDoc>false</SharedDoc>
  <HLinks>
    <vt:vector size="12" baseType="variant"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http://www.linkedin.com/company/zpf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https://zpf.pl/badania-i-publikacje/raporty/raporty-cykliczne/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3</cp:revision>
  <cp:lastPrinted>2026-05-25T12:34:00Z</cp:lastPrinted>
  <dcterms:created xsi:type="dcterms:W3CDTF">2026-06-10T08:52:00Z</dcterms:created>
  <dcterms:modified xsi:type="dcterms:W3CDTF">2026-06-10T08:59:00Z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