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5CDA3" w14:textId="0C1E2B3F" w:rsidR="000F42FC" w:rsidRPr="000F42FC" w:rsidRDefault="007B20C0">
      <w:pPr>
        <w:rPr>
          <w:b/>
          <w:bCs/>
          <w:sz w:val="32"/>
          <w:szCs w:val="32"/>
        </w:rPr>
      </w:pPr>
      <w:r w:rsidRPr="007B20C0">
        <w:rPr>
          <w:b/>
          <w:bCs/>
          <w:sz w:val="32"/>
          <w:szCs w:val="32"/>
        </w:rPr>
        <w:t>Media cyfrowe i technologie AI w kulturze</w:t>
      </w:r>
      <w:r>
        <w:rPr>
          <w:b/>
          <w:bCs/>
          <w:sz w:val="32"/>
          <w:szCs w:val="32"/>
        </w:rPr>
        <w:t xml:space="preserve"> – i</w:t>
      </w:r>
      <w:r w:rsidR="000F42FC" w:rsidRPr="000F42FC">
        <w:rPr>
          <w:b/>
          <w:bCs/>
          <w:sz w:val="32"/>
          <w:szCs w:val="32"/>
        </w:rPr>
        <w:t>nnowacyjna specjalność na Kulturoznawstwie UG</w:t>
      </w:r>
    </w:p>
    <w:p w14:paraId="72425C2F" w14:textId="23DFFCF3" w:rsidR="000F42FC" w:rsidRDefault="000F42FC">
      <w:pPr>
        <w:rPr>
          <w:b/>
          <w:bCs/>
        </w:rPr>
      </w:pPr>
      <w:r w:rsidRPr="000F42FC">
        <w:rPr>
          <w:b/>
          <w:bCs/>
        </w:rPr>
        <w:t>Współczesny rynek pracy coraz wyraźniej premiuje kandydatów potrafiących łączyć wiedzę o mechanizmach społecznych z biegłością w świecie nowych technologii. Uniwersytet Gdański, reagując na te globalne trendy, otwiera przed studentami kulturoznawstwa nową perspektywę – specjalność Media cyfrowe i technologie AI w kulturze.</w:t>
      </w:r>
    </w:p>
    <w:p w14:paraId="079A41A1" w14:textId="77777777" w:rsidR="00064719" w:rsidRDefault="00064719"/>
    <w:p w14:paraId="4AC1A596" w14:textId="328247A3" w:rsidR="00064719" w:rsidRPr="00064719" w:rsidRDefault="00064719">
      <w:pPr>
        <w:rPr>
          <w:b/>
          <w:bCs/>
        </w:rPr>
      </w:pPr>
      <w:r w:rsidRPr="00064719">
        <w:rPr>
          <w:b/>
          <w:bCs/>
        </w:rPr>
        <w:t>Od UX po etykę algorytmów</w:t>
      </w:r>
      <w:r>
        <w:rPr>
          <w:b/>
          <w:bCs/>
        </w:rPr>
        <w:t xml:space="preserve"> i humanistykę cyfrową</w:t>
      </w:r>
    </w:p>
    <w:p w14:paraId="56045E1A" w14:textId="1BBEF3C3" w:rsidR="000F42FC" w:rsidRPr="00064719" w:rsidRDefault="00064719">
      <w:r w:rsidRPr="00064719">
        <w:t>Nowa ścieżka kształcenia skupia się na budowaniu kompetencji przyszłości. Program kładzie nacisk na zagadnienia związane z User Experience, etyką danych oraz krytyczną analizą wpływu sztucznej inteligencji na twórczość, życie społeczne i prawo autorskie. Zamiast nauki programowania, studenci uczą się mechanizmów rządzących światem cyfrowym, profesjonalnej komunikacji w mediach społecznościowych oraz zarządzania projektami w branżach kreatywnych. Jest to odpowiedź na realne potrzeby rynku pracy, który poszukuje ekspertów potrafiących połączyć sprawność w świecie nowych mediów z umiejętnością krytycznego myślenia i analizy kontekstowej.</w:t>
      </w:r>
    </w:p>
    <w:p w14:paraId="52A86430" w14:textId="188404F5" w:rsidR="000F42FC" w:rsidRPr="00064719" w:rsidRDefault="000F42FC">
      <w:r w:rsidRPr="00064719">
        <w:t>Specjalność jest skierowana do osób, które chcą pracować w sektorze kreatywnym, agencjach marketingowych, instytucjach kultury wdrażających nowoczesne rozwiązania cyfrowe lub planują karierę w obszarze humanistyki cyfrowej</w:t>
      </w:r>
      <w:r w:rsidR="00064719" w:rsidRPr="00064719">
        <w:t>.</w:t>
      </w:r>
    </w:p>
    <w:p w14:paraId="6001C9B2" w14:textId="77777777" w:rsidR="000F42FC" w:rsidRDefault="000F42FC" w:rsidP="000F42FC"/>
    <w:p w14:paraId="5D624A5D" w14:textId="72E77A5B" w:rsidR="000F42FC" w:rsidRPr="000F42FC" w:rsidRDefault="000F42FC" w:rsidP="000F42FC">
      <w:pPr>
        <w:rPr>
          <w:b/>
          <w:bCs/>
        </w:rPr>
      </w:pPr>
      <w:r w:rsidRPr="000F42FC">
        <w:rPr>
          <w:b/>
          <w:bCs/>
        </w:rPr>
        <w:t>Nowoczesność oparta na humanistycznym fundamencie</w:t>
      </w:r>
    </w:p>
    <w:p w14:paraId="6E35FC7C" w14:textId="6799AAED" w:rsidR="00A862C7" w:rsidRDefault="00A862C7" w:rsidP="000F42FC">
      <w:r w:rsidRPr="00A862C7">
        <w:t xml:space="preserve">Kulturoznawstwo na Uniwersytecie Gdańskim to </w:t>
      </w:r>
      <w:r w:rsidR="00064719">
        <w:t xml:space="preserve">jednak wciąż </w:t>
      </w:r>
      <w:r w:rsidRPr="00A862C7">
        <w:t>rzetelne studia humanistyczne</w:t>
      </w:r>
      <w:r>
        <w:t xml:space="preserve">, a nie </w:t>
      </w:r>
      <w:r w:rsidRPr="00A862C7">
        <w:t>informatyczne. Bazą dla wszystkich studentów jest rozbudowany moduł przedmiotów ogólnokulturoznawczych. Program obejmuje m.in. antropologię, historię i teorię kultury, filozofię, a także analizę sztuki, filmu czy literatury. Celem jest zdobycie szerokiego aparatu pojęciowego do krytycznej analizy zjawisk we współczesnym świecie.</w:t>
      </w:r>
    </w:p>
    <w:p w14:paraId="267FF041" w14:textId="46658278" w:rsidR="00A862C7" w:rsidRDefault="00A862C7" w:rsidP="00A862C7">
      <w:r>
        <w:t>Po pierwszym semestrze nauki, w ramach którego studenci zdobywają podstawową wiedzę kierunkową, następuje wybór jednej z dwóch ścieżek specjalnościowych, które ukierunkowują dalszy rozwój:</w:t>
      </w:r>
    </w:p>
    <w:p w14:paraId="5EE40DD6" w14:textId="77777777" w:rsidR="00A862C7" w:rsidRDefault="00A862C7" w:rsidP="00A862C7">
      <w:pPr>
        <w:pStyle w:val="Akapitzlist"/>
        <w:numPr>
          <w:ilvl w:val="0"/>
          <w:numId w:val="1"/>
        </w:numPr>
      </w:pPr>
      <w:r w:rsidRPr="00064719">
        <w:rPr>
          <w:b/>
          <w:bCs/>
        </w:rPr>
        <w:t>Krytyka artystyczna i upowszechnianie kultury</w:t>
      </w:r>
      <w:r>
        <w:t xml:space="preserve"> – specjalność klasyczna, skupiona na krytyce sztuki, animacji działań kulturalnych i instytucjach kultury.</w:t>
      </w:r>
    </w:p>
    <w:p w14:paraId="08DAF6F1" w14:textId="4E6F120C" w:rsidR="00A862C7" w:rsidRDefault="00A862C7" w:rsidP="000F42FC">
      <w:pPr>
        <w:pStyle w:val="Akapitzlist"/>
        <w:numPr>
          <w:ilvl w:val="0"/>
          <w:numId w:val="1"/>
        </w:numPr>
      </w:pPr>
      <w:r w:rsidRPr="00064719">
        <w:rPr>
          <w:b/>
          <w:bCs/>
        </w:rPr>
        <w:t>Media cyfrowe i technologie AI w kulturze</w:t>
      </w:r>
      <w:r>
        <w:t xml:space="preserve"> – nowa specjalność dla osób zainteresowanych stykiem humanistyki i środowiska cyfrowego.</w:t>
      </w:r>
    </w:p>
    <w:p w14:paraId="60C9823B" w14:textId="2D95FA69" w:rsidR="007B20C0" w:rsidRDefault="00064719" w:rsidP="000F42FC">
      <w:r>
        <w:t>Każdy z p</w:t>
      </w:r>
      <w:r w:rsidR="000F42FC">
        <w:t>rogram</w:t>
      </w:r>
      <w:r>
        <w:t>ów</w:t>
      </w:r>
      <w:r w:rsidR="000F42FC">
        <w:t xml:space="preserve"> został zaprojektowany tak, aby łączyć szerokie horyzonty humanistyczne z praktycznymi umiejętnościami.</w:t>
      </w:r>
      <w:r>
        <w:t xml:space="preserve"> </w:t>
      </w:r>
      <w:r w:rsidR="000F42FC">
        <w:t>Dzięki temu kierunek zachowuje swoją różnorodność i nie zamyka się w jednej niszy.</w:t>
      </w:r>
    </w:p>
    <w:p w14:paraId="26FE2AD3" w14:textId="2B0A21E6" w:rsidR="00064719" w:rsidRPr="00064719" w:rsidRDefault="007B20C0" w:rsidP="000F42FC">
      <w:pPr>
        <w:rPr>
          <w:b/>
          <w:bCs/>
        </w:rPr>
      </w:pPr>
      <w:r>
        <w:rPr>
          <w:b/>
          <w:bCs/>
        </w:rPr>
        <w:t>Rekrutacja rusza już w czerwcu</w:t>
      </w:r>
      <w:r w:rsidR="00064719" w:rsidRPr="00064719">
        <w:rPr>
          <w:b/>
          <w:bCs/>
        </w:rPr>
        <w:t>!</w:t>
      </w:r>
    </w:p>
    <w:p w14:paraId="30CF70D9" w14:textId="6DB453FA" w:rsidR="007B20C0" w:rsidRDefault="007B20C0" w:rsidP="000F42FC">
      <w:r>
        <w:t xml:space="preserve">Studia w ramach nowej specjalności na kulturoznawstwie mogą podjąć osoby, które rozpoczną studia w roku akademickim 2026/2027. Więcej szczegółów na temat kierunku oraz zasad rekrutacji znajdują się na stronie Zakładu Kulturoznawstwa </w:t>
      </w:r>
      <w:r>
        <w:lastRenderedPageBreak/>
        <w:t>[</w:t>
      </w:r>
      <w:r w:rsidRPr="007B20C0">
        <w:t>https://fil.ug.edu.pl/wydzial/instytuty/instytut-badan-nad-kultura/zaklad-kulturoznawstwa/informacje-dla-kandydatow</w:t>
      </w:r>
      <w:r>
        <w:t>] oraz na uczelnianym portalu rekrutacyjnym [</w:t>
      </w:r>
      <w:r w:rsidRPr="007B20C0">
        <w:t>https://rekrutacja.ug.edu.pl/blog/kierunek/kulturoznawstwo-2/#elementor-toc__heading-anchor-5</w:t>
      </w:r>
      <w:r>
        <w:t>].</w:t>
      </w:r>
    </w:p>
    <w:p w14:paraId="3C64FFF1" w14:textId="77777777" w:rsidR="007B20C0" w:rsidRDefault="007B20C0" w:rsidP="000F42FC"/>
    <w:p w14:paraId="3B0E5D3B" w14:textId="14434839" w:rsidR="007B20C0" w:rsidRDefault="007B20C0" w:rsidP="000F42FC">
      <w:r>
        <w:t>Opracowanie: dr Tomasz Lidzbarski</w:t>
      </w:r>
    </w:p>
    <w:p w14:paraId="2CDC3C31" w14:textId="77777777" w:rsidR="000F42FC" w:rsidRDefault="000F42FC"/>
    <w:p w14:paraId="1CA393A9" w14:textId="77777777" w:rsidR="000F42FC" w:rsidRDefault="000F42FC"/>
    <w:p w14:paraId="0A4230E7" w14:textId="77777777" w:rsidR="000F42FC" w:rsidRDefault="000F42FC"/>
    <w:p w14:paraId="107B80E7" w14:textId="77777777" w:rsidR="000F42FC" w:rsidRDefault="000F42FC"/>
    <w:sectPr w:rsidR="000F42F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BDDC" w14:textId="77777777" w:rsidR="000A6E2C" w:rsidRDefault="000A6E2C" w:rsidP="007B20C0">
      <w:pPr>
        <w:spacing w:after="0" w:line="240" w:lineRule="auto"/>
      </w:pPr>
      <w:r>
        <w:separator/>
      </w:r>
    </w:p>
  </w:endnote>
  <w:endnote w:type="continuationSeparator" w:id="0">
    <w:p w14:paraId="31EA6193" w14:textId="77777777" w:rsidR="000A6E2C" w:rsidRDefault="000A6E2C" w:rsidP="007B2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5298142"/>
      <w:docPartObj>
        <w:docPartGallery w:val="Page Numbers (Bottom of Page)"/>
        <w:docPartUnique/>
      </w:docPartObj>
    </w:sdtPr>
    <w:sdtContent>
      <w:p w14:paraId="33166C39" w14:textId="5564CFA0" w:rsidR="007B20C0" w:rsidRDefault="007B20C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DEC3F0" w14:textId="77777777" w:rsidR="007B20C0" w:rsidRDefault="007B20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F6214" w14:textId="77777777" w:rsidR="000A6E2C" w:rsidRDefault="000A6E2C" w:rsidP="007B20C0">
      <w:pPr>
        <w:spacing w:after="0" w:line="240" w:lineRule="auto"/>
      </w:pPr>
      <w:r>
        <w:separator/>
      </w:r>
    </w:p>
  </w:footnote>
  <w:footnote w:type="continuationSeparator" w:id="0">
    <w:p w14:paraId="24880911" w14:textId="77777777" w:rsidR="000A6E2C" w:rsidRDefault="000A6E2C" w:rsidP="007B2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E1222"/>
    <w:multiLevelType w:val="hybridMultilevel"/>
    <w:tmpl w:val="98520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35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FC"/>
    <w:rsid w:val="00001C79"/>
    <w:rsid w:val="00064719"/>
    <w:rsid w:val="000A6E2C"/>
    <w:rsid w:val="000F42FC"/>
    <w:rsid w:val="00202EF8"/>
    <w:rsid w:val="00326B10"/>
    <w:rsid w:val="00374437"/>
    <w:rsid w:val="003F5E43"/>
    <w:rsid w:val="00444D3E"/>
    <w:rsid w:val="0057767D"/>
    <w:rsid w:val="005F41F6"/>
    <w:rsid w:val="006B2A76"/>
    <w:rsid w:val="007B20C0"/>
    <w:rsid w:val="007C185F"/>
    <w:rsid w:val="007F709D"/>
    <w:rsid w:val="009C24BE"/>
    <w:rsid w:val="00A862C7"/>
    <w:rsid w:val="00A9452B"/>
    <w:rsid w:val="00B76445"/>
    <w:rsid w:val="00B81606"/>
    <w:rsid w:val="00BC1200"/>
    <w:rsid w:val="00C71DEC"/>
    <w:rsid w:val="00C80DFA"/>
    <w:rsid w:val="00C94C5C"/>
    <w:rsid w:val="00CE3AA8"/>
    <w:rsid w:val="00E70251"/>
    <w:rsid w:val="00F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2820"/>
  <w15:chartTrackingRefBased/>
  <w15:docId w15:val="{367E0857-5BF8-4DCC-968E-79D94DC9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4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sktznormalizowany">
    <w:name w:val="Teskt znormalizowany"/>
    <w:basedOn w:val="Normalny"/>
    <w:link w:val="TesktznormalizowanyZnak"/>
    <w:autoRedefine/>
    <w:qFormat/>
    <w:rsid w:val="00A9452B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sktznormalizowanyZnak">
    <w:name w:val="Teskt znormalizowany Znak"/>
    <w:basedOn w:val="Domylnaczcionkaakapitu"/>
    <w:link w:val="Tesktznormalizowany"/>
    <w:rsid w:val="00A9452B"/>
    <w:rPr>
      <w:rFonts w:ascii="Times New Roman" w:hAnsi="Times New Roman"/>
      <w:sz w:val="24"/>
      <w:szCs w:val="24"/>
    </w:rPr>
  </w:style>
  <w:style w:type="paragraph" w:customStyle="1" w:styleId="Akademicki">
    <w:name w:val="Akademicki"/>
    <w:basedOn w:val="Normalny"/>
    <w:qFormat/>
    <w:rsid w:val="00001C79"/>
    <w:pPr>
      <w:spacing w:after="0" w:line="360" w:lineRule="auto"/>
      <w:jc w:val="both"/>
    </w:pPr>
    <w:rPr>
      <w:rFonts w:ascii="Times New Roman" w:eastAsia="Calibri" w:hAnsi="Times New Roman" w:cs="Calibri"/>
      <w:sz w:val="24"/>
    </w:rPr>
  </w:style>
  <w:style w:type="paragraph" w:customStyle="1" w:styleId="Rozdzia-Akademicki">
    <w:name w:val="Rozdział - Akademicki"/>
    <w:basedOn w:val="Tekst-Akademicki"/>
    <w:next w:val="Tekst-Akademicki"/>
    <w:link w:val="Rozdzia-AkademickiZnak"/>
    <w:autoRedefine/>
    <w:qFormat/>
    <w:rsid w:val="0057767D"/>
    <w:pPr>
      <w:jc w:val="center"/>
    </w:pPr>
    <w:rPr>
      <w:b/>
      <w:bCs/>
      <w:caps/>
      <w:sz w:val="32"/>
      <w:szCs w:val="28"/>
    </w:rPr>
  </w:style>
  <w:style w:type="character" w:customStyle="1" w:styleId="Rozdzia-AkademickiZnak">
    <w:name w:val="Rozdział - Akademicki Znak"/>
    <w:basedOn w:val="Tekst-AkademickiZnak"/>
    <w:link w:val="Rozdzia-Akademicki"/>
    <w:rsid w:val="0057767D"/>
    <w:rPr>
      <w:rFonts w:ascii="Times New Roman" w:hAnsi="Times New Roman"/>
      <w:b/>
      <w:bCs/>
      <w:caps/>
      <w:sz w:val="32"/>
      <w:szCs w:val="28"/>
    </w:rPr>
  </w:style>
  <w:style w:type="paragraph" w:customStyle="1" w:styleId="Tekst-Akademicki">
    <w:name w:val="Tekst - Akademicki"/>
    <w:basedOn w:val="Normalny"/>
    <w:link w:val="Tekst-AkademickiZnak"/>
    <w:qFormat/>
    <w:rsid w:val="00B81606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Tekst-AkademickiZnak">
    <w:name w:val="Tekst - Akademicki Znak"/>
    <w:basedOn w:val="Domylnaczcionkaakapitu"/>
    <w:link w:val="Tekst-Akademicki"/>
    <w:rsid w:val="00B81606"/>
    <w:rPr>
      <w:rFonts w:ascii="Times New Roman" w:hAnsi="Times New Roman"/>
      <w:sz w:val="24"/>
    </w:rPr>
  </w:style>
  <w:style w:type="paragraph" w:customStyle="1" w:styleId="Przypisy">
    <w:name w:val="Przypisy"/>
    <w:basedOn w:val="Tekstprzypisudolnego"/>
    <w:link w:val="PrzypisyZnak"/>
    <w:qFormat/>
    <w:rsid w:val="00B81606"/>
    <w:pPr>
      <w:jc w:val="both"/>
    </w:pPr>
    <w:rPr>
      <w:rFonts w:ascii="Times New Roman" w:hAnsi="Times New Roman"/>
    </w:rPr>
  </w:style>
  <w:style w:type="character" w:customStyle="1" w:styleId="PrzypisyZnak">
    <w:name w:val="Przypisy Znak"/>
    <w:basedOn w:val="TekstprzypisudolnegoZnak"/>
    <w:link w:val="Przypisy"/>
    <w:rsid w:val="00B81606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16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1606"/>
    <w:rPr>
      <w:sz w:val="20"/>
      <w:szCs w:val="20"/>
    </w:rPr>
  </w:style>
  <w:style w:type="paragraph" w:customStyle="1" w:styleId="Podrozdzia-Akademicki">
    <w:name w:val="Podrozdział - Akademicki"/>
    <w:basedOn w:val="Tekst-Akademicki"/>
    <w:next w:val="Tekst-Akademicki"/>
    <w:link w:val="Podrozdzia-AkademickiZnak"/>
    <w:autoRedefine/>
    <w:qFormat/>
    <w:rsid w:val="00BC1200"/>
    <w:rPr>
      <w:b/>
      <w:iCs/>
      <w:sz w:val="32"/>
    </w:rPr>
  </w:style>
  <w:style w:type="character" w:customStyle="1" w:styleId="Podrozdzia-AkademickiZnak">
    <w:name w:val="Podrozdział - Akademicki Znak"/>
    <w:basedOn w:val="Tekst-AkademickiZnak"/>
    <w:link w:val="Podrozdzia-Akademicki"/>
    <w:rsid w:val="00BC1200"/>
    <w:rPr>
      <w:rFonts w:ascii="Times New Roman" w:hAnsi="Times New Roman"/>
      <w:b/>
      <w:iCs/>
      <w:sz w:val="32"/>
    </w:rPr>
  </w:style>
  <w:style w:type="paragraph" w:customStyle="1" w:styleId="Paragraf-Akademicki">
    <w:name w:val="Paragraf - Akademicki"/>
    <w:basedOn w:val="Tekst-Akademicki"/>
    <w:next w:val="Tekst-Akademicki"/>
    <w:link w:val="Paragraf-AkademickiZnak"/>
    <w:qFormat/>
    <w:rsid w:val="00B81606"/>
    <w:rPr>
      <w:b/>
      <w:bCs/>
    </w:rPr>
  </w:style>
  <w:style w:type="character" w:customStyle="1" w:styleId="Paragraf-AkademickiZnak">
    <w:name w:val="Paragraf - Akademicki Znak"/>
    <w:basedOn w:val="Tekst-AkademickiZnak"/>
    <w:link w:val="Paragraf-Akademicki"/>
    <w:rsid w:val="00B81606"/>
    <w:rPr>
      <w:rFonts w:ascii="Times New Roman" w:hAnsi="Times New Roman"/>
      <w:b/>
      <w:bCs/>
      <w:sz w:val="24"/>
    </w:rPr>
  </w:style>
  <w:style w:type="paragraph" w:customStyle="1" w:styleId="Cytat-Akademicki">
    <w:name w:val="Cytat - Akademicki"/>
    <w:basedOn w:val="Normalny"/>
    <w:next w:val="Normalny"/>
    <w:link w:val="Cytat-AkademickiZnak"/>
    <w:qFormat/>
    <w:rsid w:val="00326B10"/>
    <w:pPr>
      <w:spacing w:after="0" w:line="360" w:lineRule="auto"/>
      <w:ind w:left="709" w:right="708"/>
      <w:jc w:val="both"/>
    </w:pPr>
    <w:rPr>
      <w:rFonts w:ascii="Times New Roman" w:hAnsi="Times New Roman"/>
      <w:sz w:val="20"/>
      <w:szCs w:val="18"/>
    </w:rPr>
  </w:style>
  <w:style w:type="character" w:customStyle="1" w:styleId="Cytat-AkademickiZnak">
    <w:name w:val="Cytat - Akademicki Znak"/>
    <w:basedOn w:val="Domylnaczcionkaakapitu"/>
    <w:link w:val="Cytat-Akademicki"/>
    <w:rsid w:val="00326B10"/>
    <w:rPr>
      <w:rFonts w:ascii="Times New Roman" w:hAnsi="Times New Roman"/>
      <w:sz w:val="20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F4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2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2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2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2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2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2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2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42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2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2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2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B2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0C0"/>
  </w:style>
  <w:style w:type="paragraph" w:styleId="Stopka">
    <w:name w:val="footer"/>
    <w:basedOn w:val="Normalny"/>
    <w:link w:val="StopkaZnak"/>
    <w:uiPriority w:val="99"/>
    <w:unhideWhenUsed/>
    <w:rsid w:val="007B2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Lidzbarski</dc:creator>
  <cp:keywords/>
  <dc:description/>
  <cp:lastModifiedBy>Magdalena Nieczuja-Goniszewska</cp:lastModifiedBy>
  <cp:revision>2</cp:revision>
  <dcterms:created xsi:type="dcterms:W3CDTF">2026-06-17T09:42:00Z</dcterms:created>
  <dcterms:modified xsi:type="dcterms:W3CDTF">2026-06-17T09:42:00Z</dcterms:modified>
</cp:coreProperties>
</file>