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E154" w14:textId="77777777" w:rsidR="006F342F" w:rsidRPr="006F342F" w:rsidRDefault="006F342F" w:rsidP="00E319EA">
      <w:pPr>
        <w:pBdr>
          <w:bottom w:val="single" w:sz="12" w:space="1" w:color="auto"/>
        </w:pBdr>
        <w:jc w:val="both"/>
        <w:rPr>
          <w:rFonts w:ascii="Cambria" w:hAnsi="Cambria" w:cs="Times New Roman"/>
          <w:b/>
          <w:color w:val="auto"/>
          <w:sz w:val="21"/>
          <w:szCs w:val="21"/>
        </w:rPr>
      </w:pPr>
      <w:r w:rsidRPr="006F342F">
        <w:rPr>
          <w:rFonts w:ascii="Cambria" w:hAnsi="Cambria"/>
          <w:b/>
          <w:sz w:val="21"/>
          <w:szCs w:val="21"/>
        </w:rPr>
        <w:t>INFORMACJA PRASOWA</w:t>
      </w:r>
    </w:p>
    <w:p w14:paraId="4772FF46" w14:textId="014D1FD2" w:rsidR="006F342F" w:rsidRPr="006F342F" w:rsidRDefault="006F342F" w:rsidP="00E319EA">
      <w:pPr>
        <w:jc w:val="both"/>
        <w:rPr>
          <w:rFonts w:ascii="Cambria" w:hAnsi="Cambria"/>
          <w:sz w:val="21"/>
          <w:szCs w:val="21"/>
        </w:rPr>
      </w:pPr>
      <w:r w:rsidRPr="006F342F">
        <w:rPr>
          <w:rFonts w:ascii="Cambria" w:hAnsi="Cambria"/>
          <w:sz w:val="21"/>
          <w:szCs w:val="21"/>
        </w:rPr>
        <w:t>Gdańsk,</w:t>
      </w:r>
      <w:r w:rsidR="00862BCC">
        <w:rPr>
          <w:rFonts w:ascii="Cambria" w:hAnsi="Cambria"/>
          <w:sz w:val="21"/>
          <w:szCs w:val="21"/>
        </w:rPr>
        <w:t xml:space="preserve"> 24 czerwca</w:t>
      </w:r>
      <w:r w:rsidRPr="006F342F">
        <w:rPr>
          <w:rFonts w:ascii="Cambria" w:hAnsi="Cambria"/>
          <w:sz w:val="21"/>
          <w:szCs w:val="21"/>
        </w:rPr>
        <w:t xml:space="preserve"> 2026 r.</w:t>
      </w:r>
    </w:p>
    <w:p w14:paraId="212C9E36" w14:textId="77777777" w:rsidR="004E4320" w:rsidRDefault="004E4320" w:rsidP="00331404">
      <w:pPr>
        <w:jc w:val="both"/>
        <w:rPr>
          <w:rFonts w:ascii="Cambria" w:hAnsi="Cambria" w:cs="Calibri"/>
          <w:b/>
          <w:bCs/>
          <w:iCs/>
          <w:color w:val="215E99" w:themeColor="text2" w:themeTint="BF"/>
          <w:spacing w:val="-2"/>
          <w:sz w:val="28"/>
          <w:szCs w:val="28"/>
        </w:rPr>
      </w:pPr>
    </w:p>
    <w:p w14:paraId="6B7BBD31" w14:textId="77777777" w:rsidR="004E4320" w:rsidRDefault="004E4320" w:rsidP="00331404">
      <w:pPr>
        <w:jc w:val="both"/>
        <w:rPr>
          <w:rFonts w:ascii="Cambria" w:hAnsi="Cambria" w:cs="Calibri"/>
          <w:b/>
          <w:bCs/>
          <w:iCs/>
          <w:color w:val="215E99" w:themeColor="text2" w:themeTint="BF"/>
          <w:spacing w:val="-2"/>
          <w:sz w:val="28"/>
          <w:szCs w:val="28"/>
        </w:rPr>
      </w:pPr>
    </w:p>
    <w:p w14:paraId="288302F3" w14:textId="47BE52CF" w:rsidR="00331404" w:rsidRPr="00331404" w:rsidRDefault="00C37831" w:rsidP="00331404">
      <w:pPr>
        <w:jc w:val="both"/>
        <w:rPr>
          <w:rFonts w:ascii="Cambria" w:hAnsi="Cambria" w:cs="Calibri"/>
          <w:b/>
          <w:bCs/>
          <w:iCs/>
          <w:color w:val="215E99" w:themeColor="text2" w:themeTint="BF"/>
          <w:spacing w:val="-2"/>
          <w:sz w:val="28"/>
          <w:szCs w:val="28"/>
        </w:rPr>
      </w:pPr>
      <w:r>
        <w:rPr>
          <w:rFonts w:ascii="Cambria" w:hAnsi="Cambria" w:cs="Calibri"/>
          <w:b/>
          <w:bCs/>
          <w:iCs/>
          <w:color w:val="215E99" w:themeColor="text2" w:themeTint="BF"/>
          <w:spacing w:val="-2"/>
          <w:sz w:val="28"/>
          <w:szCs w:val="28"/>
        </w:rPr>
        <w:t>Wellness po polsku nie oznacza kosztownych usług premium</w:t>
      </w:r>
    </w:p>
    <w:p w14:paraId="4514DB33" w14:textId="77777777" w:rsidR="00331404" w:rsidRPr="00331404" w:rsidRDefault="00331404" w:rsidP="00331404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097E23B8" w14:textId="262C2BCB" w:rsidR="009F1CD9" w:rsidRPr="009F1CD9" w:rsidRDefault="009F1CD9" w:rsidP="009F1CD9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  <w:r w:rsidRPr="009F1CD9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Sześciu na dziesięciu Polaków wydaje pieniądze na produkty lub usługi związane z wellness. Dane ZPF i IRG SGH pokazują, że ponad 79,4 proc.</w:t>
      </w:r>
      <w:r w:rsidR="003C600B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Pr="009F1CD9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badanych </w:t>
      </w:r>
      <w:r w:rsidR="00BF534E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przeznacza</w:t>
      </w:r>
      <w:r w:rsidRPr="009F1CD9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na ten cel do 300 zł miesięcznie.</w:t>
      </w:r>
      <w:r w:rsidR="00BF534E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="00202A6A" w:rsidRPr="00202A6A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Najpopularniejszymi kategoriami wydatków są suplementy diety i witaminy oraz kosmetyki i pielęgnacja.</w:t>
      </w:r>
    </w:p>
    <w:p w14:paraId="59BCA0AC" w14:textId="77777777" w:rsidR="002C6DB1" w:rsidRDefault="002C6DB1" w:rsidP="00331404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708D0FB3" w14:textId="77777777" w:rsidR="00FE6BC4" w:rsidRDefault="00FE6BC4" w:rsidP="00331404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12299FD9" w14:textId="3F181359" w:rsidR="00FE6BC4" w:rsidRDefault="00FE6BC4" w:rsidP="00331404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FE6BC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W najnowszej edycji badania „Sytuacja na rynku consumer finance”, realizowanego przez </w:t>
      </w:r>
      <w:r w:rsidRPr="00087B2C">
        <w:rPr>
          <w:rFonts w:ascii="Cambria" w:hAnsi="Cambria" w:cs="Calibri"/>
          <w:iCs/>
          <w:color w:val="auto"/>
          <w:spacing w:val="-2"/>
          <w:sz w:val="21"/>
          <w:szCs w:val="21"/>
        </w:rPr>
        <w:t>Związek Przedsiębiorstw Finansowych w Polsce (ZPF) oraz Instytut Rozwoju Gospodarczego Szkoły Głównej Handlowej (IRG SGH)</w:t>
      </w:r>
      <w:r w:rsidRPr="00FE6BC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, zapytano Polaków </w:t>
      </w:r>
      <w:r w:rsidRPr="00087B2C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o wydatki na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produkty lub usługi związane z wellness.</w:t>
      </w:r>
    </w:p>
    <w:p w14:paraId="362BEC64" w14:textId="77777777" w:rsidR="004E4320" w:rsidRDefault="004E4320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772CB33A" w14:textId="0515F385" w:rsidR="001A22CE" w:rsidRPr="00EC6A52" w:rsidRDefault="00BF534E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  <w:r w:rsidRPr="00BF534E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Wellness na dobre zagościł w domowych budżetach</w:t>
      </w:r>
    </w:p>
    <w:p w14:paraId="08E49FB3" w14:textId="77777777" w:rsidR="001A22CE" w:rsidRPr="001A22CE" w:rsidRDefault="001A22C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45CF5198" w14:textId="7753DD8D" w:rsidR="001A22CE" w:rsidRDefault="001A22C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W ciągu ostatnich 12 miesięcy wydatki na produkty lub usługi związane z wellness poniosło 60 proc. badanych. Regularnie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na </w:t>
      </w:r>
      <w:r w:rsidR="00091189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ten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cel wydaje pieniądze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22,6 proc. respondentów, natomiast </w:t>
      </w:r>
      <w:r w:rsidR="00091189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sporadycznie 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>37,4 proc. Z kolei 22,2 proc. ankietowanych deklaruje, że nie odczuwa potrzeby korzystania z tego typu produktów lub usług, a 17,8 proc. wskazuje na brak środków finansowych</w:t>
      </w:r>
      <w:r w:rsidR="00EC6A52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na ten cel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>.</w:t>
      </w:r>
    </w:p>
    <w:p w14:paraId="6DF2BFBD" w14:textId="77777777" w:rsidR="00202A6A" w:rsidRDefault="00202A6A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3BAD11EC" w14:textId="77777777" w:rsidR="00EC77FD" w:rsidRDefault="00EC77FD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6FF31318" w14:textId="70E7DE38" w:rsidR="00EC77FD" w:rsidRDefault="00EC77FD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b/>
          <w:bCs/>
          <w:iCs/>
          <w:noProof/>
          <w:color w:val="auto"/>
          <w:spacing w:val="-2"/>
          <w:sz w:val="21"/>
          <w:szCs w:val="21"/>
          <w14:ligatures w14:val="standardContextual"/>
        </w:rPr>
        <w:drawing>
          <wp:inline distT="0" distB="0" distL="0" distR="0" wp14:anchorId="0A4507B4" wp14:editId="30A7064A">
            <wp:extent cx="5783580" cy="3759327"/>
            <wp:effectExtent l="0" t="0" r="7620" b="0"/>
            <wp:docPr id="14890077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07754" name="Obraz 14890077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0702" cy="376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FEEEE" w14:textId="77777777" w:rsidR="00EC77FD" w:rsidRDefault="00EC77FD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1A4598A5" w14:textId="77777777" w:rsidR="00EC77FD" w:rsidRDefault="00EC77FD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7D17F05C" w14:textId="77777777" w:rsidR="00EC77FD" w:rsidRDefault="00EC77FD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5F279E19" w14:textId="77777777" w:rsidR="00EC77FD" w:rsidRDefault="00EC77FD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411AB7CA" w14:textId="77777777" w:rsidR="00EC77FD" w:rsidRDefault="00EC77FD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599D13DD" w14:textId="0DE91015" w:rsidR="001A22CE" w:rsidRPr="00091189" w:rsidRDefault="001A22CE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  <w:r w:rsidRPr="00091189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lastRenderedPageBreak/>
        <w:t>Naj</w:t>
      </w:r>
      <w:r w:rsidR="00091189" w:rsidRPr="00091189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chętniej </w:t>
      </w:r>
      <w:r w:rsidR="003C600B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kupujemy</w:t>
      </w:r>
      <w:r w:rsidRPr="00091189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suplementy i kosmetyki</w:t>
      </w:r>
    </w:p>
    <w:p w14:paraId="7A0FF753" w14:textId="77777777" w:rsidR="001A22CE" w:rsidRPr="001A22CE" w:rsidRDefault="001A22C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51901686" w14:textId="0CAC7744" w:rsidR="001A22CE" w:rsidRPr="001A22CE" w:rsidRDefault="001A22C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>Wśród osób wydających na wellness największą popularnością ciesz</w:t>
      </w:r>
      <w:r w:rsidR="00DD4014">
        <w:rPr>
          <w:rFonts w:ascii="Cambria" w:hAnsi="Cambria" w:cs="Calibri"/>
          <w:iCs/>
          <w:color w:val="auto"/>
          <w:spacing w:val="-2"/>
          <w:sz w:val="21"/>
          <w:szCs w:val="21"/>
        </w:rPr>
        <w:t>y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się</w:t>
      </w:r>
      <w:r w:rsidR="00DD401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kategoria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="00DD4014"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>suplement</w:t>
      </w:r>
      <w:r w:rsidR="00DD4014">
        <w:rPr>
          <w:rFonts w:ascii="Cambria" w:hAnsi="Cambria" w:cs="Calibri"/>
          <w:iCs/>
          <w:color w:val="auto"/>
          <w:spacing w:val="-2"/>
          <w:sz w:val="21"/>
          <w:szCs w:val="21"/>
        </w:rPr>
        <w:t>ów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diety i witamin, któr</w:t>
      </w:r>
      <w:r w:rsidR="00DD4014">
        <w:rPr>
          <w:rFonts w:ascii="Cambria" w:hAnsi="Cambria" w:cs="Calibri"/>
          <w:iCs/>
          <w:color w:val="auto"/>
          <w:spacing w:val="-2"/>
          <w:sz w:val="21"/>
          <w:szCs w:val="21"/>
        </w:rPr>
        <w:t>ą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wskazało 67,5 proc. respondentów. </w:t>
      </w:r>
      <w:r w:rsidR="00091189">
        <w:rPr>
          <w:rFonts w:ascii="Cambria" w:hAnsi="Cambria" w:cs="Calibri"/>
          <w:iCs/>
          <w:color w:val="auto"/>
          <w:spacing w:val="-2"/>
          <w:sz w:val="21"/>
          <w:szCs w:val="21"/>
        </w:rPr>
        <w:t>Na drugim miejscu znalazły się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kosmetyki i pielęgnacj</w:t>
      </w:r>
      <w:r w:rsidR="0039407C">
        <w:rPr>
          <w:rFonts w:ascii="Cambria" w:hAnsi="Cambria" w:cs="Calibri"/>
          <w:iCs/>
          <w:color w:val="auto"/>
          <w:spacing w:val="-2"/>
          <w:sz w:val="21"/>
          <w:szCs w:val="21"/>
        </w:rPr>
        <w:t>a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(67 proc.). </w:t>
      </w:r>
      <w:r w:rsidR="00C814FB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W pierwszej trójce jest też </w:t>
      </w:r>
      <w:r w:rsidR="004E4320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kategoria </w:t>
      </w:r>
      <w:r w:rsidR="00C814FB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fitness, siłownia i zajęcia sportowe (31,8 proc.). </w:t>
      </w:r>
      <w:r w:rsidR="0039407C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Kolejne miejsce zajmuje </w:t>
      </w:r>
      <w:r w:rsidR="00202A6A" w:rsidRPr="00202A6A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sprzęt, taki jak smartwatch czy urządzenia do </w:t>
      </w:r>
      <w:r w:rsidR="00202A6A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ćwiczeń 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>(21,7 proc.).</w:t>
      </w:r>
    </w:p>
    <w:p w14:paraId="1FBCF7C3" w14:textId="77777777" w:rsidR="001A22CE" w:rsidRPr="001A22CE" w:rsidRDefault="001A22C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2F79A897" w14:textId="77777777" w:rsidR="001A22CE" w:rsidRDefault="001A22C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>Znacznie rzadziej badani korzystają z usług poprawiających wygląd (18,5 proc.), diety lub cateringu dietetycznego (15 proc.), a także usług związanych ze zdrowiem psychicznym oraz wyjazdów wellness i spa (po 12 proc.).</w:t>
      </w:r>
    </w:p>
    <w:p w14:paraId="0F93CE17" w14:textId="77777777" w:rsidR="0097020C" w:rsidRDefault="0097020C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49F430C4" w14:textId="1B7E08DF" w:rsidR="007456CE" w:rsidRDefault="00EC77FD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iCs/>
          <w:noProof/>
          <w:color w:val="auto"/>
          <w:spacing w:val="-2"/>
          <w:sz w:val="21"/>
          <w:szCs w:val="21"/>
          <w14:ligatures w14:val="standardContextual"/>
        </w:rPr>
        <w:drawing>
          <wp:inline distT="0" distB="0" distL="0" distR="0" wp14:anchorId="4D271F10" wp14:editId="7D0EA8BD">
            <wp:extent cx="5737860" cy="3947647"/>
            <wp:effectExtent l="0" t="0" r="0" b="0"/>
            <wp:docPr id="8680732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073283" name="Obraz 8680732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277" cy="395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5909D" w14:textId="77777777" w:rsidR="007A2912" w:rsidRDefault="007A2912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5E4A63EF" w14:textId="77777777" w:rsidR="007A2912" w:rsidRDefault="007A2912" w:rsidP="007A2912">
      <w:pPr>
        <w:rPr>
          <w:rFonts w:ascii="Roboto Light" w:hAnsi="Roboto Light"/>
          <w:iCs/>
          <w:color w:val="auto"/>
          <w:spacing w:val="-2"/>
          <w:sz w:val="18"/>
          <w:szCs w:val="19"/>
        </w:rPr>
      </w:pPr>
    </w:p>
    <w:p w14:paraId="389784DF" w14:textId="60B29BF0" w:rsidR="00EC77FD" w:rsidRDefault="00EC77FD" w:rsidP="00B12BF3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EC77FD">
        <w:rPr>
          <w:rFonts w:ascii="Cambria" w:hAnsi="Cambria" w:cs="Calibri"/>
          <w:iCs/>
          <w:color w:val="auto"/>
          <w:spacing w:val="-2"/>
          <w:sz w:val="21"/>
          <w:szCs w:val="21"/>
        </w:rPr>
        <w:t>Wyniki badania wskazują, że wellness nie jest domeną wyłącznie drogich, luksusowych i wyspecjalizowanych usług.</w:t>
      </w:r>
    </w:p>
    <w:p w14:paraId="288E9D50" w14:textId="77777777" w:rsidR="00EC77FD" w:rsidRDefault="00EC77FD" w:rsidP="00B12BF3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274DE237" w14:textId="0749E309" w:rsidR="00B12BF3" w:rsidRPr="001A22CE" w:rsidRDefault="00B12BF3" w:rsidP="00B12BF3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>–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="00621466" w:rsidRPr="00621466">
        <w:rPr>
          <w:rFonts w:ascii="Cambria" w:hAnsi="Cambria" w:cs="Calibri"/>
          <w:iCs/>
          <w:color w:val="auto"/>
          <w:spacing w:val="-2"/>
          <w:sz w:val="21"/>
          <w:szCs w:val="21"/>
        </w:rPr>
        <w:t>Dane pokazują, że wellness jest obecny w codziennych wyborach wielu konsumentów.</w:t>
      </w:r>
      <w:r w:rsidR="00621466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Badani</w:t>
      </w:r>
      <w:r w:rsidRPr="00795E50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najczęściej</w:t>
      </w:r>
      <w:r w:rsidR="00621466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sięgają po</w:t>
      </w:r>
      <w:r w:rsidRPr="00795E50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produkty, które są łatwo dostępne i nie wymagają </w:t>
      </w:r>
      <w:r w:rsidR="00290404">
        <w:rPr>
          <w:rFonts w:ascii="Cambria" w:hAnsi="Cambria" w:cs="Calibri"/>
          <w:iCs/>
          <w:color w:val="auto"/>
          <w:spacing w:val="-2"/>
          <w:sz w:val="21"/>
          <w:szCs w:val="21"/>
        </w:rPr>
        <w:t>większych</w:t>
      </w:r>
      <w:r w:rsidRPr="00795E50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zmian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w ich </w:t>
      </w:r>
      <w:r w:rsidRPr="00795E50">
        <w:rPr>
          <w:rFonts w:ascii="Cambria" w:hAnsi="Cambria" w:cs="Calibri"/>
          <w:iCs/>
          <w:color w:val="auto"/>
          <w:spacing w:val="-2"/>
          <w:sz w:val="21"/>
          <w:szCs w:val="21"/>
        </w:rPr>
        <w:t>stylu życia.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Struktura wydatków </w:t>
      </w:r>
      <w:r w:rsidR="00FE6BC4">
        <w:rPr>
          <w:rFonts w:ascii="Cambria" w:hAnsi="Cambria" w:cs="Calibri"/>
          <w:iCs/>
          <w:color w:val="auto"/>
          <w:spacing w:val="-2"/>
          <w:sz w:val="21"/>
          <w:szCs w:val="21"/>
        </w:rPr>
        <w:t>wskazuje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, </w:t>
      </w:r>
      <w:r w:rsidRPr="00795E50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że dbanie o zdrowie, wygląd i dobre samopoczucie jest dziś realizowane przede wszystkim poprzez </w:t>
      </w:r>
      <w:r w:rsidR="004C65E9">
        <w:rPr>
          <w:rFonts w:ascii="Cambria" w:hAnsi="Cambria" w:cs="Calibri"/>
          <w:iCs/>
          <w:color w:val="auto"/>
          <w:spacing w:val="-2"/>
          <w:sz w:val="21"/>
          <w:szCs w:val="21"/>
        </w:rPr>
        <w:t>relatywnie drobne i powtarzalne wydatki</w:t>
      </w:r>
      <w:r w:rsidRPr="00795E50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. To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wskazuje</w:t>
      </w:r>
      <w:r w:rsidRPr="00795E50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, że wellness nie </w:t>
      </w:r>
      <w:r w:rsidR="00777671">
        <w:rPr>
          <w:rFonts w:ascii="Cambria" w:hAnsi="Cambria" w:cs="Calibri"/>
          <w:iCs/>
          <w:color w:val="auto"/>
          <w:spacing w:val="-2"/>
          <w:sz w:val="21"/>
          <w:szCs w:val="21"/>
        </w:rPr>
        <w:t>oznacza</w:t>
      </w:r>
      <w:r w:rsidRPr="00795E50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wyłącznie </w:t>
      </w:r>
      <w:r w:rsidR="00777671">
        <w:rPr>
          <w:rFonts w:ascii="Cambria" w:hAnsi="Cambria" w:cs="Calibri"/>
          <w:iCs/>
          <w:color w:val="auto"/>
          <w:spacing w:val="-2"/>
          <w:sz w:val="21"/>
          <w:szCs w:val="21"/>
        </w:rPr>
        <w:t>kosztownych</w:t>
      </w:r>
      <w:r w:rsidRPr="00795E50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usług premium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– </w:t>
      </w:r>
      <w:r w:rsidRPr="009E78BF">
        <w:rPr>
          <w:rFonts w:ascii="Cambria" w:hAnsi="Cambria" w:cs="Calibri"/>
          <w:iCs/>
          <w:color w:val="auto"/>
          <w:spacing w:val="-2"/>
          <w:sz w:val="21"/>
          <w:szCs w:val="21"/>
        </w:rPr>
        <w:t>mówi Agnieszka Kozioł, Dyrektor Departamentu Badań i Analiz</w:t>
      </w:r>
      <w:r w:rsidR="00777671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ZPF.</w:t>
      </w:r>
    </w:p>
    <w:p w14:paraId="69457DE6" w14:textId="77777777" w:rsidR="001A22CE" w:rsidRPr="001A22CE" w:rsidRDefault="001A22C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7045CC19" w14:textId="6F5223B5" w:rsidR="001A22CE" w:rsidRPr="00653584" w:rsidRDefault="00FD330D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Ile </w:t>
      </w:r>
      <w:r w:rsidR="0034516A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Polacy wydają na dbanie o siebie</w:t>
      </w:r>
      <w:r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?</w:t>
      </w:r>
    </w:p>
    <w:p w14:paraId="40B3C867" w14:textId="77777777" w:rsidR="001A22CE" w:rsidRPr="001A22CE" w:rsidRDefault="001A22C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4C1BF1DB" w14:textId="2A3E7FC6" w:rsidR="001A22CE" w:rsidRPr="001A22CE" w:rsidRDefault="001A22C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>Połowa respondentów deklaruje, że przeznacza na wellness nie więcej niż 100 zł miesięcznie. Kolejne 29,3 proc.</w:t>
      </w:r>
      <w:r w:rsidR="0065358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ankietowanych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wydaje</w:t>
      </w:r>
      <w:r w:rsidR="00FD330D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na ten cel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od 101</w:t>
      </w:r>
      <w:r w:rsidR="0065358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zł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do 300 zł. Oznacza to, że niemal osiem na dziesięć osób mieści swoje miesięczne wydatki w kwocie do 300 zł.</w:t>
      </w:r>
    </w:p>
    <w:p w14:paraId="671A419D" w14:textId="77777777" w:rsidR="001A22CE" w:rsidRPr="001A22CE" w:rsidRDefault="001A22C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755402D1" w14:textId="3123EB11" w:rsidR="001A22CE" w:rsidRPr="001A22CE" w:rsidRDefault="001A22C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lastRenderedPageBreak/>
        <w:t xml:space="preserve">Od 301 </w:t>
      </w:r>
      <w:r w:rsidR="0065358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zł 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do 600 zł </w:t>
      </w:r>
      <w:r w:rsidR="00FD330D">
        <w:rPr>
          <w:rFonts w:ascii="Cambria" w:hAnsi="Cambria" w:cs="Calibri"/>
          <w:iCs/>
          <w:color w:val="auto"/>
          <w:spacing w:val="-2"/>
          <w:sz w:val="21"/>
          <w:szCs w:val="21"/>
        </w:rPr>
        <w:t>przeznacza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na </w:t>
      </w:r>
      <w:r w:rsidR="00FD330D">
        <w:rPr>
          <w:rFonts w:ascii="Cambria" w:hAnsi="Cambria" w:cs="Calibri"/>
          <w:iCs/>
          <w:color w:val="auto"/>
          <w:spacing w:val="-2"/>
          <w:sz w:val="21"/>
          <w:szCs w:val="21"/>
        </w:rPr>
        <w:t>wellness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14,7 proc. badanych, od 601 </w:t>
      </w:r>
      <w:r w:rsidR="00FD330D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zł </w:t>
      </w:r>
      <w:r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>do 1000 zł – 4,8 proc., natomiast wydatki przekraczające 1000 zł miesięcznie deklaruje 1,1 proc. respondentów.</w:t>
      </w:r>
    </w:p>
    <w:p w14:paraId="32FD0383" w14:textId="77777777" w:rsidR="001A22CE" w:rsidRPr="002979D1" w:rsidRDefault="001A22CE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17065771" w14:textId="77777777" w:rsidR="002979D1" w:rsidRPr="002979D1" w:rsidRDefault="00653584" w:rsidP="001A22CE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  <w:r w:rsidRPr="002979D1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Jak zmieniły się wydatki na wellness?</w:t>
      </w:r>
      <w:r w:rsidR="002979D1" w:rsidRPr="002979D1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</w:t>
      </w:r>
    </w:p>
    <w:p w14:paraId="30756FA0" w14:textId="77777777" w:rsidR="00653584" w:rsidRDefault="00653584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00065D52" w14:textId="478DFEF7" w:rsidR="001A22CE" w:rsidRPr="001A22CE" w:rsidRDefault="00653584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W</w:t>
      </w:r>
      <w:r w:rsidR="001A22CE"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>yniki badania</w:t>
      </w:r>
      <w:r w:rsidRPr="0065358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Pr="00091189">
        <w:rPr>
          <w:rFonts w:ascii="Cambria" w:hAnsi="Cambria" w:cs="Calibri"/>
          <w:iCs/>
          <w:color w:val="auto"/>
          <w:spacing w:val="-2"/>
          <w:sz w:val="21"/>
          <w:szCs w:val="21"/>
        </w:rPr>
        <w:t>ZPF i IRG SGH</w:t>
      </w:r>
      <w:r w:rsidR="001A22CE"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wskazują na </w:t>
      </w:r>
      <w:r w:rsidR="001A22CE"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względną stabilność tej kategorii wydatków. Ponad połowa respondentów (53,3 proc.) deklaruje, że ich wydatki na wellness w ciągu ostatnich dwóch lat nie zmieniły się. </w:t>
      </w:r>
      <w:r w:rsidR="00E32EF3" w:rsidRPr="00E32EF3">
        <w:rPr>
          <w:rFonts w:ascii="Cambria" w:hAnsi="Cambria" w:cs="Calibri"/>
          <w:iCs/>
          <w:color w:val="auto"/>
          <w:spacing w:val="-2"/>
          <w:sz w:val="21"/>
          <w:szCs w:val="21"/>
        </w:rPr>
        <w:t>Wzrost wydatków na wellness deklaruje</w:t>
      </w:r>
      <w:r w:rsidR="004A0D1A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="001A22CE" w:rsidRPr="001A22CE">
        <w:rPr>
          <w:rFonts w:ascii="Cambria" w:hAnsi="Cambria" w:cs="Calibri"/>
          <w:iCs/>
          <w:color w:val="auto"/>
          <w:spacing w:val="-2"/>
          <w:sz w:val="21"/>
          <w:szCs w:val="21"/>
        </w:rPr>
        <w:t>25 proc. badanych, natomiast 21,7 proc. mówi o ich ograniczeniu.</w:t>
      </w:r>
    </w:p>
    <w:p w14:paraId="0F36B5B5" w14:textId="77777777" w:rsidR="001A22CE" w:rsidRPr="001A22CE" w:rsidRDefault="001A22C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46291015" w14:textId="726BA6EA" w:rsidR="001A22CE" w:rsidRDefault="00CC207D" w:rsidP="00FC7941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CC207D">
        <w:rPr>
          <w:rFonts w:ascii="Cambria" w:hAnsi="Cambria" w:cs="Calibri"/>
          <w:iCs/>
          <w:color w:val="auto"/>
          <w:spacing w:val="-2"/>
          <w:sz w:val="21"/>
          <w:szCs w:val="21"/>
        </w:rPr>
        <w:t>–</w:t>
      </w:r>
      <w:r w:rsidR="00C538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Z</w:t>
      </w:r>
      <w:r w:rsidR="00872BBF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Pr="00CC207D">
        <w:rPr>
          <w:rFonts w:ascii="Cambria" w:hAnsi="Cambria" w:cs="Calibri"/>
          <w:iCs/>
          <w:color w:val="auto"/>
          <w:spacing w:val="-2"/>
          <w:sz w:val="21"/>
          <w:szCs w:val="21"/>
        </w:rPr>
        <w:t>jednej strony widzim</w:t>
      </w:r>
      <w:r w:rsidR="00FE6BC4">
        <w:rPr>
          <w:rFonts w:ascii="Cambria" w:hAnsi="Cambria" w:cs="Calibri"/>
          <w:iCs/>
          <w:color w:val="auto"/>
          <w:spacing w:val="-2"/>
          <w:sz w:val="21"/>
          <w:szCs w:val="21"/>
        </w:rPr>
        <w:t>y, że</w:t>
      </w:r>
      <w:r w:rsidR="0051584F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60 proc.</w:t>
      </w:r>
      <w:r w:rsidRPr="00CC207D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konsumentów</w:t>
      </w:r>
      <w:r w:rsidR="00D87ABB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Pr="00CC207D">
        <w:rPr>
          <w:rFonts w:ascii="Cambria" w:hAnsi="Cambria" w:cs="Calibri"/>
          <w:iCs/>
          <w:color w:val="auto"/>
          <w:spacing w:val="-2"/>
          <w:sz w:val="21"/>
          <w:szCs w:val="21"/>
        </w:rPr>
        <w:t>przeznacz</w:t>
      </w:r>
      <w:r w:rsidR="00D87ABB">
        <w:rPr>
          <w:rFonts w:ascii="Cambria" w:hAnsi="Cambria" w:cs="Calibri"/>
          <w:iCs/>
          <w:color w:val="auto"/>
          <w:spacing w:val="-2"/>
          <w:sz w:val="21"/>
          <w:szCs w:val="21"/>
        </w:rPr>
        <w:t>a</w:t>
      </w:r>
      <w:r w:rsidRPr="00CC207D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="002979D1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pieniądze na tego rodzaju </w:t>
      </w:r>
      <w:r w:rsidRPr="00CC207D">
        <w:rPr>
          <w:rFonts w:ascii="Cambria" w:hAnsi="Cambria" w:cs="Calibri"/>
          <w:iCs/>
          <w:color w:val="auto"/>
          <w:spacing w:val="-2"/>
          <w:sz w:val="21"/>
          <w:szCs w:val="21"/>
        </w:rPr>
        <w:t>produkty i usługi</w:t>
      </w:r>
      <w:r w:rsidR="002979D1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. Z </w:t>
      </w:r>
      <w:r w:rsidRPr="00CC207D">
        <w:rPr>
          <w:rFonts w:ascii="Cambria" w:hAnsi="Cambria" w:cs="Calibri"/>
          <w:iCs/>
          <w:color w:val="auto"/>
          <w:spacing w:val="-2"/>
          <w:sz w:val="21"/>
          <w:szCs w:val="21"/>
        </w:rPr>
        <w:t>drugiej strony skala wydatków</w:t>
      </w:r>
      <w:r w:rsidR="00FE6BC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na wellness</w:t>
      </w:r>
      <w:r w:rsidRPr="00CC207D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pozostaje ograniczona, a blisko co piąty respondent deklaruje, że nie korzysta z tej kategorii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usług i produktów </w:t>
      </w:r>
      <w:r w:rsidRPr="00CC207D">
        <w:rPr>
          <w:rFonts w:ascii="Cambria" w:hAnsi="Cambria" w:cs="Calibri"/>
          <w:iCs/>
          <w:color w:val="auto"/>
          <w:spacing w:val="-2"/>
          <w:sz w:val="21"/>
          <w:szCs w:val="21"/>
        </w:rPr>
        <w:t>z powodów finansowych. W połączeniu z wysokim odsetkiem osób wskazujących brak zmian wydatków w ostatnich dwóch latach</w:t>
      </w:r>
      <w:r w:rsidR="00FE6BC4" w:rsidRPr="00FE6BC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można mówić raczej o stopniowym </w:t>
      </w:r>
      <w:r w:rsidR="00FC7941">
        <w:rPr>
          <w:rFonts w:ascii="Cambria" w:hAnsi="Cambria" w:cs="Calibri"/>
          <w:iCs/>
          <w:color w:val="auto"/>
          <w:spacing w:val="-2"/>
          <w:sz w:val="21"/>
          <w:szCs w:val="21"/>
        </w:rPr>
        <w:t>wpisywaniu</w:t>
      </w:r>
      <w:r w:rsidR="00FC7941" w:rsidRPr="00FC7941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wellness w struktur</w:t>
      </w:r>
      <w:r w:rsidR="00FC7941">
        <w:rPr>
          <w:rFonts w:ascii="Cambria" w:hAnsi="Cambria" w:cs="Calibri"/>
          <w:iCs/>
          <w:color w:val="auto"/>
          <w:spacing w:val="-2"/>
          <w:sz w:val="21"/>
          <w:szCs w:val="21"/>
        </w:rPr>
        <w:t>ę</w:t>
      </w:r>
      <w:r w:rsidR="00FC7941" w:rsidRPr="00FC7941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wydatków gospodarstw domowych</w:t>
      </w:r>
      <w:r w:rsidR="00FC7941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niż</w:t>
      </w:r>
      <w:r w:rsidR="00FE6BC4" w:rsidRPr="00FE6BC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o dynamicznym wzroście konsumpcji w tym obszarze</w:t>
      </w:r>
      <w:r w:rsidR="00FE6BC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Pr="00CC207D">
        <w:rPr>
          <w:rFonts w:ascii="Cambria" w:hAnsi="Cambria" w:cs="Calibri"/>
          <w:iCs/>
          <w:color w:val="auto"/>
          <w:spacing w:val="-2"/>
          <w:sz w:val="21"/>
          <w:szCs w:val="21"/>
        </w:rPr>
        <w:t>– komentuje Rafał Tomkowicz, Dyrektor ds. Rozwoju ZPF.</w:t>
      </w:r>
    </w:p>
    <w:p w14:paraId="3C649F3E" w14:textId="77777777" w:rsidR="00FE6BC4" w:rsidRDefault="00FE6BC4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718E9CE2" w14:textId="630311C2" w:rsidR="00D87ABB" w:rsidRDefault="001A7A1E" w:rsidP="001A22CE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1A7A1E">
        <w:rPr>
          <w:rFonts w:ascii="Cambria" w:hAnsi="Cambria" w:cs="Calibri"/>
          <w:iCs/>
          <w:color w:val="auto"/>
          <w:spacing w:val="-2"/>
          <w:sz w:val="21"/>
          <w:szCs w:val="21"/>
        </w:rPr>
        <w:t>Badanie pokazuje, że wellness stał się elementem codziennych wyborów konsumenckich wielu Polaków. Najczęściej przyjmuje jednak formę niewielkich, regularnych wydatków na produkty wspierające zdrowie, wygląd i dobre samopoczucie, których skala pozostaje dostosowana do możliwości finansowych gospodarstw domowych.</w:t>
      </w:r>
    </w:p>
    <w:p w14:paraId="70CEF3F6" w14:textId="77777777" w:rsidR="00087B2C" w:rsidRDefault="00087B2C" w:rsidP="00331404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133C860E" w14:textId="06603A28" w:rsidR="00331404" w:rsidRDefault="00FD330D" w:rsidP="00331404">
      <w:pPr>
        <w:jc w:val="both"/>
      </w:pP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Kompleksowe wyniki </w:t>
      </w:r>
      <w:r w:rsidR="00AE1381">
        <w:rPr>
          <w:rFonts w:ascii="Cambria" w:hAnsi="Cambria" w:cs="Calibri"/>
          <w:iCs/>
          <w:color w:val="auto"/>
          <w:spacing w:val="-2"/>
          <w:sz w:val="21"/>
          <w:szCs w:val="21"/>
        </w:rPr>
        <w:t>badani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a</w:t>
      </w:r>
      <w:r w:rsidR="00AE1381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znajdują się na stronie</w:t>
      </w:r>
      <w:r w:rsidR="00AE1381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: </w:t>
      </w:r>
      <w:hyperlink r:id="rId9" w:history="1">
        <w:r w:rsidR="00DB2915" w:rsidRPr="00303E8F">
          <w:rPr>
            <w:rStyle w:val="Hipercze"/>
            <w:rFonts w:ascii="Cambria" w:hAnsi="Cambria" w:cs="Calibri"/>
            <w:iCs/>
            <w:spacing w:val="-2"/>
            <w:sz w:val="21"/>
            <w:szCs w:val="21"/>
          </w:rPr>
          <w:t>https://zpf.pl/sytuacja-na-rynku-consumer-finance/</w:t>
        </w:r>
      </w:hyperlink>
    </w:p>
    <w:p w14:paraId="0EDE37CB" w14:textId="77777777" w:rsidR="002C6DB1" w:rsidRDefault="002C6DB1" w:rsidP="00E319E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203EA17E" w14:textId="77777777" w:rsidR="006F342F" w:rsidRDefault="006F342F" w:rsidP="00FF60A6">
      <w:pPr>
        <w:jc w:val="center"/>
        <w:rPr>
          <w:rFonts w:ascii="Cambria" w:hAnsi="Cambria" w:cs="Calibri"/>
          <w:iCs/>
          <w:color w:val="auto"/>
          <w:spacing w:val="-2"/>
          <w:sz w:val="18"/>
          <w:szCs w:val="18"/>
        </w:rPr>
      </w:pPr>
      <w:r w:rsidRPr="00A80EE7">
        <w:rPr>
          <w:rFonts w:ascii="Cambria" w:hAnsi="Cambria" w:cs="Calibri"/>
          <w:iCs/>
          <w:color w:val="auto"/>
          <w:spacing w:val="-2"/>
          <w:sz w:val="18"/>
          <w:szCs w:val="18"/>
        </w:rPr>
        <w:t>***</w:t>
      </w:r>
    </w:p>
    <w:p w14:paraId="411E3F87" w14:textId="77777777" w:rsidR="0065044E" w:rsidRPr="00A80EE7" w:rsidRDefault="0065044E" w:rsidP="0065044E">
      <w:pPr>
        <w:rPr>
          <w:rFonts w:ascii="Cambria" w:hAnsi="Cambria"/>
          <w:sz w:val="18"/>
          <w:szCs w:val="18"/>
        </w:rPr>
      </w:pPr>
    </w:p>
    <w:p w14:paraId="400398A9" w14:textId="77777777" w:rsidR="0065044E" w:rsidRPr="006504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fintech. Jest największą multisektorową organizacją podmiotów rynku finansowego w Polsce.</w:t>
      </w:r>
    </w:p>
    <w:p w14:paraId="650450C7" w14:textId="77777777" w:rsidR="0065044E" w:rsidRPr="006504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19BC3C6" w14:textId="77777777" w:rsidR="0065044E" w:rsidRPr="006504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(European Federation of Finance House Associations), zrzeszającej instytucje związane z rynkiem kredytu konsumenckiego w Europie oraz FENCA (Federation of European National Collection Associations), która reprezentuje interesy sektora zarządzania wierzytelnościami w Europie.</w:t>
      </w:r>
    </w:p>
    <w:p w14:paraId="7FB268D4" w14:textId="77777777" w:rsidR="0065044E" w:rsidRPr="006504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A6C8E6A" w14:textId="77777777" w:rsidR="0065044E" w:rsidRPr="006504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ZPF ma w swoim dorobku badawczym kilkaset raportów branżowych. Jest też organizatorem kongresów, webinarów i innych inicjatyw dla branży finansowej.</w:t>
      </w:r>
    </w:p>
    <w:p w14:paraId="31A06D06" w14:textId="77777777" w:rsidR="0065044E" w:rsidRPr="0065044E" w:rsidRDefault="0065044E" w:rsidP="0065044E">
      <w:pPr>
        <w:jc w:val="both"/>
        <w:rPr>
          <w:rFonts w:ascii="Cambria" w:hAnsi="Cambria"/>
          <w:sz w:val="18"/>
          <w:szCs w:val="18"/>
        </w:rPr>
      </w:pPr>
    </w:p>
    <w:p w14:paraId="72834409" w14:textId="43D74EF7" w:rsidR="0065044E" w:rsidRPr="0065044E" w:rsidRDefault="0065044E" w:rsidP="0065044E">
      <w:pPr>
        <w:jc w:val="both"/>
        <w:rPr>
          <w:rFonts w:ascii="Cambria" w:hAnsi="Cambria"/>
          <w:b/>
          <w:color w:val="000090"/>
          <w:sz w:val="18"/>
          <w:szCs w:val="18"/>
        </w:rPr>
      </w:pPr>
      <w:r w:rsidRPr="0065044E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28938FE2" wp14:editId="1510E2BE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611109592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60AB3" w14:textId="77777777" w:rsidR="0065044E" w:rsidRPr="0065044E" w:rsidRDefault="0065044E" w:rsidP="0065044E">
      <w:pPr>
        <w:jc w:val="both"/>
        <w:rPr>
          <w:rStyle w:val="Hipercze"/>
          <w:rFonts w:ascii="Cambria" w:eastAsiaTheme="majorEastAsia" w:hAnsi="Cambria"/>
          <w:sz w:val="18"/>
          <w:szCs w:val="18"/>
        </w:rPr>
      </w:pPr>
      <w:hyperlink r:id="rId11" w:history="1">
        <w:r w:rsidRPr="0065044E">
          <w:rPr>
            <w:rStyle w:val="Hipercze"/>
            <w:rFonts w:ascii="Cambria" w:eastAsiaTheme="majorEastAsia" w:hAnsi="Cambria"/>
            <w:sz w:val="18"/>
            <w:szCs w:val="18"/>
          </w:rPr>
          <w:t>http://www.linkedin.com/company/zpf</w:t>
        </w:r>
      </w:hyperlink>
    </w:p>
    <w:p w14:paraId="1DC618FF" w14:textId="77777777" w:rsidR="006F342F" w:rsidRDefault="006F342F" w:rsidP="00E319EA">
      <w:pPr>
        <w:spacing w:line="276" w:lineRule="auto"/>
        <w:jc w:val="both"/>
        <w:rPr>
          <w:rFonts w:ascii="Cambria" w:hAnsi="Cambria" w:cs="Calibri"/>
          <w:iCs/>
          <w:color w:val="auto"/>
          <w:spacing w:val="-2"/>
          <w:sz w:val="18"/>
          <w:szCs w:val="18"/>
        </w:rPr>
      </w:pPr>
    </w:p>
    <w:p w14:paraId="17BC34E6" w14:textId="77777777" w:rsidR="0065044E" w:rsidRDefault="0065044E" w:rsidP="00E319EA">
      <w:pPr>
        <w:spacing w:line="276" w:lineRule="auto"/>
        <w:jc w:val="both"/>
        <w:rPr>
          <w:rFonts w:ascii="Cambria" w:hAnsi="Cambria" w:cs="Calibri"/>
          <w:iCs/>
          <w:color w:val="auto"/>
          <w:spacing w:val="-2"/>
          <w:sz w:val="18"/>
          <w:szCs w:val="18"/>
        </w:rPr>
      </w:pPr>
    </w:p>
    <w:p w14:paraId="5C3CFD44" w14:textId="77777777" w:rsidR="0065044E" w:rsidRDefault="0065044E" w:rsidP="00E319EA">
      <w:pPr>
        <w:spacing w:line="276" w:lineRule="auto"/>
        <w:jc w:val="both"/>
        <w:rPr>
          <w:rFonts w:ascii="Cambria" w:hAnsi="Cambria" w:cs="Calibri"/>
          <w:iCs/>
          <w:color w:val="auto"/>
          <w:spacing w:val="-2"/>
          <w:sz w:val="18"/>
          <w:szCs w:val="18"/>
        </w:rPr>
      </w:pPr>
    </w:p>
    <w:p w14:paraId="14F78A9B" w14:textId="4F7C2505" w:rsidR="006F342F" w:rsidRPr="0065044E" w:rsidRDefault="006F342F" w:rsidP="00E319EA">
      <w:pPr>
        <w:jc w:val="both"/>
        <w:rPr>
          <w:rStyle w:val="Hipercze"/>
          <w:rFonts w:ascii="Cambria" w:hAnsi="Cambria" w:cs="Arial"/>
          <w:b/>
          <w:color w:val="000090"/>
          <w:sz w:val="18"/>
          <w:szCs w:val="18"/>
          <w:u w:val="none"/>
        </w:rPr>
      </w:pPr>
    </w:p>
    <w:p w14:paraId="778D21EA" w14:textId="77777777" w:rsidR="006F342F" w:rsidRPr="00A80EE7" w:rsidRDefault="006F342F" w:rsidP="00E319EA">
      <w:pPr>
        <w:jc w:val="both"/>
        <w:rPr>
          <w:rStyle w:val="Hipercze"/>
          <w:rFonts w:ascii="Cambria" w:hAnsi="Cambria"/>
          <w:sz w:val="18"/>
          <w:szCs w:val="18"/>
        </w:rPr>
      </w:pPr>
    </w:p>
    <w:p w14:paraId="7C5B0464" w14:textId="77777777" w:rsidR="006F342F" w:rsidRPr="00A80EE7" w:rsidRDefault="006F342F" w:rsidP="00E319EA">
      <w:pPr>
        <w:jc w:val="both"/>
        <w:rPr>
          <w:rFonts w:ascii="Cambria" w:hAnsi="Cambria"/>
          <w:iCs/>
          <w:color w:val="auto"/>
          <w:spacing w:val="-2"/>
          <w:sz w:val="18"/>
          <w:szCs w:val="18"/>
        </w:rPr>
      </w:pPr>
      <w:r w:rsidRPr="00A80EE7">
        <w:rPr>
          <w:rFonts w:ascii="Cambria" w:hAnsi="Cambria"/>
          <w:noProof/>
          <w:sz w:val="18"/>
          <w:szCs w:val="18"/>
        </w:rPr>
        <w:drawing>
          <wp:inline distT="0" distB="0" distL="0" distR="0" wp14:anchorId="207A1346" wp14:editId="5145C27F">
            <wp:extent cx="2369820" cy="601980"/>
            <wp:effectExtent l="0" t="0" r="0" b="7620"/>
            <wp:docPr id="1170994824" name="Obraz 4" descr="Obraz zawierający Grafika, zrzut ekranu, projekt graficzny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94824" name="Obraz 4" descr="Obraz zawierający Grafika, zrzut ekranu, projekt graficzny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9628" w14:textId="77777777" w:rsidR="00047E3C" w:rsidRPr="006F342F" w:rsidRDefault="00047E3C" w:rsidP="00E319EA">
      <w:pPr>
        <w:jc w:val="both"/>
        <w:rPr>
          <w:rFonts w:ascii="Cambria" w:hAnsi="Cambria"/>
          <w:sz w:val="21"/>
          <w:szCs w:val="21"/>
        </w:rPr>
      </w:pPr>
    </w:p>
    <w:sectPr w:rsidR="00047E3C" w:rsidRPr="006F342F" w:rsidSect="006F342F">
      <w:headerReference w:type="default" r:id="rId13"/>
      <w:footerReference w:type="default" r:id="rId14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4293" w14:textId="77777777" w:rsidR="00786875" w:rsidRDefault="00786875">
      <w:r>
        <w:separator/>
      </w:r>
    </w:p>
  </w:endnote>
  <w:endnote w:type="continuationSeparator" w:id="0">
    <w:p w14:paraId="55118B02" w14:textId="77777777" w:rsidR="00786875" w:rsidRDefault="0078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2FBD410" w14:textId="77777777" w:rsidR="006F342F" w:rsidRPr="001A0714" w:rsidRDefault="006F342F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A0714"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B45800B" wp14:editId="544DF139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A8B4" w14:textId="77777777" w:rsidR="00786875" w:rsidRDefault="00786875">
      <w:r>
        <w:separator/>
      </w:r>
    </w:p>
  </w:footnote>
  <w:footnote w:type="continuationSeparator" w:id="0">
    <w:p w14:paraId="3F839C93" w14:textId="77777777" w:rsidR="00786875" w:rsidRDefault="0078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9BAF" w14:textId="77777777" w:rsidR="006F342F" w:rsidRPr="001A0714" w:rsidRDefault="006F342F">
    <w:pPr>
      <w:pStyle w:val="Nagwek"/>
    </w:pPr>
    <w:r w:rsidRPr="001A0714">
      <w:rPr>
        <w:rFonts w:asciiTheme="minorHAnsi" w:hAnsiTheme="minorHAnsi"/>
        <w:noProof/>
        <w:color w:val="1C2442"/>
      </w:rPr>
      <w:drawing>
        <wp:inline distT="0" distB="0" distL="0" distR="0" wp14:anchorId="69AEBC12" wp14:editId="6F71FCCA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72"/>
    <w:rsid w:val="00002253"/>
    <w:rsid w:val="00021A13"/>
    <w:rsid w:val="00046861"/>
    <w:rsid w:val="00047E3C"/>
    <w:rsid w:val="00071F3A"/>
    <w:rsid w:val="00077387"/>
    <w:rsid w:val="00087B2C"/>
    <w:rsid w:val="00091189"/>
    <w:rsid w:val="000A2B7B"/>
    <w:rsid w:val="000C3DB7"/>
    <w:rsid w:val="000D19B0"/>
    <w:rsid w:val="000E1C75"/>
    <w:rsid w:val="000E7CAC"/>
    <w:rsid w:val="0010471C"/>
    <w:rsid w:val="0012371C"/>
    <w:rsid w:val="00133DB5"/>
    <w:rsid w:val="001A22CE"/>
    <w:rsid w:val="001A7A1E"/>
    <w:rsid w:val="001D1F6F"/>
    <w:rsid w:val="001E0126"/>
    <w:rsid w:val="00202A6A"/>
    <w:rsid w:val="00211021"/>
    <w:rsid w:val="00222BCB"/>
    <w:rsid w:val="00223566"/>
    <w:rsid w:val="00273D81"/>
    <w:rsid w:val="002754A4"/>
    <w:rsid w:val="00277308"/>
    <w:rsid w:val="00284282"/>
    <w:rsid w:val="00287850"/>
    <w:rsid w:val="00290404"/>
    <w:rsid w:val="00293826"/>
    <w:rsid w:val="002979D1"/>
    <w:rsid w:val="002A45E3"/>
    <w:rsid w:val="002B3C65"/>
    <w:rsid w:val="002B4CE2"/>
    <w:rsid w:val="002B7A4C"/>
    <w:rsid w:val="002C6DB1"/>
    <w:rsid w:val="002D2BCF"/>
    <w:rsid w:val="003106CA"/>
    <w:rsid w:val="00317C37"/>
    <w:rsid w:val="00331404"/>
    <w:rsid w:val="0034516A"/>
    <w:rsid w:val="00345891"/>
    <w:rsid w:val="00345D23"/>
    <w:rsid w:val="0035082B"/>
    <w:rsid w:val="00366864"/>
    <w:rsid w:val="00373AB7"/>
    <w:rsid w:val="00380DFD"/>
    <w:rsid w:val="003833A9"/>
    <w:rsid w:val="0039407C"/>
    <w:rsid w:val="003B18C4"/>
    <w:rsid w:val="003B6BFD"/>
    <w:rsid w:val="003C600B"/>
    <w:rsid w:val="003D37D9"/>
    <w:rsid w:val="00402837"/>
    <w:rsid w:val="00403C68"/>
    <w:rsid w:val="00417BA6"/>
    <w:rsid w:val="00421374"/>
    <w:rsid w:val="00432028"/>
    <w:rsid w:val="0047698C"/>
    <w:rsid w:val="00482E07"/>
    <w:rsid w:val="00494BC3"/>
    <w:rsid w:val="004A0D1A"/>
    <w:rsid w:val="004C65E9"/>
    <w:rsid w:val="004D21D2"/>
    <w:rsid w:val="004E1153"/>
    <w:rsid w:val="004E3305"/>
    <w:rsid w:val="004E4320"/>
    <w:rsid w:val="004E5551"/>
    <w:rsid w:val="004F29DC"/>
    <w:rsid w:val="00503F41"/>
    <w:rsid w:val="0051584F"/>
    <w:rsid w:val="00516A99"/>
    <w:rsid w:val="00524787"/>
    <w:rsid w:val="0055151D"/>
    <w:rsid w:val="00582A18"/>
    <w:rsid w:val="0059099C"/>
    <w:rsid w:val="005958A0"/>
    <w:rsid w:val="005B706F"/>
    <w:rsid w:val="005E75D0"/>
    <w:rsid w:val="0060096A"/>
    <w:rsid w:val="006026DC"/>
    <w:rsid w:val="00621466"/>
    <w:rsid w:val="006215EA"/>
    <w:rsid w:val="0064104D"/>
    <w:rsid w:val="00641109"/>
    <w:rsid w:val="00642D09"/>
    <w:rsid w:val="0065044E"/>
    <w:rsid w:val="00653584"/>
    <w:rsid w:val="0066746D"/>
    <w:rsid w:val="0067127E"/>
    <w:rsid w:val="00674383"/>
    <w:rsid w:val="00684210"/>
    <w:rsid w:val="00692840"/>
    <w:rsid w:val="006C7409"/>
    <w:rsid w:val="006F342F"/>
    <w:rsid w:val="00712641"/>
    <w:rsid w:val="007132F2"/>
    <w:rsid w:val="00714EBB"/>
    <w:rsid w:val="00726FC7"/>
    <w:rsid w:val="007278FF"/>
    <w:rsid w:val="00735AB0"/>
    <w:rsid w:val="00740778"/>
    <w:rsid w:val="007456CE"/>
    <w:rsid w:val="007712B5"/>
    <w:rsid w:val="00777671"/>
    <w:rsid w:val="00786875"/>
    <w:rsid w:val="00795DA0"/>
    <w:rsid w:val="00795E50"/>
    <w:rsid w:val="007A2912"/>
    <w:rsid w:val="007C4559"/>
    <w:rsid w:val="008035D2"/>
    <w:rsid w:val="00823614"/>
    <w:rsid w:val="00836B87"/>
    <w:rsid w:val="008467E6"/>
    <w:rsid w:val="008468BE"/>
    <w:rsid w:val="00862BCC"/>
    <w:rsid w:val="0087078E"/>
    <w:rsid w:val="00872BBF"/>
    <w:rsid w:val="00876647"/>
    <w:rsid w:val="00886E46"/>
    <w:rsid w:val="00893FAB"/>
    <w:rsid w:val="0089694A"/>
    <w:rsid w:val="008D06D3"/>
    <w:rsid w:val="008D5BBD"/>
    <w:rsid w:val="008D72B8"/>
    <w:rsid w:val="008F2115"/>
    <w:rsid w:val="00925D8F"/>
    <w:rsid w:val="00927DDA"/>
    <w:rsid w:val="0093375F"/>
    <w:rsid w:val="00940B47"/>
    <w:rsid w:val="0097020C"/>
    <w:rsid w:val="009A3330"/>
    <w:rsid w:val="009A5DF1"/>
    <w:rsid w:val="009B082A"/>
    <w:rsid w:val="009B7871"/>
    <w:rsid w:val="009C4D8B"/>
    <w:rsid w:val="009C511E"/>
    <w:rsid w:val="009C5C23"/>
    <w:rsid w:val="009C650C"/>
    <w:rsid w:val="009D3028"/>
    <w:rsid w:val="009E2F6A"/>
    <w:rsid w:val="009E3209"/>
    <w:rsid w:val="009E78BF"/>
    <w:rsid w:val="009F1B89"/>
    <w:rsid w:val="009F1CD9"/>
    <w:rsid w:val="00A1051E"/>
    <w:rsid w:val="00A424BC"/>
    <w:rsid w:val="00A533BE"/>
    <w:rsid w:val="00A55087"/>
    <w:rsid w:val="00A71DF3"/>
    <w:rsid w:val="00A80EE7"/>
    <w:rsid w:val="00A82BF2"/>
    <w:rsid w:val="00AC5271"/>
    <w:rsid w:val="00AC572E"/>
    <w:rsid w:val="00AD2BF7"/>
    <w:rsid w:val="00AD49DB"/>
    <w:rsid w:val="00AE1381"/>
    <w:rsid w:val="00B05512"/>
    <w:rsid w:val="00B11D70"/>
    <w:rsid w:val="00B12BF3"/>
    <w:rsid w:val="00B31DA5"/>
    <w:rsid w:val="00B5181D"/>
    <w:rsid w:val="00BA56BF"/>
    <w:rsid w:val="00BB332F"/>
    <w:rsid w:val="00BC3576"/>
    <w:rsid w:val="00BE0E0C"/>
    <w:rsid w:val="00BF534E"/>
    <w:rsid w:val="00BF6788"/>
    <w:rsid w:val="00BF7182"/>
    <w:rsid w:val="00C07617"/>
    <w:rsid w:val="00C17E23"/>
    <w:rsid w:val="00C37831"/>
    <w:rsid w:val="00C52D81"/>
    <w:rsid w:val="00C53807"/>
    <w:rsid w:val="00C814FB"/>
    <w:rsid w:val="00C85A3F"/>
    <w:rsid w:val="00CB16E8"/>
    <w:rsid w:val="00CB62A6"/>
    <w:rsid w:val="00CC207D"/>
    <w:rsid w:val="00CC7972"/>
    <w:rsid w:val="00CD5274"/>
    <w:rsid w:val="00CF1903"/>
    <w:rsid w:val="00CF27FA"/>
    <w:rsid w:val="00D21A8A"/>
    <w:rsid w:val="00D4749F"/>
    <w:rsid w:val="00D52C85"/>
    <w:rsid w:val="00D85409"/>
    <w:rsid w:val="00D87ABB"/>
    <w:rsid w:val="00DA19B3"/>
    <w:rsid w:val="00DB2915"/>
    <w:rsid w:val="00DD4014"/>
    <w:rsid w:val="00DD4922"/>
    <w:rsid w:val="00DE172B"/>
    <w:rsid w:val="00DE19F4"/>
    <w:rsid w:val="00DF2F24"/>
    <w:rsid w:val="00E1770D"/>
    <w:rsid w:val="00E20C5B"/>
    <w:rsid w:val="00E20D8C"/>
    <w:rsid w:val="00E319EA"/>
    <w:rsid w:val="00E32EF3"/>
    <w:rsid w:val="00E62784"/>
    <w:rsid w:val="00E87E98"/>
    <w:rsid w:val="00EB3176"/>
    <w:rsid w:val="00EB5A8F"/>
    <w:rsid w:val="00EC65D3"/>
    <w:rsid w:val="00EC6A52"/>
    <w:rsid w:val="00EC77FD"/>
    <w:rsid w:val="00ED4AEF"/>
    <w:rsid w:val="00ED586C"/>
    <w:rsid w:val="00F070F9"/>
    <w:rsid w:val="00F077A0"/>
    <w:rsid w:val="00F15DF2"/>
    <w:rsid w:val="00F17973"/>
    <w:rsid w:val="00F26DD7"/>
    <w:rsid w:val="00F32614"/>
    <w:rsid w:val="00F34637"/>
    <w:rsid w:val="00FC4C41"/>
    <w:rsid w:val="00FC7941"/>
    <w:rsid w:val="00FD330D"/>
    <w:rsid w:val="00FD6C34"/>
    <w:rsid w:val="00FD79B1"/>
    <w:rsid w:val="00FE4448"/>
    <w:rsid w:val="00FE6BC4"/>
    <w:rsid w:val="00FF60A6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5263"/>
  <w15:chartTrackingRefBased/>
  <w15:docId w15:val="{76A52E5D-0D3D-410C-9CF5-C6D1824A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42F"/>
    <w:pPr>
      <w:spacing w:after="0" w:line="240" w:lineRule="auto"/>
    </w:pPr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9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9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9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9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9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9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9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9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9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9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9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9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9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9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9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97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9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9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7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9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7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F3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342F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6F3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42F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Hipercze">
    <w:name w:val="Hyperlink"/>
    <w:semiHidden/>
    <w:rsid w:val="006F342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319EA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61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614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614"/>
    <w:rPr>
      <w:rFonts w:ascii="Trebuchet MS" w:eastAsia="Times New Roman" w:hAnsi="Trebuchet MS" w:cs="Arial"/>
      <w:b/>
      <w:bCs/>
      <w:color w:val="000000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23566"/>
    <w:pPr>
      <w:spacing w:after="0" w:line="240" w:lineRule="auto"/>
    </w:pPr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91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A5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A52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6A52"/>
    <w:rPr>
      <w:vertAlign w:val="superscript"/>
    </w:rPr>
  </w:style>
  <w:style w:type="table" w:styleId="Tabela-Siatka">
    <w:name w:val="Table Grid"/>
    <w:basedOn w:val="Standardowy"/>
    <w:rsid w:val="007A29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company/zp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zpf.pl/sytuacja-na-rynku-consumer-financ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3A51-9BDB-44B8-A38A-5E7AFED6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3</Pages>
  <Words>769</Words>
  <Characters>4903</Characters>
  <Application>Microsoft Office Word</Application>
  <DocSecurity>0</DocSecurity>
  <Lines>57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Frąckowiak</dc:creator>
  <cp:keywords/>
  <dc:description/>
  <cp:lastModifiedBy>Agnieszka Frąckowiak</cp:lastModifiedBy>
  <cp:revision>7</cp:revision>
  <cp:lastPrinted>2026-06-15T08:40:00Z</cp:lastPrinted>
  <dcterms:created xsi:type="dcterms:W3CDTF">2026-06-18T10:57:00Z</dcterms:created>
  <dcterms:modified xsi:type="dcterms:W3CDTF">2026-06-24T05:54:00Z</dcterms:modified>
</cp:coreProperties>
</file>