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3573" w14:textId="77777777" w:rsidR="005D5EB9" w:rsidRDefault="005D5EB9" w:rsidP="005D5EB9">
      <w:pPr>
        <w:jc w:val="center"/>
        <w:rPr>
          <w:b/>
          <w:sz w:val="28"/>
          <w:szCs w:val="28"/>
        </w:rPr>
      </w:pPr>
      <w:r>
        <w:rPr>
          <w:b/>
          <w:sz w:val="28"/>
          <w:szCs w:val="28"/>
        </w:rPr>
        <w:t>NEWSLETTER POŻYCZKOWY BIK</w:t>
      </w:r>
    </w:p>
    <w:p w14:paraId="70F74F6C" w14:textId="1B532970" w:rsidR="005D5EB9" w:rsidRPr="007D38C0" w:rsidRDefault="005D5EB9" w:rsidP="0025240C">
      <w:pPr>
        <w:ind w:left="-567"/>
        <w:rPr>
          <w:b/>
          <w:sz w:val="20"/>
          <w:szCs w:val="20"/>
        </w:rPr>
      </w:pPr>
      <w:r w:rsidRPr="007D38C0">
        <w:rPr>
          <w:b/>
          <w:sz w:val="20"/>
          <w:szCs w:val="20"/>
        </w:rPr>
        <w:t>Sprzedaż pożyczek dla klientów indywidualnych przez firmy pożyczkowe</w:t>
      </w:r>
      <w:r w:rsidR="00E415FC">
        <w:rPr>
          <w:b/>
          <w:sz w:val="20"/>
          <w:szCs w:val="20"/>
        </w:rPr>
        <w:t xml:space="preserve"> (bez </w:t>
      </w:r>
      <w:r w:rsidR="009C572F">
        <w:rPr>
          <w:b/>
          <w:sz w:val="20"/>
          <w:szCs w:val="20"/>
        </w:rPr>
        <w:t xml:space="preserve">transakcji </w:t>
      </w:r>
      <w:r w:rsidR="00E415FC">
        <w:rPr>
          <w:b/>
          <w:sz w:val="20"/>
          <w:szCs w:val="20"/>
        </w:rPr>
        <w:t>BNPL)</w:t>
      </w:r>
      <w:r w:rsidR="00E415FC">
        <w:rPr>
          <w:rStyle w:val="Odwoanieprzypisudolnego"/>
          <w:b/>
          <w:sz w:val="20"/>
          <w:szCs w:val="20"/>
        </w:rPr>
        <w:footnoteReference w:id="1"/>
      </w:r>
    </w:p>
    <w:p w14:paraId="4AF9E2D8" w14:textId="7771AFBD" w:rsidR="00CD1491" w:rsidRDefault="00A1455E" w:rsidP="0050706B">
      <w:pPr>
        <w:pStyle w:val="Akapitzlist"/>
        <w:tabs>
          <w:tab w:val="left" w:pos="284"/>
        </w:tabs>
        <w:spacing w:before="120" w:after="0"/>
        <w:ind w:left="-709"/>
        <w:jc w:val="both"/>
        <w:rPr>
          <w:sz w:val="18"/>
          <w:szCs w:val="18"/>
        </w:rPr>
      </w:pPr>
      <w:r w:rsidRPr="00A1455E">
        <w:rPr>
          <w:sz w:val="18"/>
          <w:szCs w:val="18"/>
        </w:rPr>
        <w:t xml:space="preserve">Polski rynek pożyczek </w:t>
      </w:r>
      <w:proofErr w:type="spellStart"/>
      <w:r w:rsidRPr="00A1455E">
        <w:rPr>
          <w:sz w:val="18"/>
          <w:szCs w:val="18"/>
        </w:rPr>
        <w:t>pozabankowych</w:t>
      </w:r>
      <w:proofErr w:type="spellEnd"/>
      <w:r w:rsidRPr="00A1455E">
        <w:rPr>
          <w:sz w:val="18"/>
          <w:szCs w:val="18"/>
        </w:rPr>
        <w:t xml:space="preserve"> opiera się na dwóch głównych segmentach produktowych posiadających swoje specyficzne cechy. Pierwszym są pożyczki gotówkowe, które wypłacane są bezpośrednio na konto pożyczkobiorcy i mogą być przez niego wykorzystywane na dowolny cel, w tym wsparcie budżetu domowego lub na inne wydatki konsumpcyjne. W segmencie tym można wyróżnić dwie kategorie pożyczek gotówkowych. Pożyczki gotówkowe udzielane na niskie kwoty i krótkie okresy (do 60 dni) oraz na wyższe kwoty i dłuższe, często kilkuletnie okresy (pow. 60 dni). </w:t>
      </w:r>
    </w:p>
    <w:p w14:paraId="12C34D30" w14:textId="77777777" w:rsidR="00CD1491" w:rsidRDefault="00CD1491" w:rsidP="0050706B">
      <w:pPr>
        <w:pStyle w:val="Akapitzlist"/>
        <w:tabs>
          <w:tab w:val="left" w:pos="284"/>
        </w:tabs>
        <w:spacing w:before="120" w:after="0"/>
        <w:ind w:left="-709"/>
        <w:jc w:val="both"/>
        <w:rPr>
          <w:sz w:val="18"/>
          <w:szCs w:val="18"/>
        </w:rPr>
      </w:pPr>
    </w:p>
    <w:p w14:paraId="5F4E4220" w14:textId="16493D59" w:rsidR="00CD1491" w:rsidRPr="00CD1491" w:rsidRDefault="00CD1491" w:rsidP="0050706B">
      <w:pPr>
        <w:pStyle w:val="Akapitzlist"/>
        <w:tabs>
          <w:tab w:val="left" w:pos="284"/>
        </w:tabs>
        <w:spacing w:before="120" w:after="0"/>
        <w:ind w:left="-709"/>
        <w:jc w:val="both"/>
        <w:rPr>
          <w:b/>
          <w:bCs/>
          <w:sz w:val="18"/>
          <w:szCs w:val="18"/>
        </w:rPr>
      </w:pPr>
      <w:r w:rsidRPr="00CD1491">
        <w:rPr>
          <w:b/>
          <w:bCs/>
          <w:sz w:val="18"/>
          <w:szCs w:val="18"/>
        </w:rPr>
        <w:t>Segment pożyczek gotówkowych</w:t>
      </w:r>
    </w:p>
    <w:p w14:paraId="4CE05EFF" w14:textId="6F4ED838" w:rsidR="00CD1491" w:rsidRDefault="00E05113" w:rsidP="0050706B">
      <w:pPr>
        <w:pStyle w:val="Akapitzlist"/>
        <w:tabs>
          <w:tab w:val="left" w:pos="284"/>
        </w:tabs>
        <w:spacing w:before="120" w:after="0"/>
        <w:ind w:left="-709"/>
        <w:jc w:val="both"/>
        <w:rPr>
          <w:sz w:val="18"/>
          <w:szCs w:val="18"/>
        </w:rPr>
      </w:pPr>
      <w:r>
        <w:rPr>
          <w:sz w:val="18"/>
          <w:szCs w:val="18"/>
        </w:rPr>
        <w:t>Majowa</w:t>
      </w:r>
      <w:r w:rsidR="00CD1491" w:rsidRPr="00A1455E">
        <w:rPr>
          <w:sz w:val="18"/>
          <w:szCs w:val="18"/>
        </w:rPr>
        <w:t xml:space="preserve"> wartość sprzedaży </w:t>
      </w:r>
      <w:r w:rsidR="00CD1491" w:rsidRPr="00CD1491">
        <w:rPr>
          <w:b/>
          <w:bCs/>
          <w:sz w:val="18"/>
          <w:szCs w:val="18"/>
        </w:rPr>
        <w:t>pożyczek gotówkowych do 60 dni</w:t>
      </w:r>
      <w:r w:rsidR="00CD1491" w:rsidRPr="00A1455E">
        <w:rPr>
          <w:sz w:val="18"/>
          <w:szCs w:val="18"/>
        </w:rPr>
        <w:t xml:space="preserve"> to 1,</w:t>
      </w:r>
      <w:r w:rsidR="00E9089C">
        <w:rPr>
          <w:sz w:val="18"/>
          <w:szCs w:val="18"/>
        </w:rPr>
        <w:t>2</w:t>
      </w:r>
      <w:r>
        <w:rPr>
          <w:sz w:val="18"/>
          <w:szCs w:val="18"/>
        </w:rPr>
        <w:t>6</w:t>
      </w:r>
      <w:r w:rsidR="00E9089C">
        <w:rPr>
          <w:sz w:val="18"/>
          <w:szCs w:val="18"/>
        </w:rPr>
        <w:t>8</w:t>
      </w:r>
      <w:r w:rsidR="00CD1491" w:rsidRPr="00A1455E">
        <w:rPr>
          <w:sz w:val="18"/>
          <w:szCs w:val="18"/>
        </w:rPr>
        <w:t xml:space="preserve"> mld zł i była ona wyższa o +</w:t>
      </w:r>
      <w:r w:rsidR="00E9089C">
        <w:rPr>
          <w:sz w:val="18"/>
          <w:szCs w:val="18"/>
        </w:rPr>
        <w:t>1</w:t>
      </w:r>
      <w:r>
        <w:rPr>
          <w:sz w:val="18"/>
          <w:szCs w:val="18"/>
        </w:rPr>
        <w:t>2</w:t>
      </w:r>
      <w:r w:rsidR="00CD1491" w:rsidRPr="00A1455E">
        <w:rPr>
          <w:sz w:val="18"/>
          <w:szCs w:val="18"/>
        </w:rPr>
        <w:t>,</w:t>
      </w:r>
      <w:r>
        <w:rPr>
          <w:sz w:val="18"/>
          <w:szCs w:val="18"/>
        </w:rPr>
        <w:t>4</w:t>
      </w:r>
      <w:r w:rsidR="00CD1491" w:rsidRPr="00A1455E">
        <w:rPr>
          <w:sz w:val="18"/>
          <w:szCs w:val="18"/>
        </w:rPr>
        <w:t xml:space="preserve">% r/r. W </w:t>
      </w:r>
      <w:r>
        <w:rPr>
          <w:sz w:val="18"/>
          <w:szCs w:val="18"/>
        </w:rPr>
        <w:t>maju</w:t>
      </w:r>
      <w:r w:rsidR="00CD1491" w:rsidRPr="00A1455E">
        <w:rPr>
          <w:sz w:val="18"/>
          <w:szCs w:val="18"/>
        </w:rPr>
        <w:t xml:space="preserve"> 202</w:t>
      </w:r>
      <w:r w:rsidR="00E9089C">
        <w:rPr>
          <w:sz w:val="18"/>
          <w:szCs w:val="18"/>
        </w:rPr>
        <w:t>6</w:t>
      </w:r>
      <w:r w:rsidR="00CD1491" w:rsidRPr="00A1455E">
        <w:rPr>
          <w:sz w:val="18"/>
          <w:szCs w:val="18"/>
        </w:rPr>
        <w:t xml:space="preserve"> r. zostało udzielonych 4</w:t>
      </w:r>
      <w:r>
        <w:rPr>
          <w:sz w:val="18"/>
          <w:szCs w:val="18"/>
        </w:rPr>
        <w:t>63</w:t>
      </w:r>
      <w:r w:rsidR="00CD1491" w:rsidRPr="00A1455E">
        <w:rPr>
          <w:sz w:val="18"/>
          <w:szCs w:val="18"/>
        </w:rPr>
        <w:t xml:space="preserve"> tys. pożyczek</w:t>
      </w:r>
      <w:r w:rsidR="004649A2">
        <w:rPr>
          <w:sz w:val="18"/>
          <w:szCs w:val="18"/>
        </w:rPr>
        <w:t xml:space="preserve">, czyli o </w:t>
      </w:r>
      <w:r>
        <w:rPr>
          <w:sz w:val="18"/>
          <w:szCs w:val="18"/>
        </w:rPr>
        <w:t>0</w:t>
      </w:r>
      <w:r w:rsidR="00CD1491" w:rsidRPr="00A1455E">
        <w:rPr>
          <w:sz w:val="18"/>
          <w:szCs w:val="18"/>
        </w:rPr>
        <w:t>,</w:t>
      </w:r>
      <w:r>
        <w:rPr>
          <w:sz w:val="18"/>
          <w:szCs w:val="18"/>
        </w:rPr>
        <w:t>6</w:t>
      </w:r>
      <w:r w:rsidR="00CD1491" w:rsidRPr="00A1455E">
        <w:rPr>
          <w:sz w:val="18"/>
          <w:szCs w:val="18"/>
        </w:rPr>
        <w:t>%</w:t>
      </w:r>
      <w:r w:rsidR="004649A2">
        <w:rPr>
          <w:sz w:val="18"/>
          <w:szCs w:val="18"/>
        </w:rPr>
        <w:t xml:space="preserve"> </w:t>
      </w:r>
      <w:r>
        <w:rPr>
          <w:sz w:val="18"/>
          <w:szCs w:val="18"/>
        </w:rPr>
        <w:t>mniej</w:t>
      </w:r>
      <w:r w:rsidR="004649A2">
        <w:rPr>
          <w:sz w:val="18"/>
          <w:szCs w:val="18"/>
        </w:rPr>
        <w:t xml:space="preserve"> r/r</w:t>
      </w:r>
      <w:r w:rsidR="00CD1491" w:rsidRPr="00A1455E">
        <w:rPr>
          <w:sz w:val="18"/>
          <w:szCs w:val="18"/>
        </w:rPr>
        <w:t xml:space="preserve">. Pożyczki </w:t>
      </w:r>
      <w:r w:rsidR="004649A2">
        <w:rPr>
          <w:sz w:val="18"/>
          <w:szCs w:val="18"/>
        </w:rPr>
        <w:t>te</w:t>
      </w:r>
      <w:r w:rsidR="00CD1491" w:rsidRPr="00A1455E">
        <w:rPr>
          <w:sz w:val="18"/>
          <w:szCs w:val="18"/>
        </w:rPr>
        <w:t xml:space="preserve"> stanowiły </w:t>
      </w:r>
      <w:r w:rsidR="00CD1491" w:rsidRPr="0041654F">
        <w:rPr>
          <w:sz w:val="18"/>
          <w:szCs w:val="18"/>
        </w:rPr>
        <w:t>7</w:t>
      </w:r>
      <w:r>
        <w:rPr>
          <w:sz w:val="18"/>
          <w:szCs w:val="18"/>
        </w:rPr>
        <w:t>0</w:t>
      </w:r>
      <w:r w:rsidR="00CD1491" w:rsidRPr="00A1455E">
        <w:rPr>
          <w:sz w:val="18"/>
          <w:szCs w:val="18"/>
        </w:rPr>
        <w:t xml:space="preserve">% wartości i </w:t>
      </w:r>
      <w:r w:rsidR="00CD1491" w:rsidRPr="0041654F">
        <w:rPr>
          <w:sz w:val="18"/>
          <w:szCs w:val="18"/>
        </w:rPr>
        <w:t>8</w:t>
      </w:r>
      <w:r>
        <w:rPr>
          <w:sz w:val="18"/>
          <w:szCs w:val="18"/>
        </w:rPr>
        <w:t>4,6</w:t>
      </w:r>
      <w:r w:rsidR="00CD1491" w:rsidRPr="00A1455E">
        <w:rPr>
          <w:sz w:val="18"/>
          <w:szCs w:val="18"/>
        </w:rPr>
        <w:t xml:space="preserve">% liczby </w:t>
      </w:r>
      <w:r w:rsidR="004649A2">
        <w:rPr>
          <w:sz w:val="18"/>
          <w:szCs w:val="18"/>
        </w:rPr>
        <w:t>przyznanych</w:t>
      </w:r>
      <w:r w:rsidR="00CD1491" w:rsidRPr="00A1455E">
        <w:rPr>
          <w:sz w:val="18"/>
          <w:szCs w:val="18"/>
        </w:rPr>
        <w:t xml:space="preserve"> w </w:t>
      </w:r>
      <w:r>
        <w:rPr>
          <w:sz w:val="18"/>
          <w:szCs w:val="18"/>
        </w:rPr>
        <w:t>maju</w:t>
      </w:r>
      <w:r w:rsidR="00CD1491" w:rsidRPr="00A1455E">
        <w:rPr>
          <w:sz w:val="18"/>
          <w:szCs w:val="18"/>
        </w:rPr>
        <w:t xml:space="preserve"> </w:t>
      </w:r>
      <w:r w:rsidR="004649A2">
        <w:rPr>
          <w:sz w:val="18"/>
          <w:szCs w:val="18"/>
        </w:rPr>
        <w:t>tego roku</w:t>
      </w:r>
      <w:r w:rsidR="00CD1491" w:rsidRPr="00A1455E">
        <w:rPr>
          <w:sz w:val="18"/>
          <w:szCs w:val="18"/>
        </w:rPr>
        <w:t xml:space="preserve"> pożyczek gotówkowych.</w:t>
      </w:r>
      <w:r w:rsidR="00CD1491">
        <w:rPr>
          <w:sz w:val="18"/>
          <w:szCs w:val="18"/>
        </w:rPr>
        <w:t xml:space="preserve"> </w:t>
      </w:r>
      <w:r w:rsidR="00A1455E" w:rsidRPr="00A1455E">
        <w:rPr>
          <w:sz w:val="18"/>
          <w:szCs w:val="18"/>
        </w:rPr>
        <w:t xml:space="preserve">Średnia wartość pożyczki gotówkowej do 60 dni wyniosła </w:t>
      </w:r>
      <w:r w:rsidR="00732D07">
        <w:rPr>
          <w:sz w:val="18"/>
          <w:szCs w:val="18"/>
        </w:rPr>
        <w:t>3</w:t>
      </w:r>
      <w:r w:rsidR="00A1455E" w:rsidRPr="00B676BF">
        <w:rPr>
          <w:sz w:val="18"/>
          <w:szCs w:val="18"/>
        </w:rPr>
        <w:t xml:space="preserve"> </w:t>
      </w:r>
      <w:r w:rsidR="00732D07">
        <w:rPr>
          <w:sz w:val="18"/>
          <w:szCs w:val="18"/>
        </w:rPr>
        <w:t>025</w:t>
      </w:r>
      <w:r w:rsidR="00A1455E" w:rsidRPr="0092377F">
        <w:rPr>
          <w:sz w:val="18"/>
          <w:szCs w:val="18"/>
        </w:rPr>
        <w:t xml:space="preserve"> zł</w:t>
      </w:r>
      <w:r w:rsidR="00A1455E" w:rsidRPr="00A1455E">
        <w:rPr>
          <w:sz w:val="18"/>
          <w:szCs w:val="18"/>
        </w:rPr>
        <w:t xml:space="preserve"> i była o </w:t>
      </w:r>
      <w:r w:rsidR="00A1455E" w:rsidRPr="00B676BF">
        <w:rPr>
          <w:sz w:val="18"/>
          <w:szCs w:val="18"/>
        </w:rPr>
        <w:t>1</w:t>
      </w:r>
      <w:r w:rsidR="00732D07">
        <w:rPr>
          <w:sz w:val="18"/>
          <w:szCs w:val="18"/>
        </w:rPr>
        <w:t>3</w:t>
      </w:r>
      <w:r w:rsidR="00B676BF" w:rsidRPr="00B676BF">
        <w:rPr>
          <w:sz w:val="18"/>
          <w:szCs w:val="18"/>
        </w:rPr>
        <w:t>,</w:t>
      </w:r>
      <w:r w:rsidR="00732D07">
        <w:rPr>
          <w:sz w:val="18"/>
          <w:szCs w:val="18"/>
        </w:rPr>
        <w:t>2</w:t>
      </w:r>
      <w:r w:rsidR="00A1455E" w:rsidRPr="00B676BF">
        <w:rPr>
          <w:sz w:val="18"/>
          <w:szCs w:val="18"/>
        </w:rPr>
        <w:t>%</w:t>
      </w:r>
      <w:r w:rsidR="00A1455E" w:rsidRPr="00A1455E">
        <w:rPr>
          <w:sz w:val="18"/>
          <w:szCs w:val="18"/>
        </w:rPr>
        <w:t xml:space="preserve"> wyższa od średniej kwoty udzielonej w </w:t>
      </w:r>
      <w:r w:rsidR="00732D07">
        <w:rPr>
          <w:sz w:val="18"/>
          <w:szCs w:val="18"/>
        </w:rPr>
        <w:t>maju</w:t>
      </w:r>
      <w:r w:rsidR="00A1455E" w:rsidRPr="00A1455E">
        <w:rPr>
          <w:sz w:val="18"/>
          <w:szCs w:val="18"/>
        </w:rPr>
        <w:t xml:space="preserve"> </w:t>
      </w:r>
      <w:r w:rsidR="004649A2">
        <w:rPr>
          <w:sz w:val="18"/>
          <w:szCs w:val="18"/>
        </w:rPr>
        <w:t>rok temu.</w:t>
      </w:r>
    </w:p>
    <w:p w14:paraId="7E915117" w14:textId="77777777" w:rsidR="00CD1491" w:rsidRDefault="00CD1491" w:rsidP="0050706B">
      <w:pPr>
        <w:pStyle w:val="Akapitzlist"/>
        <w:tabs>
          <w:tab w:val="left" w:pos="284"/>
        </w:tabs>
        <w:spacing w:before="120" w:after="0"/>
        <w:ind w:left="-709"/>
        <w:jc w:val="both"/>
        <w:rPr>
          <w:sz w:val="18"/>
          <w:szCs w:val="18"/>
        </w:rPr>
      </w:pPr>
    </w:p>
    <w:p w14:paraId="19665969" w14:textId="62E61B0A" w:rsidR="00A1455E" w:rsidRDefault="00A1455E" w:rsidP="0050706B">
      <w:pPr>
        <w:pStyle w:val="Akapitzlist"/>
        <w:tabs>
          <w:tab w:val="left" w:pos="284"/>
        </w:tabs>
        <w:spacing w:before="120" w:after="0"/>
        <w:ind w:left="-709"/>
        <w:jc w:val="both"/>
        <w:rPr>
          <w:sz w:val="18"/>
          <w:szCs w:val="18"/>
        </w:rPr>
      </w:pPr>
      <w:r w:rsidRPr="00A1455E">
        <w:rPr>
          <w:sz w:val="18"/>
          <w:szCs w:val="18"/>
        </w:rPr>
        <w:t xml:space="preserve">W </w:t>
      </w:r>
      <w:r w:rsidR="00E05113">
        <w:rPr>
          <w:sz w:val="18"/>
          <w:szCs w:val="18"/>
        </w:rPr>
        <w:t>maju</w:t>
      </w:r>
      <w:r w:rsidRPr="00A1455E">
        <w:rPr>
          <w:sz w:val="18"/>
          <w:szCs w:val="18"/>
        </w:rPr>
        <w:t xml:space="preserve"> 202</w:t>
      </w:r>
      <w:r w:rsidR="00E575C2">
        <w:rPr>
          <w:sz w:val="18"/>
          <w:szCs w:val="18"/>
        </w:rPr>
        <w:t>6</w:t>
      </w:r>
      <w:r w:rsidRPr="00A1455E">
        <w:rPr>
          <w:sz w:val="18"/>
          <w:szCs w:val="18"/>
        </w:rPr>
        <w:t xml:space="preserve"> r. </w:t>
      </w:r>
      <w:r w:rsidRPr="00CD1491">
        <w:rPr>
          <w:b/>
          <w:bCs/>
          <w:sz w:val="18"/>
          <w:szCs w:val="18"/>
        </w:rPr>
        <w:t>pożyczek gotówkowych na okres powyżej 60 dni</w:t>
      </w:r>
      <w:r w:rsidRPr="00A1455E">
        <w:rPr>
          <w:sz w:val="18"/>
          <w:szCs w:val="18"/>
        </w:rPr>
        <w:t xml:space="preserve"> udzielono </w:t>
      </w:r>
      <w:r w:rsidR="004649A2" w:rsidRPr="00A1455E">
        <w:rPr>
          <w:sz w:val="18"/>
          <w:szCs w:val="18"/>
        </w:rPr>
        <w:t xml:space="preserve">na wartość </w:t>
      </w:r>
      <w:r w:rsidR="00E05113">
        <w:rPr>
          <w:sz w:val="18"/>
          <w:szCs w:val="18"/>
        </w:rPr>
        <w:t>54</w:t>
      </w:r>
      <w:r w:rsidR="004649A2">
        <w:rPr>
          <w:sz w:val="18"/>
          <w:szCs w:val="18"/>
        </w:rPr>
        <w:t>2</w:t>
      </w:r>
      <w:r w:rsidR="004649A2" w:rsidRPr="00A1455E">
        <w:rPr>
          <w:sz w:val="18"/>
          <w:szCs w:val="18"/>
        </w:rPr>
        <w:t xml:space="preserve"> mln zł</w:t>
      </w:r>
      <w:r w:rsidR="004649A2">
        <w:rPr>
          <w:sz w:val="18"/>
          <w:szCs w:val="18"/>
        </w:rPr>
        <w:t xml:space="preserve"> </w:t>
      </w:r>
      <w:r w:rsidR="004649A2" w:rsidRPr="00A1455E">
        <w:rPr>
          <w:sz w:val="18"/>
          <w:szCs w:val="18"/>
        </w:rPr>
        <w:t>(+</w:t>
      </w:r>
      <w:r w:rsidR="004649A2">
        <w:rPr>
          <w:sz w:val="18"/>
          <w:szCs w:val="18"/>
        </w:rPr>
        <w:t>1</w:t>
      </w:r>
      <w:r w:rsidR="00E05113">
        <w:rPr>
          <w:sz w:val="18"/>
          <w:szCs w:val="18"/>
        </w:rPr>
        <w:t>6</w:t>
      </w:r>
      <w:r w:rsidR="004649A2" w:rsidRPr="00A1455E">
        <w:rPr>
          <w:sz w:val="18"/>
          <w:szCs w:val="18"/>
        </w:rPr>
        <w:t>,</w:t>
      </w:r>
      <w:r w:rsidR="00E05113">
        <w:rPr>
          <w:sz w:val="18"/>
          <w:szCs w:val="18"/>
        </w:rPr>
        <w:t>5</w:t>
      </w:r>
      <w:r w:rsidR="004649A2" w:rsidRPr="00A1455E">
        <w:rPr>
          <w:sz w:val="18"/>
          <w:szCs w:val="18"/>
        </w:rPr>
        <w:t>%</w:t>
      </w:r>
      <w:r w:rsidR="004649A2">
        <w:rPr>
          <w:sz w:val="18"/>
          <w:szCs w:val="18"/>
        </w:rPr>
        <w:t xml:space="preserve"> r/r</w:t>
      </w:r>
      <w:r w:rsidR="004649A2" w:rsidRPr="00A1455E">
        <w:rPr>
          <w:sz w:val="18"/>
          <w:szCs w:val="18"/>
        </w:rPr>
        <w:t>).</w:t>
      </w:r>
      <w:r w:rsidR="004649A2">
        <w:rPr>
          <w:sz w:val="18"/>
          <w:szCs w:val="18"/>
        </w:rPr>
        <w:t xml:space="preserve"> Przyznano ich </w:t>
      </w:r>
      <w:r w:rsidRPr="00A1455E">
        <w:rPr>
          <w:sz w:val="18"/>
          <w:szCs w:val="18"/>
        </w:rPr>
        <w:t xml:space="preserve">łącznie </w:t>
      </w:r>
      <w:r w:rsidR="00E05113">
        <w:rPr>
          <w:sz w:val="18"/>
          <w:szCs w:val="18"/>
        </w:rPr>
        <w:t>84</w:t>
      </w:r>
      <w:r w:rsidRPr="00A1455E">
        <w:rPr>
          <w:sz w:val="18"/>
          <w:szCs w:val="18"/>
        </w:rPr>
        <w:t xml:space="preserve"> tys. szt.</w:t>
      </w:r>
      <w:r w:rsidR="004649A2">
        <w:rPr>
          <w:sz w:val="18"/>
          <w:szCs w:val="18"/>
        </w:rPr>
        <w:t>, co w</w:t>
      </w:r>
      <w:r w:rsidRPr="00A1455E">
        <w:rPr>
          <w:sz w:val="18"/>
          <w:szCs w:val="18"/>
        </w:rPr>
        <w:t xml:space="preserve"> porównaniu z </w:t>
      </w:r>
      <w:r w:rsidR="00E05113">
        <w:rPr>
          <w:sz w:val="18"/>
          <w:szCs w:val="18"/>
        </w:rPr>
        <w:t>majem</w:t>
      </w:r>
      <w:r w:rsidRPr="00A1455E">
        <w:rPr>
          <w:sz w:val="18"/>
          <w:szCs w:val="18"/>
        </w:rPr>
        <w:t xml:space="preserve"> 202</w:t>
      </w:r>
      <w:r w:rsidR="00E575C2">
        <w:rPr>
          <w:sz w:val="18"/>
          <w:szCs w:val="18"/>
        </w:rPr>
        <w:t>5</w:t>
      </w:r>
      <w:r w:rsidRPr="00A1455E">
        <w:rPr>
          <w:sz w:val="18"/>
          <w:szCs w:val="18"/>
        </w:rPr>
        <w:t xml:space="preserve"> r. oznacza </w:t>
      </w:r>
      <w:r w:rsidR="00D23A6A">
        <w:rPr>
          <w:sz w:val="18"/>
          <w:szCs w:val="18"/>
        </w:rPr>
        <w:t>wzrost</w:t>
      </w:r>
      <w:r w:rsidRPr="00A1455E">
        <w:rPr>
          <w:sz w:val="18"/>
          <w:szCs w:val="18"/>
        </w:rPr>
        <w:t xml:space="preserve"> o </w:t>
      </w:r>
      <w:r w:rsidR="00D23A6A">
        <w:rPr>
          <w:sz w:val="18"/>
          <w:szCs w:val="18"/>
        </w:rPr>
        <w:t>6</w:t>
      </w:r>
      <w:r w:rsidRPr="00A1455E">
        <w:rPr>
          <w:sz w:val="18"/>
          <w:szCs w:val="18"/>
        </w:rPr>
        <w:t>,</w:t>
      </w:r>
      <w:r w:rsidR="00D23A6A">
        <w:rPr>
          <w:sz w:val="18"/>
          <w:szCs w:val="18"/>
        </w:rPr>
        <w:t>7</w:t>
      </w:r>
      <w:r w:rsidRPr="00A1455E">
        <w:rPr>
          <w:sz w:val="18"/>
          <w:szCs w:val="18"/>
        </w:rPr>
        <w:t>%</w:t>
      </w:r>
      <w:r w:rsidR="004649A2">
        <w:rPr>
          <w:sz w:val="18"/>
          <w:szCs w:val="18"/>
        </w:rPr>
        <w:t xml:space="preserve">. </w:t>
      </w:r>
      <w:r w:rsidRPr="00A1455E">
        <w:rPr>
          <w:sz w:val="18"/>
          <w:szCs w:val="18"/>
        </w:rPr>
        <w:t xml:space="preserve">Średnia wartość pożyczki gotówkowej </w:t>
      </w:r>
      <w:r w:rsidR="004649A2">
        <w:rPr>
          <w:sz w:val="18"/>
          <w:szCs w:val="18"/>
        </w:rPr>
        <w:t>powyżej</w:t>
      </w:r>
      <w:r w:rsidRPr="00A1455E">
        <w:rPr>
          <w:sz w:val="18"/>
          <w:szCs w:val="18"/>
        </w:rPr>
        <w:t xml:space="preserve"> 60 dni wyniosła </w:t>
      </w:r>
      <w:r w:rsidR="00732D07">
        <w:rPr>
          <w:sz w:val="18"/>
          <w:szCs w:val="18"/>
        </w:rPr>
        <w:br/>
      </w:r>
      <w:r w:rsidRPr="00080CE3">
        <w:rPr>
          <w:sz w:val="18"/>
          <w:szCs w:val="18"/>
        </w:rPr>
        <w:t xml:space="preserve">6 </w:t>
      </w:r>
      <w:r w:rsidR="00080CE3">
        <w:rPr>
          <w:sz w:val="18"/>
          <w:szCs w:val="18"/>
        </w:rPr>
        <w:t>478</w:t>
      </w:r>
      <w:r w:rsidR="00CB7C7A">
        <w:rPr>
          <w:sz w:val="18"/>
          <w:szCs w:val="18"/>
        </w:rPr>
        <w:t xml:space="preserve"> </w:t>
      </w:r>
      <w:r w:rsidRPr="00A1455E">
        <w:rPr>
          <w:sz w:val="18"/>
          <w:szCs w:val="18"/>
        </w:rPr>
        <w:t xml:space="preserve">zł i była o </w:t>
      </w:r>
      <w:r w:rsidR="00FE71BE">
        <w:rPr>
          <w:sz w:val="18"/>
          <w:szCs w:val="18"/>
        </w:rPr>
        <w:t>9,</w:t>
      </w:r>
      <w:r w:rsidR="00B676BF" w:rsidRPr="00B676BF">
        <w:rPr>
          <w:sz w:val="18"/>
          <w:szCs w:val="18"/>
        </w:rPr>
        <w:t>1</w:t>
      </w:r>
      <w:r w:rsidRPr="006124B3">
        <w:rPr>
          <w:sz w:val="18"/>
          <w:szCs w:val="18"/>
        </w:rPr>
        <w:t>%</w:t>
      </w:r>
      <w:r w:rsidRPr="00A1455E">
        <w:rPr>
          <w:sz w:val="18"/>
          <w:szCs w:val="18"/>
        </w:rPr>
        <w:t xml:space="preserve"> wyższa </w:t>
      </w:r>
      <w:r w:rsidR="00A9577F">
        <w:rPr>
          <w:sz w:val="18"/>
          <w:szCs w:val="18"/>
        </w:rPr>
        <w:t>od</w:t>
      </w:r>
      <w:r w:rsidRPr="00A1455E">
        <w:rPr>
          <w:sz w:val="18"/>
          <w:szCs w:val="18"/>
        </w:rPr>
        <w:t xml:space="preserve"> średniej kwoty udzielonej w </w:t>
      </w:r>
      <w:r w:rsidR="004649A2">
        <w:rPr>
          <w:sz w:val="18"/>
          <w:szCs w:val="18"/>
        </w:rPr>
        <w:t xml:space="preserve">ub. roku. </w:t>
      </w:r>
    </w:p>
    <w:p w14:paraId="7033710A" w14:textId="77777777" w:rsidR="00CD1491" w:rsidRDefault="00CD1491" w:rsidP="00CD1491">
      <w:pPr>
        <w:pStyle w:val="Akapitzlist"/>
        <w:tabs>
          <w:tab w:val="left" w:pos="284"/>
        </w:tabs>
        <w:spacing w:before="120" w:after="0"/>
        <w:ind w:left="-709"/>
        <w:rPr>
          <w:sz w:val="18"/>
          <w:szCs w:val="18"/>
        </w:rPr>
      </w:pPr>
    </w:p>
    <w:p w14:paraId="5040521F" w14:textId="77777777" w:rsidR="000216DE" w:rsidRDefault="00CD1491" w:rsidP="000216DE">
      <w:pPr>
        <w:pStyle w:val="Akapitzlist"/>
        <w:tabs>
          <w:tab w:val="left" w:pos="284"/>
        </w:tabs>
        <w:spacing w:before="120" w:after="0"/>
        <w:ind w:left="-709"/>
        <w:rPr>
          <w:sz w:val="18"/>
          <w:szCs w:val="18"/>
        </w:rPr>
      </w:pPr>
      <w:r w:rsidRPr="00CD1491">
        <w:rPr>
          <w:b/>
          <w:bCs/>
          <w:sz w:val="18"/>
          <w:szCs w:val="18"/>
        </w:rPr>
        <w:t xml:space="preserve">Segment pożyczek ratalnych </w:t>
      </w:r>
      <w:r w:rsidR="000216DE" w:rsidRPr="00A1455E">
        <w:rPr>
          <w:sz w:val="18"/>
          <w:szCs w:val="18"/>
        </w:rPr>
        <w:t>(poprzednio określan</w:t>
      </w:r>
      <w:r w:rsidR="000216DE">
        <w:rPr>
          <w:sz w:val="18"/>
          <w:szCs w:val="18"/>
        </w:rPr>
        <w:t>ych</w:t>
      </w:r>
      <w:r w:rsidR="000216DE" w:rsidRPr="00A1455E">
        <w:rPr>
          <w:sz w:val="18"/>
          <w:szCs w:val="18"/>
        </w:rPr>
        <w:t xml:space="preserve"> jako celowe</w:t>
      </w:r>
      <w:r w:rsidR="000216DE">
        <w:rPr>
          <w:sz w:val="18"/>
          <w:szCs w:val="18"/>
        </w:rPr>
        <w:t>)</w:t>
      </w:r>
    </w:p>
    <w:p w14:paraId="77933A73" w14:textId="3E987675" w:rsidR="000216DE" w:rsidRDefault="000216DE" w:rsidP="00ED6022">
      <w:pPr>
        <w:pStyle w:val="Akapitzlist"/>
        <w:tabs>
          <w:tab w:val="left" w:pos="284"/>
        </w:tabs>
        <w:spacing w:before="120" w:after="0"/>
        <w:ind w:left="-709"/>
        <w:jc w:val="both"/>
        <w:rPr>
          <w:sz w:val="18"/>
          <w:szCs w:val="18"/>
        </w:rPr>
      </w:pPr>
      <w:r>
        <w:rPr>
          <w:sz w:val="18"/>
          <w:szCs w:val="18"/>
        </w:rPr>
        <w:t xml:space="preserve">Pożyczki ratalne </w:t>
      </w:r>
      <w:r w:rsidRPr="00A1455E">
        <w:rPr>
          <w:sz w:val="18"/>
          <w:szCs w:val="18"/>
        </w:rPr>
        <w:t>charakteryzują się niską kwotą</w:t>
      </w:r>
      <w:r w:rsidR="004649A2">
        <w:rPr>
          <w:sz w:val="18"/>
          <w:szCs w:val="18"/>
        </w:rPr>
        <w:t>,</w:t>
      </w:r>
      <w:r w:rsidRPr="00A1455E">
        <w:rPr>
          <w:sz w:val="18"/>
          <w:szCs w:val="18"/>
        </w:rPr>
        <w:t xml:space="preserve"> na jakie są udzielane</w:t>
      </w:r>
      <w:r w:rsidRPr="000216DE">
        <w:rPr>
          <w:sz w:val="18"/>
          <w:szCs w:val="18"/>
        </w:rPr>
        <w:t xml:space="preserve"> </w:t>
      </w:r>
      <w:r>
        <w:rPr>
          <w:sz w:val="18"/>
          <w:szCs w:val="18"/>
        </w:rPr>
        <w:t xml:space="preserve">oraz </w:t>
      </w:r>
      <w:r w:rsidRPr="00A1455E">
        <w:rPr>
          <w:sz w:val="18"/>
          <w:szCs w:val="18"/>
        </w:rPr>
        <w:t>finansowanie</w:t>
      </w:r>
      <w:r w:rsidR="00FE71BE">
        <w:rPr>
          <w:sz w:val="18"/>
          <w:szCs w:val="18"/>
        </w:rPr>
        <w:t>m</w:t>
      </w:r>
      <w:r w:rsidRPr="00A1455E">
        <w:rPr>
          <w:sz w:val="18"/>
          <w:szCs w:val="18"/>
        </w:rPr>
        <w:t xml:space="preserve"> określonego celu</w:t>
      </w:r>
      <w:r>
        <w:rPr>
          <w:sz w:val="18"/>
          <w:szCs w:val="18"/>
        </w:rPr>
        <w:t>,</w:t>
      </w:r>
      <w:r w:rsidRPr="00A1455E">
        <w:rPr>
          <w:sz w:val="18"/>
          <w:szCs w:val="18"/>
        </w:rPr>
        <w:t xml:space="preserve"> jakim jest np. zakup towarów czy usług</w:t>
      </w:r>
      <w:r>
        <w:rPr>
          <w:sz w:val="18"/>
          <w:szCs w:val="18"/>
        </w:rPr>
        <w:t>;</w:t>
      </w:r>
      <w:r w:rsidRPr="00A1455E">
        <w:rPr>
          <w:sz w:val="18"/>
          <w:szCs w:val="18"/>
        </w:rPr>
        <w:t xml:space="preserve"> nie jest więc bezpośrednio udostępniana klientowi gotówka, którą może dysponować.</w:t>
      </w:r>
    </w:p>
    <w:p w14:paraId="7CC65211" w14:textId="285AD416" w:rsidR="000216DE" w:rsidRDefault="000216DE" w:rsidP="00ED6022">
      <w:pPr>
        <w:pStyle w:val="Akapitzlist"/>
        <w:tabs>
          <w:tab w:val="left" w:pos="284"/>
        </w:tabs>
        <w:spacing w:before="120" w:after="0"/>
        <w:ind w:left="-709"/>
        <w:jc w:val="both"/>
        <w:rPr>
          <w:sz w:val="18"/>
          <w:szCs w:val="18"/>
        </w:rPr>
      </w:pPr>
      <w:r>
        <w:rPr>
          <w:sz w:val="18"/>
          <w:szCs w:val="18"/>
        </w:rPr>
        <w:t xml:space="preserve">W </w:t>
      </w:r>
      <w:r w:rsidR="00732D07">
        <w:rPr>
          <w:sz w:val="18"/>
          <w:szCs w:val="18"/>
        </w:rPr>
        <w:t>maju</w:t>
      </w:r>
      <w:r>
        <w:rPr>
          <w:sz w:val="18"/>
          <w:szCs w:val="18"/>
        </w:rPr>
        <w:t xml:space="preserve"> 202</w:t>
      </w:r>
      <w:r w:rsidR="00ED6022">
        <w:rPr>
          <w:sz w:val="18"/>
          <w:szCs w:val="18"/>
        </w:rPr>
        <w:t>6</w:t>
      </w:r>
      <w:r>
        <w:rPr>
          <w:sz w:val="18"/>
          <w:szCs w:val="18"/>
        </w:rPr>
        <w:t xml:space="preserve"> r. firmy pożyczkowe udzieliły łącznie </w:t>
      </w:r>
      <w:r w:rsidR="00732D07">
        <w:rPr>
          <w:sz w:val="18"/>
          <w:szCs w:val="18"/>
        </w:rPr>
        <w:t>1 106</w:t>
      </w:r>
      <w:r>
        <w:rPr>
          <w:sz w:val="18"/>
          <w:szCs w:val="18"/>
        </w:rPr>
        <w:t xml:space="preserve"> tys. pożyczek ratalnych (</w:t>
      </w:r>
      <w:r w:rsidRPr="00A1455E">
        <w:rPr>
          <w:sz w:val="18"/>
          <w:szCs w:val="18"/>
        </w:rPr>
        <w:t>+</w:t>
      </w:r>
      <w:r w:rsidR="00ED6022">
        <w:rPr>
          <w:sz w:val="18"/>
          <w:szCs w:val="18"/>
        </w:rPr>
        <w:t>1</w:t>
      </w:r>
      <w:r w:rsidR="00732D07">
        <w:rPr>
          <w:sz w:val="18"/>
          <w:szCs w:val="18"/>
        </w:rPr>
        <w:t>5</w:t>
      </w:r>
      <w:r w:rsidRPr="00A1455E">
        <w:rPr>
          <w:sz w:val="18"/>
          <w:szCs w:val="18"/>
        </w:rPr>
        <w:t>,</w:t>
      </w:r>
      <w:r w:rsidR="00732D07">
        <w:rPr>
          <w:sz w:val="18"/>
          <w:szCs w:val="18"/>
        </w:rPr>
        <w:t>0</w:t>
      </w:r>
      <w:r w:rsidRPr="00A1455E">
        <w:rPr>
          <w:sz w:val="18"/>
          <w:szCs w:val="18"/>
        </w:rPr>
        <w:t>% r/r</w:t>
      </w:r>
      <w:r>
        <w:rPr>
          <w:sz w:val="18"/>
          <w:szCs w:val="18"/>
        </w:rPr>
        <w:t xml:space="preserve">) na kwotę </w:t>
      </w:r>
      <w:r w:rsidR="00732D07">
        <w:rPr>
          <w:sz w:val="18"/>
          <w:szCs w:val="18"/>
        </w:rPr>
        <w:t>754</w:t>
      </w:r>
      <w:r>
        <w:rPr>
          <w:sz w:val="18"/>
          <w:szCs w:val="18"/>
        </w:rPr>
        <w:t xml:space="preserve"> mln zł (</w:t>
      </w:r>
      <w:r w:rsidRPr="00A1455E">
        <w:rPr>
          <w:sz w:val="18"/>
          <w:szCs w:val="18"/>
        </w:rPr>
        <w:t>+</w:t>
      </w:r>
      <w:r w:rsidR="00732D07">
        <w:rPr>
          <w:sz w:val="18"/>
          <w:szCs w:val="18"/>
        </w:rPr>
        <w:t>22</w:t>
      </w:r>
      <w:r w:rsidRPr="00A1455E">
        <w:rPr>
          <w:sz w:val="18"/>
          <w:szCs w:val="18"/>
        </w:rPr>
        <w:t>,</w:t>
      </w:r>
      <w:r w:rsidR="00732D07">
        <w:rPr>
          <w:sz w:val="18"/>
          <w:szCs w:val="18"/>
        </w:rPr>
        <w:t>1</w:t>
      </w:r>
      <w:r w:rsidRPr="00A1455E">
        <w:rPr>
          <w:sz w:val="18"/>
          <w:szCs w:val="18"/>
        </w:rPr>
        <w:t>% r/r</w:t>
      </w:r>
      <w:r>
        <w:rPr>
          <w:sz w:val="18"/>
          <w:szCs w:val="18"/>
        </w:rPr>
        <w:t>)</w:t>
      </w:r>
      <w:r w:rsidRPr="00A1455E">
        <w:rPr>
          <w:sz w:val="18"/>
          <w:szCs w:val="18"/>
        </w:rPr>
        <w:t>.</w:t>
      </w:r>
      <w:r>
        <w:rPr>
          <w:sz w:val="18"/>
          <w:szCs w:val="18"/>
        </w:rPr>
        <w:t xml:space="preserve"> Ś</w:t>
      </w:r>
      <w:r w:rsidR="00A1455E" w:rsidRPr="00A1455E">
        <w:rPr>
          <w:sz w:val="18"/>
          <w:szCs w:val="18"/>
        </w:rPr>
        <w:t xml:space="preserve">rednia wartość pożyczki ratalnej wyniosła </w:t>
      </w:r>
      <w:r w:rsidR="00A1455E" w:rsidRPr="00A15298">
        <w:rPr>
          <w:sz w:val="18"/>
          <w:szCs w:val="18"/>
        </w:rPr>
        <w:t>6</w:t>
      </w:r>
      <w:r w:rsidR="00732D07">
        <w:rPr>
          <w:sz w:val="18"/>
          <w:szCs w:val="18"/>
        </w:rPr>
        <w:t>81</w:t>
      </w:r>
      <w:r w:rsidR="00A1455E" w:rsidRPr="00A1455E">
        <w:rPr>
          <w:sz w:val="18"/>
          <w:szCs w:val="18"/>
        </w:rPr>
        <w:t xml:space="preserve"> zł i była o </w:t>
      </w:r>
      <w:r w:rsidR="00732D07">
        <w:rPr>
          <w:sz w:val="18"/>
          <w:szCs w:val="18"/>
        </w:rPr>
        <w:t>6</w:t>
      </w:r>
      <w:r w:rsidR="00A1455E" w:rsidRPr="00A15298">
        <w:rPr>
          <w:sz w:val="18"/>
          <w:szCs w:val="18"/>
        </w:rPr>
        <w:t>,</w:t>
      </w:r>
      <w:r w:rsidR="00732D07">
        <w:rPr>
          <w:sz w:val="18"/>
          <w:szCs w:val="18"/>
        </w:rPr>
        <w:t>2</w:t>
      </w:r>
      <w:r w:rsidR="00A1455E" w:rsidRPr="00A15298">
        <w:rPr>
          <w:sz w:val="18"/>
          <w:szCs w:val="18"/>
        </w:rPr>
        <w:t>%</w:t>
      </w:r>
      <w:r w:rsidR="00A1455E" w:rsidRPr="00A1455E">
        <w:rPr>
          <w:sz w:val="18"/>
          <w:szCs w:val="18"/>
        </w:rPr>
        <w:t xml:space="preserve"> </w:t>
      </w:r>
      <w:r w:rsidR="00E6414B">
        <w:rPr>
          <w:sz w:val="18"/>
          <w:szCs w:val="18"/>
        </w:rPr>
        <w:t>wyższa</w:t>
      </w:r>
      <w:r w:rsidR="00A1455E" w:rsidRPr="00A1455E">
        <w:rPr>
          <w:sz w:val="18"/>
          <w:szCs w:val="18"/>
        </w:rPr>
        <w:t xml:space="preserve"> od średniej wartości takiej pożyczki udzielonej </w:t>
      </w:r>
      <w:r w:rsidR="004649A2">
        <w:rPr>
          <w:sz w:val="18"/>
          <w:szCs w:val="18"/>
        </w:rPr>
        <w:t xml:space="preserve">w </w:t>
      </w:r>
      <w:r w:rsidR="00732D07">
        <w:rPr>
          <w:sz w:val="18"/>
          <w:szCs w:val="18"/>
        </w:rPr>
        <w:t>maju</w:t>
      </w:r>
      <w:r w:rsidR="004649A2">
        <w:rPr>
          <w:sz w:val="18"/>
          <w:szCs w:val="18"/>
        </w:rPr>
        <w:t xml:space="preserve"> 2025 roku. </w:t>
      </w:r>
    </w:p>
    <w:p w14:paraId="6A129D06" w14:textId="77777777" w:rsidR="00CD1491" w:rsidRDefault="00CD1491" w:rsidP="00CD1491">
      <w:pPr>
        <w:pStyle w:val="Akapitzlist"/>
        <w:tabs>
          <w:tab w:val="left" w:pos="284"/>
        </w:tabs>
        <w:spacing w:before="120" w:after="0"/>
        <w:ind w:left="-709"/>
        <w:rPr>
          <w:sz w:val="18"/>
          <w:szCs w:val="18"/>
        </w:rPr>
      </w:pPr>
    </w:p>
    <w:p w14:paraId="2ABF6AC9" w14:textId="66A8FBC0" w:rsidR="00CD1491" w:rsidRPr="00CD1491" w:rsidRDefault="00CD1491" w:rsidP="00CD1491">
      <w:pPr>
        <w:pStyle w:val="Akapitzlist"/>
        <w:tabs>
          <w:tab w:val="left" w:pos="284"/>
        </w:tabs>
        <w:spacing w:before="120" w:after="0"/>
        <w:ind w:left="-709"/>
        <w:rPr>
          <w:sz w:val="18"/>
          <w:szCs w:val="18"/>
        </w:rPr>
      </w:pPr>
      <w:r>
        <w:rPr>
          <w:sz w:val="18"/>
          <w:szCs w:val="18"/>
        </w:rPr>
        <w:t xml:space="preserve">Wszystkie prezentowane dane w pełni odzwierciedlają obecną sytuację rynkową na rynku pożyczek </w:t>
      </w:r>
      <w:proofErr w:type="spellStart"/>
      <w:r>
        <w:rPr>
          <w:sz w:val="18"/>
          <w:szCs w:val="18"/>
        </w:rPr>
        <w:t>pozabankowych</w:t>
      </w:r>
      <w:proofErr w:type="spellEnd"/>
      <w:r>
        <w:rPr>
          <w:sz w:val="18"/>
          <w:szCs w:val="18"/>
        </w:rPr>
        <w:t>.</w:t>
      </w:r>
    </w:p>
    <w:p w14:paraId="0A937434" w14:textId="77777777" w:rsidR="00CD1491" w:rsidRDefault="00CD1491" w:rsidP="00CD1491">
      <w:pPr>
        <w:rPr>
          <w:sz w:val="18"/>
          <w:szCs w:val="18"/>
        </w:rPr>
      </w:pPr>
    </w:p>
    <w:p w14:paraId="47121074" w14:textId="36B5CC56" w:rsidR="0050706B" w:rsidRDefault="0050706B" w:rsidP="0050706B">
      <w:pPr>
        <w:pStyle w:val="Akapitzlist"/>
        <w:tabs>
          <w:tab w:val="left" w:pos="284"/>
        </w:tabs>
        <w:spacing w:before="120" w:after="0"/>
        <w:ind w:left="-709"/>
        <w:jc w:val="both"/>
        <w:rPr>
          <w:b/>
          <w:sz w:val="20"/>
          <w:szCs w:val="20"/>
        </w:rPr>
      </w:pPr>
      <w:r>
        <w:rPr>
          <w:b/>
          <w:sz w:val="20"/>
          <w:szCs w:val="20"/>
        </w:rPr>
        <w:t xml:space="preserve">Liczba i wartość </w:t>
      </w:r>
    </w:p>
    <w:p w14:paraId="634DFF8E" w14:textId="77777777" w:rsidR="0055241A" w:rsidRDefault="0055241A" w:rsidP="0050706B">
      <w:pPr>
        <w:pStyle w:val="Akapitzlist"/>
        <w:tabs>
          <w:tab w:val="left" w:pos="284"/>
        </w:tabs>
        <w:spacing w:before="120" w:after="0"/>
        <w:ind w:left="-709"/>
        <w:jc w:val="both"/>
        <w:rPr>
          <w:b/>
          <w:sz w:val="20"/>
          <w:szCs w:val="20"/>
        </w:rPr>
      </w:pPr>
    </w:p>
    <w:p w14:paraId="56F4AF3E" w14:textId="77777777" w:rsidR="0055241A" w:rsidRDefault="0055241A" w:rsidP="0050706B">
      <w:pPr>
        <w:pStyle w:val="Akapitzlist"/>
        <w:tabs>
          <w:tab w:val="left" w:pos="284"/>
        </w:tabs>
        <w:spacing w:before="120" w:after="0"/>
        <w:ind w:left="-709"/>
        <w:jc w:val="both"/>
        <w:rPr>
          <w:b/>
          <w:sz w:val="20"/>
          <w:szCs w:val="20"/>
        </w:rPr>
      </w:pPr>
    </w:p>
    <w:tbl>
      <w:tblPr>
        <w:tblW w:w="9067" w:type="dxa"/>
        <w:tblCellMar>
          <w:left w:w="70" w:type="dxa"/>
          <w:right w:w="70" w:type="dxa"/>
        </w:tblCellMar>
        <w:tblLook w:val="04A0" w:firstRow="1" w:lastRow="0" w:firstColumn="1" w:lastColumn="0" w:noHBand="0" w:noVBand="1"/>
      </w:tblPr>
      <w:tblGrid>
        <w:gridCol w:w="1420"/>
        <w:gridCol w:w="1238"/>
        <w:gridCol w:w="1239"/>
        <w:gridCol w:w="1238"/>
        <w:gridCol w:w="1239"/>
        <w:gridCol w:w="1418"/>
        <w:gridCol w:w="1275"/>
      </w:tblGrid>
      <w:tr w:rsidR="00E04236" w:rsidRPr="00E04236" w14:paraId="3875C176" w14:textId="77777777" w:rsidTr="007A7C7A">
        <w:trPr>
          <w:trHeight w:val="300"/>
        </w:trPr>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2F60E8C6" w14:textId="77777777" w:rsidR="00E04236" w:rsidRPr="00E04236" w:rsidRDefault="00E04236" w:rsidP="00E04236">
            <w:pPr>
              <w:spacing w:after="0" w:line="240" w:lineRule="auto"/>
              <w:jc w:val="center"/>
              <w:rPr>
                <w:rFonts w:ascii="Calibri" w:eastAsia="Times New Roman" w:hAnsi="Calibri" w:cs="Calibri"/>
                <w:b/>
                <w:bCs/>
                <w:color w:val="000000"/>
                <w:sz w:val="16"/>
                <w:szCs w:val="16"/>
                <w:lang w:eastAsia="pl-PL"/>
              </w:rPr>
            </w:pPr>
            <w:r w:rsidRPr="00E04236">
              <w:rPr>
                <w:rFonts w:ascii="Calibri" w:eastAsia="Times New Roman" w:hAnsi="Calibri" w:cs="Calibri"/>
                <w:b/>
                <w:bCs/>
                <w:color w:val="000000"/>
                <w:sz w:val="16"/>
                <w:szCs w:val="16"/>
                <w:lang w:eastAsia="pl-PL"/>
              </w:rPr>
              <w:t xml:space="preserve">Wyszczególnienie </w:t>
            </w:r>
          </w:p>
        </w:tc>
        <w:tc>
          <w:tcPr>
            <w:tcW w:w="2477" w:type="dxa"/>
            <w:gridSpan w:val="2"/>
            <w:tcBorders>
              <w:top w:val="single" w:sz="4" w:space="0" w:color="auto"/>
              <w:left w:val="nil"/>
              <w:bottom w:val="single" w:sz="4" w:space="0" w:color="auto"/>
              <w:right w:val="single" w:sz="4" w:space="0" w:color="auto"/>
            </w:tcBorders>
            <w:vAlign w:val="center"/>
            <w:hideMark/>
          </w:tcPr>
          <w:p w14:paraId="33CEADA0" w14:textId="77777777" w:rsidR="00E04236" w:rsidRPr="00E04236" w:rsidRDefault="00E04236" w:rsidP="00E04236">
            <w:pPr>
              <w:spacing w:after="0" w:line="240" w:lineRule="auto"/>
              <w:jc w:val="center"/>
              <w:rPr>
                <w:rFonts w:ascii="Calibri" w:eastAsia="Times New Roman" w:hAnsi="Calibri" w:cs="Calibri"/>
                <w:b/>
                <w:bCs/>
                <w:color w:val="000000"/>
                <w:sz w:val="16"/>
                <w:szCs w:val="16"/>
                <w:lang w:eastAsia="pl-PL"/>
              </w:rPr>
            </w:pPr>
            <w:r w:rsidRPr="00E04236">
              <w:rPr>
                <w:rFonts w:ascii="Calibri" w:eastAsia="Times New Roman" w:hAnsi="Calibri" w:cs="Calibri"/>
                <w:b/>
                <w:bCs/>
                <w:color w:val="000000"/>
                <w:sz w:val="16"/>
                <w:szCs w:val="16"/>
                <w:lang w:eastAsia="pl-PL"/>
              </w:rPr>
              <w:t>Liczba pożyczek (tys. szt.)</w:t>
            </w:r>
          </w:p>
        </w:tc>
        <w:tc>
          <w:tcPr>
            <w:tcW w:w="2477" w:type="dxa"/>
            <w:gridSpan w:val="2"/>
            <w:tcBorders>
              <w:top w:val="single" w:sz="4" w:space="0" w:color="auto"/>
              <w:left w:val="nil"/>
              <w:bottom w:val="single" w:sz="4" w:space="0" w:color="auto"/>
              <w:right w:val="single" w:sz="4" w:space="0" w:color="auto"/>
            </w:tcBorders>
            <w:vAlign w:val="center"/>
            <w:hideMark/>
          </w:tcPr>
          <w:p w14:paraId="1AE7A7B9" w14:textId="77777777" w:rsidR="00E04236" w:rsidRPr="00E04236" w:rsidRDefault="00E04236" w:rsidP="00E04236">
            <w:pPr>
              <w:spacing w:after="0" w:line="240" w:lineRule="auto"/>
              <w:jc w:val="center"/>
              <w:rPr>
                <w:rFonts w:ascii="Calibri" w:eastAsia="Times New Roman" w:hAnsi="Calibri" w:cs="Calibri"/>
                <w:b/>
                <w:bCs/>
                <w:color w:val="000000"/>
                <w:sz w:val="16"/>
                <w:szCs w:val="16"/>
                <w:lang w:eastAsia="pl-PL"/>
              </w:rPr>
            </w:pPr>
            <w:r w:rsidRPr="00E04236">
              <w:rPr>
                <w:rFonts w:ascii="Calibri" w:eastAsia="Times New Roman" w:hAnsi="Calibri" w:cs="Calibri"/>
                <w:b/>
                <w:bCs/>
                <w:color w:val="000000"/>
                <w:sz w:val="16"/>
                <w:szCs w:val="16"/>
                <w:lang w:eastAsia="pl-PL"/>
              </w:rPr>
              <w:t>Wartość (mld zł)</w:t>
            </w:r>
          </w:p>
        </w:tc>
        <w:tc>
          <w:tcPr>
            <w:tcW w:w="2693" w:type="dxa"/>
            <w:gridSpan w:val="2"/>
            <w:tcBorders>
              <w:top w:val="single" w:sz="4" w:space="0" w:color="auto"/>
              <w:left w:val="nil"/>
              <w:bottom w:val="single" w:sz="4" w:space="0" w:color="auto"/>
              <w:right w:val="single" w:sz="4" w:space="0" w:color="auto"/>
            </w:tcBorders>
            <w:vAlign w:val="center"/>
            <w:hideMark/>
          </w:tcPr>
          <w:p w14:paraId="441A1A75" w14:textId="2F44F259" w:rsidR="00E04236" w:rsidRPr="00E04236" w:rsidRDefault="00E04236" w:rsidP="00E04236">
            <w:pPr>
              <w:spacing w:after="0" w:line="240" w:lineRule="auto"/>
              <w:jc w:val="center"/>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L</w:t>
            </w:r>
            <w:r w:rsidRPr="00E04236">
              <w:rPr>
                <w:rFonts w:ascii="Calibri" w:eastAsia="Times New Roman" w:hAnsi="Calibri" w:cs="Calibri"/>
                <w:b/>
                <w:bCs/>
                <w:color w:val="000000"/>
                <w:sz w:val="16"/>
                <w:szCs w:val="16"/>
                <w:lang w:eastAsia="pl-PL"/>
              </w:rPr>
              <w:t>iczba nowych klientów</w:t>
            </w:r>
            <w:r w:rsidR="007A7C7A">
              <w:rPr>
                <w:rFonts w:ascii="Calibri" w:eastAsia="Times New Roman" w:hAnsi="Calibri" w:cs="Calibri"/>
                <w:b/>
                <w:bCs/>
                <w:color w:val="000000"/>
                <w:sz w:val="16"/>
                <w:szCs w:val="16"/>
                <w:lang w:eastAsia="pl-PL"/>
              </w:rPr>
              <w:t>,</w:t>
            </w:r>
            <w:r w:rsidRPr="00E04236">
              <w:rPr>
                <w:rFonts w:ascii="Calibri" w:eastAsia="Times New Roman" w:hAnsi="Calibri" w:cs="Calibri"/>
                <w:b/>
                <w:bCs/>
                <w:color w:val="000000"/>
                <w:sz w:val="16"/>
                <w:szCs w:val="16"/>
                <w:lang w:eastAsia="pl-PL"/>
              </w:rPr>
              <w:t xml:space="preserve"> </w:t>
            </w:r>
            <w:r>
              <w:rPr>
                <w:rFonts w:ascii="Calibri" w:eastAsia="Times New Roman" w:hAnsi="Calibri" w:cs="Calibri"/>
                <w:b/>
                <w:bCs/>
                <w:color w:val="000000"/>
                <w:sz w:val="16"/>
                <w:szCs w:val="16"/>
                <w:lang w:eastAsia="pl-PL"/>
              </w:rPr>
              <w:t xml:space="preserve">dla </w:t>
            </w:r>
            <w:r w:rsidR="007A7C7A">
              <w:rPr>
                <w:rFonts w:ascii="Calibri" w:eastAsia="Times New Roman" w:hAnsi="Calibri" w:cs="Calibri"/>
                <w:b/>
                <w:bCs/>
                <w:color w:val="000000"/>
                <w:sz w:val="16"/>
                <w:szCs w:val="16"/>
                <w:lang w:eastAsia="pl-PL"/>
              </w:rPr>
              <w:t xml:space="preserve">danego </w:t>
            </w:r>
            <w:r>
              <w:rPr>
                <w:rFonts w:ascii="Calibri" w:eastAsia="Times New Roman" w:hAnsi="Calibri" w:cs="Calibri"/>
                <w:b/>
                <w:bCs/>
                <w:color w:val="000000"/>
                <w:sz w:val="16"/>
                <w:szCs w:val="16"/>
                <w:lang w:eastAsia="pl-PL"/>
              </w:rPr>
              <w:t>produktu</w:t>
            </w:r>
            <w:r w:rsidR="007A7C7A">
              <w:rPr>
                <w:rFonts w:ascii="Calibri" w:eastAsia="Times New Roman" w:hAnsi="Calibri" w:cs="Calibri"/>
                <w:b/>
                <w:bCs/>
                <w:color w:val="000000"/>
                <w:sz w:val="16"/>
                <w:szCs w:val="16"/>
                <w:lang w:eastAsia="pl-PL"/>
              </w:rPr>
              <w:t>,</w:t>
            </w:r>
            <w:r>
              <w:rPr>
                <w:rFonts w:ascii="Calibri" w:eastAsia="Times New Roman" w:hAnsi="Calibri" w:cs="Calibri"/>
                <w:b/>
                <w:bCs/>
                <w:color w:val="000000"/>
                <w:sz w:val="16"/>
                <w:szCs w:val="16"/>
                <w:lang w:eastAsia="pl-PL"/>
              </w:rPr>
              <w:t xml:space="preserve"> w ostatnich 24 mies. </w:t>
            </w:r>
            <w:r w:rsidRPr="00E04236">
              <w:rPr>
                <w:rFonts w:ascii="Calibri" w:eastAsia="Times New Roman" w:hAnsi="Calibri" w:cs="Calibri"/>
                <w:b/>
                <w:bCs/>
                <w:color w:val="000000"/>
                <w:sz w:val="16"/>
                <w:szCs w:val="16"/>
                <w:lang w:eastAsia="pl-PL"/>
              </w:rPr>
              <w:t>(tys.)</w:t>
            </w:r>
          </w:p>
        </w:tc>
      </w:tr>
      <w:tr w:rsidR="00864851" w:rsidRPr="00E04236" w14:paraId="5A755AB7" w14:textId="77777777" w:rsidTr="007A7C7A">
        <w:trPr>
          <w:trHeight w:val="300"/>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188BA63C" w14:textId="77777777" w:rsidR="00864851" w:rsidRPr="00E04236" w:rsidRDefault="00864851" w:rsidP="00864851">
            <w:pPr>
              <w:spacing w:after="0" w:line="240" w:lineRule="auto"/>
              <w:rPr>
                <w:rFonts w:ascii="Calibri" w:eastAsia="Times New Roman" w:hAnsi="Calibri" w:cs="Calibri"/>
                <w:b/>
                <w:bCs/>
                <w:color w:val="000000"/>
                <w:sz w:val="16"/>
                <w:szCs w:val="16"/>
                <w:lang w:eastAsia="pl-PL"/>
              </w:rPr>
            </w:pPr>
          </w:p>
        </w:tc>
        <w:tc>
          <w:tcPr>
            <w:tcW w:w="1238" w:type="dxa"/>
            <w:tcBorders>
              <w:top w:val="nil"/>
              <w:left w:val="nil"/>
              <w:bottom w:val="single" w:sz="4" w:space="0" w:color="auto"/>
              <w:right w:val="single" w:sz="4" w:space="0" w:color="auto"/>
            </w:tcBorders>
            <w:vAlign w:val="center"/>
            <w:hideMark/>
          </w:tcPr>
          <w:p w14:paraId="40750185" w14:textId="2259B954" w:rsidR="00864851" w:rsidRPr="00E04236" w:rsidRDefault="00864851" w:rsidP="00864851">
            <w:pPr>
              <w:spacing w:after="0" w:line="240" w:lineRule="auto"/>
              <w:jc w:val="center"/>
              <w:rPr>
                <w:rFonts w:ascii="Calibri" w:eastAsia="Times New Roman" w:hAnsi="Calibri" w:cs="Calibri"/>
                <w:b/>
                <w:bCs/>
                <w:color w:val="000000"/>
                <w:sz w:val="16"/>
                <w:szCs w:val="16"/>
                <w:lang w:eastAsia="pl-PL"/>
              </w:rPr>
            </w:pPr>
            <w:r>
              <w:rPr>
                <w:rFonts w:ascii="Calibri" w:hAnsi="Calibri" w:cs="Calibri"/>
                <w:b/>
                <w:bCs/>
                <w:color w:val="000000"/>
                <w:sz w:val="16"/>
                <w:szCs w:val="16"/>
              </w:rPr>
              <w:t>05.2026</w:t>
            </w:r>
          </w:p>
        </w:tc>
        <w:tc>
          <w:tcPr>
            <w:tcW w:w="1239" w:type="dxa"/>
            <w:tcBorders>
              <w:top w:val="nil"/>
              <w:left w:val="nil"/>
              <w:bottom w:val="single" w:sz="4" w:space="0" w:color="auto"/>
              <w:right w:val="single" w:sz="4" w:space="0" w:color="auto"/>
            </w:tcBorders>
            <w:vAlign w:val="center"/>
            <w:hideMark/>
          </w:tcPr>
          <w:p w14:paraId="63C82E38" w14:textId="72B27742" w:rsidR="00864851" w:rsidRPr="00E04236" w:rsidRDefault="00864851" w:rsidP="00864851">
            <w:pPr>
              <w:spacing w:after="0" w:line="240" w:lineRule="auto"/>
              <w:jc w:val="center"/>
              <w:rPr>
                <w:rFonts w:ascii="Calibri" w:eastAsia="Times New Roman" w:hAnsi="Calibri" w:cs="Calibri"/>
                <w:b/>
                <w:bCs/>
                <w:color w:val="000000"/>
                <w:sz w:val="16"/>
                <w:szCs w:val="16"/>
                <w:lang w:eastAsia="pl-PL"/>
              </w:rPr>
            </w:pPr>
            <w:r>
              <w:rPr>
                <w:rFonts w:ascii="Calibri" w:hAnsi="Calibri" w:cs="Calibri"/>
                <w:b/>
                <w:bCs/>
                <w:color w:val="000000"/>
                <w:sz w:val="16"/>
                <w:szCs w:val="16"/>
              </w:rPr>
              <w:t>01-05.2026</w:t>
            </w:r>
          </w:p>
        </w:tc>
        <w:tc>
          <w:tcPr>
            <w:tcW w:w="1238" w:type="dxa"/>
            <w:tcBorders>
              <w:top w:val="nil"/>
              <w:left w:val="nil"/>
              <w:bottom w:val="single" w:sz="4" w:space="0" w:color="auto"/>
              <w:right w:val="single" w:sz="4" w:space="0" w:color="auto"/>
            </w:tcBorders>
            <w:vAlign w:val="center"/>
            <w:hideMark/>
          </w:tcPr>
          <w:p w14:paraId="11A2118F" w14:textId="71F790DD" w:rsidR="00864851" w:rsidRPr="00E04236" w:rsidRDefault="00864851" w:rsidP="00864851">
            <w:pPr>
              <w:spacing w:after="0" w:line="240" w:lineRule="auto"/>
              <w:jc w:val="center"/>
              <w:rPr>
                <w:rFonts w:ascii="Calibri" w:eastAsia="Times New Roman" w:hAnsi="Calibri" w:cs="Calibri"/>
                <w:b/>
                <w:bCs/>
                <w:color w:val="000000"/>
                <w:sz w:val="16"/>
                <w:szCs w:val="16"/>
                <w:lang w:eastAsia="pl-PL"/>
              </w:rPr>
            </w:pPr>
            <w:r>
              <w:rPr>
                <w:rFonts w:ascii="Calibri" w:hAnsi="Calibri" w:cs="Calibri"/>
                <w:b/>
                <w:bCs/>
                <w:color w:val="000000"/>
                <w:sz w:val="16"/>
                <w:szCs w:val="16"/>
              </w:rPr>
              <w:t>05.2026</w:t>
            </w:r>
          </w:p>
        </w:tc>
        <w:tc>
          <w:tcPr>
            <w:tcW w:w="1239" w:type="dxa"/>
            <w:tcBorders>
              <w:top w:val="nil"/>
              <w:left w:val="nil"/>
              <w:bottom w:val="single" w:sz="4" w:space="0" w:color="auto"/>
              <w:right w:val="single" w:sz="4" w:space="0" w:color="auto"/>
            </w:tcBorders>
            <w:vAlign w:val="center"/>
            <w:hideMark/>
          </w:tcPr>
          <w:p w14:paraId="11884E0E" w14:textId="04E79905" w:rsidR="00864851" w:rsidRPr="00E04236" w:rsidRDefault="00864851" w:rsidP="00864851">
            <w:pPr>
              <w:spacing w:after="0" w:line="240" w:lineRule="auto"/>
              <w:jc w:val="center"/>
              <w:rPr>
                <w:rFonts w:ascii="Calibri" w:eastAsia="Times New Roman" w:hAnsi="Calibri" w:cs="Calibri"/>
                <w:b/>
                <w:bCs/>
                <w:color w:val="000000"/>
                <w:sz w:val="16"/>
                <w:szCs w:val="16"/>
                <w:lang w:eastAsia="pl-PL"/>
              </w:rPr>
            </w:pPr>
            <w:r>
              <w:rPr>
                <w:rFonts w:ascii="Calibri" w:hAnsi="Calibri" w:cs="Calibri"/>
                <w:b/>
                <w:bCs/>
                <w:color w:val="000000"/>
                <w:sz w:val="16"/>
                <w:szCs w:val="16"/>
              </w:rPr>
              <w:t>01-05.2026</w:t>
            </w:r>
          </w:p>
        </w:tc>
        <w:tc>
          <w:tcPr>
            <w:tcW w:w="1418" w:type="dxa"/>
            <w:tcBorders>
              <w:top w:val="nil"/>
              <w:left w:val="nil"/>
              <w:bottom w:val="single" w:sz="4" w:space="0" w:color="auto"/>
              <w:right w:val="single" w:sz="4" w:space="0" w:color="auto"/>
            </w:tcBorders>
            <w:vAlign w:val="center"/>
            <w:hideMark/>
          </w:tcPr>
          <w:p w14:paraId="35271DEB" w14:textId="6A129FD7" w:rsidR="00864851" w:rsidRPr="00E04236" w:rsidRDefault="00864851" w:rsidP="00864851">
            <w:pPr>
              <w:spacing w:after="0" w:line="240" w:lineRule="auto"/>
              <w:jc w:val="center"/>
              <w:rPr>
                <w:rFonts w:ascii="Calibri" w:eastAsia="Times New Roman" w:hAnsi="Calibri" w:cs="Calibri"/>
                <w:b/>
                <w:bCs/>
                <w:color w:val="000000"/>
                <w:sz w:val="16"/>
                <w:szCs w:val="16"/>
                <w:lang w:eastAsia="pl-PL"/>
              </w:rPr>
            </w:pPr>
            <w:r>
              <w:rPr>
                <w:rFonts w:ascii="Calibri" w:hAnsi="Calibri" w:cs="Calibri"/>
                <w:b/>
                <w:bCs/>
                <w:color w:val="000000"/>
                <w:sz w:val="16"/>
                <w:szCs w:val="16"/>
              </w:rPr>
              <w:t>05.2026</w:t>
            </w:r>
          </w:p>
        </w:tc>
        <w:tc>
          <w:tcPr>
            <w:tcW w:w="1275" w:type="dxa"/>
            <w:tcBorders>
              <w:top w:val="nil"/>
              <w:left w:val="nil"/>
              <w:bottom w:val="single" w:sz="4" w:space="0" w:color="auto"/>
              <w:right w:val="single" w:sz="4" w:space="0" w:color="auto"/>
            </w:tcBorders>
            <w:vAlign w:val="center"/>
            <w:hideMark/>
          </w:tcPr>
          <w:p w14:paraId="38B38801" w14:textId="56655F13" w:rsidR="00864851" w:rsidRPr="00E04236" w:rsidRDefault="00864851" w:rsidP="00864851">
            <w:pPr>
              <w:spacing w:after="0" w:line="240" w:lineRule="auto"/>
              <w:jc w:val="center"/>
              <w:rPr>
                <w:rFonts w:ascii="Calibri" w:eastAsia="Times New Roman" w:hAnsi="Calibri" w:cs="Calibri"/>
                <w:b/>
                <w:bCs/>
                <w:color w:val="000000"/>
                <w:sz w:val="16"/>
                <w:szCs w:val="16"/>
                <w:lang w:eastAsia="pl-PL"/>
              </w:rPr>
            </w:pPr>
            <w:r>
              <w:rPr>
                <w:rFonts w:ascii="Calibri" w:hAnsi="Calibri" w:cs="Calibri"/>
                <w:b/>
                <w:bCs/>
                <w:color w:val="000000"/>
                <w:sz w:val="16"/>
                <w:szCs w:val="16"/>
              </w:rPr>
              <w:t>01-05.2026</w:t>
            </w:r>
          </w:p>
        </w:tc>
      </w:tr>
      <w:tr w:rsidR="00864851" w:rsidRPr="00E04236" w14:paraId="4D5860C1" w14:textId="77777777" w:rsidTr="007A7C7A">
        <w:trPr>
          <w:trHeight w:val="675"/>
        </w:trPr>
        <w:tc>
          <w:tcPr>
            <w:tcW w:w="1420" w:type="dxa"/>
            <w:tcBorders>
              <w:top w:val="nil"/>
              <w:left w:val="single" w:sz="4" w:space="0" w:color="auto"/>
              <w:bottom w:val="single" w:sz="4" w:space="0" w:color="auto"/>
              <w:right w:val="single" w:sz="4" w:space="0" w:color="auto"/>
            </w:tcBorders>
            <w:vAlign w:val="center"/>
            <w:hideMark/>
          </w:tcPr>
          <w:p w14:paraId="7C4A9A40" w14:textId="77777777" w:rsidR="00864851" w:rsidRPr="00E04236" w:rsidRDefault="00864851" w:rsidP="00864851">
            <w:pPr>
              <w:spacing w:after="0" w:line="240" w:lineRule="auto"/>
              <w:rPr>
                <w:rFonts w:ascii="Calibri" w:eastAsia="Times New Roman" w:hAnsi="Calibri" w:cs="Calibri"/>
                <w:color w:val="000000"/>
                <w:sz w:val="16"/>
                <w:szCs w:val="16"/>
                <w:lang w:eastAsia="pl-PL"/>
              </w:rPr>
            </w:pPr>
            <w:r w:rsidRPr="00E04236">
              <w:rPr>
                <w:rFonts w:ascii="Calibri" w:eastAsia="Times New Roman" w:hAnsi="Calibri" w:cs="Calibri"/>
                <w:color w:val="000000"/>
                <w:sz w:val="16"/>
                <w:szCs w:val="16"/>
                <w:lang w:eastAsia="pl-PL"/>
              </w:rPr>
              <w:t>Pożyczki gotówkowe na okres do 60 dni</w:t>
            </w:r>
          </w:p>
        </w:tc>
        <w:tc>
          <w:tcPr>
            <w:tcW w:w="1238" w:type="dxa"/>
            <w:tcBorders>
              <w:top w:val="nil"/>
              <w:left w:val="nil"/>
              <w:bottom w:val="single" w:sz="4" w:space="0" w:color="auto"/>
              <w:right w:val="single" w:sz="4" w:space="0" w:color="auto"/>
            </w:tcBorders>
            <w:vAlign w:val="center"/>
            <w:hideMark/>
          </w:tcPr>
          <w:p w14:paraId="550C8927" w14:textId="51D2ADE5" w:rsidR="00864851" w:rsidRPr="00E04236"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463</w:t>
            </w:r>
          </w:p>
        </w:tc>
        <w:tc>
          <w:tcPr>
            <w:tcW w:w="1239" w:type="dxa"/>
            <w:tcBorders>
              <w:top w:val="nil"/>
              <w:left w:val="nil"/>
              <w:bottom w:val="single" w:sz="4" w:space="0" w:color="auto"/>
              <w:right w:val="single" w:sz="4" w:space="0" w:color="auto"/>
            </w:tcBorders>
            <w:vAlign w:val="center"/>
            <w:hideMark/>
          </w:tcPr>
          <w:p w14:paraId="5CF67967" w14:textId="55A464DD" w:rsidR="00864851" w:rsidRPr="00E04236"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2 317</w:t>
            </w:r>
          </w:p>
        </w:tc>
        <w:tc>
          <w:tcPr>
            <w:tcW w:w="1238" w:type="dxa"/>
            <w:tcBorders>
              <w:top w:val="nil"/>
              <w:left w:val="nil"/>
              <w:bottom w:val="single" w:sz="4" w:space="0" w:color="auto"/>
              <w:right w:val="single" w:sz="4" w:space="0" w:color="auto"/>
            </w:tcBorders>
            <w:vAlign w:val="center"/>
            <w:hideMark/>
          </w:tcPr>
          <w:p w14:paraId="769C5542" w14:textId="0697CC7F" w:rsidR="00864851" w:rsidRPr="00E04236"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1,268</w:t>
            </w:r>
          </w:p>
        </w:tc>
        <w:tc>
          <w:tcPr>
            <w:tcW w:w="1239" w:type="dxa"/>
            <w:tcBorders>
              <w:top w:val="nil"/>
              <w:left w:val="nil"/>
              <w:bottom w:val="single" w:sz="4" w:space="0" w:color="auto"/>
              <w:right w:val="single" w:sz="4" w:space="0" w:color="auto"/>
            </w:tcBorders>
            <w:vAlign w:val="center"/>
            <w:hideMark/>
          </w:tcPr>
          <w:p w14:paraId="667FB3F1" w14:textId="2040BC4D" w:rsidR="00864851" w:rsidRPr="0097702A" w:rsidRDefault="00864851" w:rsidP="00864851">
            <w:pPr>
              <w:spacing w:after="0" w:line="240" w:lineRule="auto"/>
              <w:jc w:val="center"/>
              <w:rPr>
                <w:rFonts w:ascii="Calibri" w:eastAsia="Times New Roman" w:hAnsi="Calibri" w:cs="Calibri"/>
                <w:sz w:val="16"/>
                <w:szCs w:val="16"/>
                <w:lang w:eastAsia="pl-PL"/>
              </w:rPr>
            </w:pPr>
            <w:r>
              <w:rPr>
                <w:rFonts w:ascii="Calibri" w:hAnsi="Calibri" w:cs="Calibri"/>
                <w:color w:val="000000"/>
                <w:sz w:val="16"/>
                <w:szCs w:val="16"/>
              </w:rPr>
              <w:t>6,127</w:t>
            </w:r>
          </w:p>
        </w:tc>
        <w:tc>
          <w:tcPr>
            <w:tcW w:w="1418" w:type="dxa"/>
            <w:tcBorders>
              <w:top w:val="nil"/>
              <w:left w:val="nil"/>
              <w:bottom w:val="single" w:sz="4" w:space="0" w:color="auto"/>
              <w:right w:val="single" w:sz="4" w:space="0" w:color="auto"/>
            </w:tcBorders>
            <w:vAlign w:val="center"/>
            <w:hideMark/>
          </w:tcPr>
          <w:p w14:paraId="4C272534" w14:textId="70BBCE5D" w:rsidR="00864851" w:rsidRPr="0097702A" w:rsidRDefault="00864851" w:rsidP="00864851">
            <w:pPr>
              <w:spacing w:after="0" w:line="240" w:lineRule="auto"/>
              <w:jc w:val="center"/>
              <w:rPr>
                <w:rFonts w:ascii="Calibri" w:eastAsia="Times New Roman" w:hAnsi="Calibri" w:cs="Calibri"/>
                <w:sz w:val="16"/>
                <w:szCs w:val="16"/>
                <w:lang w:eastAsia="pl-PL"/>
              </w:rPr>
            </w:pPr>
            <w:r>
              <w:rPr>
                <w:rFonts w:ascii="Calibri" w:hAnsi="Calibri" w:cs="Calibri"/>
                <w:color w:val="000000"/>
                <w:sz w:val="16"/>
                <w:szCs w:val="16"/>
              </w:rPr>
              <w:t>11,5</w:t>
            </w:r>
          </w:p>
        </w:tc>
        <w:tc>
          <w:tcPr>
            <w:tcW w:w="1275" w:type="dxa"/>
            <w:tcBorders>
              <w:top w:val="nil"/>
              <w:left w:val="nil"/>
              <w:bottom w:val="single" w:sz="4" w:space="0" w:color="auto"/>
              <w:right w:val="single" w:sz="4" w:space="0" w:color="auto"/>
            </w:tcBorders>
            <w:vAlign w:val="center"/>
            <w:hideMark/>
          </w:tcPr>
          <w:p w14:paraId="14CB1103" w14:textId="501D0B5D" w:rsidR="00864851" w:rsidRPr="0097702A" w:rsidRDefault="00864851" w:rsidP="00864851">
            <w:pPr>
              <w:spacing w:after="0" w:line="240" w:lineRule="auto"/>
              <w:jc w:val="center"/>
              <w:rPr>
                <w:rFonts w:ascii="Calibri" w:eastAsia="Times New Roman" w:hAnsi="Calibri" w:cs="Calibri"/>
                <w:sz w:val="16"/>
                <w:szCs w:val="16"/>
                <w:lang w:eastAsia="pl-PL"/>
              </w:rPr>
            </w:pPr>
            <w:r>
              <w:rPr>
                <w:rFonts w:ascii="Calibri" w:hAnsi="Calibri" w:cs="Calibri"/>
                <w:color w:val="000000"/>
                <w:sz w:val="16"/>
                <w:szCs w:val="16"/>
              </w:rPr>
              <w:t>58,0</w:t>
            </w:r>
          </w:p>
        </w:tc>
      </w:tr>
      <w:tr w:rsidR="00864851" w:rsidRPr="00E04236" w14:paraId="7560A708" w14:textId="77777777" w:rsidTr="007A7C7A">
        <w:trPr>
          <w:trHeight w:val="675"/>
        </w:trPr>
        <w:tc>
          <w:tcPr>
            <w:tcW w:w="1420" w:type="dxa"/>
            <w:tcBorders>
              <w:top w:val="nil"/>
              <w:left w:val="single" w:sz="4" w:space="0" w:color="auto"/>
              <w:bottom w:val="single" w:sz="4" w:space="0" w:color="auto"/>
              <w:right w:val="single" w:sz="4" w:space="0" w:color="auto"/>
            </w:tcBorders>
            <w:vAlign w:val="center"/>
            <w:hideMark/>
          </w:tcPr>
          <w:p w14:paraId="52849C96" w14:textId="77777777" w:rsidR="00864851" w:rsidRPr="00E04236" w:rsidRDefault="00864851" w:rsidP="00864851">
            <w:pPr>
              <w:spacing w:after="0" w:line="240" w:lineRule="auto"/>
              <w:rPr>
                <w:rFonts w:ascii="Calibri" w:eastAsia="Times New Roman" w:hAnsi="Calibri" w:cs="Calibri"/>
                <w:color w:val="000000"/>
                <w:sz w:val="16"/>
                <w:szCs w:val="16"/>
                <w:lang w:eastAsia="pl-PL"/>
              </w:rPr>
            </w:pPr>
            <w:r w:rsidRPr="00E04236">
              <w:rPr>
                <w:rFonts w:ascii="Calibri" w:eastAsia="Times New Roman" w:hAnsi="Calibri" w:cs="Calibri"/>
                <w:color w:val="000000"/>
                <w:sz w:val="16"/>
                <w:szCs w:val="16"/>
                <w:lang w:eastAsia="pl-PL"/>
              </w:rPr>
              <w:t>Pożyczki gotówkowe na okres pow. 60 dni</w:t>
            </w:r>
          </w:p>
        </w:tc>
        <w:tc>
          <w:tcPr>
            <w:tcW w:w="1238" w:type="dxa"/>
            <w:tcBorders>
              <w:top w:val="nil"/>
              <w:left w:val="nil"/>
              <w:bottom w:val="single" w:sz="4" w:space="0" w:color="auto"/>
              <w:right w:val="single" w:sz="4" w:space="0" w:color="auto"/>
            </w:tcBorders>
            <w:vAlign w:val="center"/>
            <w:hideMark/>
          </w:tcPr>
          <w:p w14:paraId="4478037A" w14:textId="7B322D54" w:rsidR="00864851" w:rsidRPr="00E04236"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84</w:t>
            </w:r>
          </w:p>
        </w:tc>
        <w:tc>
          <w:tcPr>
            <w:tcW w:w="1239" w:type="dxa"/>
            <w:tcBorders>
              <w:top w:val="nil"/>
              <w:left w:val="nil"/>
              <w:bottom w:val="single" w:sz="4" w:space="0" w:color="auto"/>
              <w:right w:val="single" w:sz="4" w:space="0" w:color="auto"/>
            </w:tcBorders>
            <w:vAlign w:val="center"/>
            <w:hideMark/>
          </w:tcPr>
          <w:p w14:paraId="4B2A491E" w14:textId="1622D0F1" w:rsidR="00864851" w:rsidRPr="00E04236"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386</w:t>
            </w:r>
          </w:p>
        </w:tc>
        <w:tc>
          <w:tcPr>
            <w:tcW w:w="1238" w:type="dxa"/>
            <w:tcBorders>
              <w:top w:val="nil"/>
              <w:left w:val="nil"/>
              <w:bottom w:val="single" w:sz="4" w:space="0" w:color="auto"/>
              <w:right w:val="single" w:sz="4" w:space="0" w:color="auto"/>
            </w:tcBorders>
            <w:vAlign w:val="center"/>
            <w:hideMark/>
          </w:tcPr>
          <w:p w14:paraId="3043F005" w14:textId="00FFAC59" w:rsidR="00864851" w:rsidRPr="00E04236"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0,542</w:t>
            </w:r>
          </w:p>
        </w:tc>
        <w:tc>
          <w:tcPr>
            <w:tcW w:w="1239" w:type="dxa"/>
            <w:tcBorders>
              <w:top w:val="nil"/>
              <w:left w:val="nil"/>
              <w:bottom w:val="single" w:sz="4" w:space="0" w:color="auto"/>
              <w:right w:val="single" w:sz="4" w:space="0" w:color="auto"/>
            </w:tcBorders>
            <w:vAlign w:val="center"/>
            <w:hideMark/>
          </w:tcPr>
          <w:p w14:paraId="395BCDC7" w14:textId="2D97A00F" w:rsidR="00864851" w:rsidRPr="0097702A" w:rsidRDefault="00864851" w:rsidP="00864851">
            <w:pPr>
              <w:spacing w:after="0" w:line="240" w:lineRule="auto"/>
              <w:jc w:val="center"/>
              <w:rPr>
                <w:rFonts w:ascii="Calibri" w:eastAsia="Times New Roman" w:hAnsi="Calibri" w:cs="Calibri"/>
                <w:sz w:val="16"/>
                <w:szCs w:val="16"/>
                <w:lang w:eastAsia="pl-PL"/>
              </w:rPr>
            </w:pPr>
            <w:r>
              <w:rPr>
                <w:rFonts w:ascii="Calibri" w:hAnsi="Calibri" w:cs="Calibri"/>
                <w:color w:val="000000"/>
                <w:sz w:val="16"/>
                <w:szCs w:val="16"/>
              </w:rPr>
              <w:t>2,461</w:t>
            </w:r>
          </w:p>
        </w:tc>
        <w:tc>
          <w:tcPr>
            <w:tcW w:w="1418" w:type="dxa"/>
            <w:tcBorders>
              <w:top w:val="nil"/>
              <w:left w:val="nil"/>
              <w:bottom w:val="single" w:sz="4" w:space="0" w:color="auto"/>
              <w:right w:val="single" w:sz="4" w:space="0" w:color="auto"/>
            </w:tcBorders>
            <w:vAlign w:val="center"/>
            <w:hideMark/>
          </w:tcPr>
          <w:p w14:paraId="11F21C98" w14:textId="46E486AE" w:rsidR="00864851" w:rsidRPr="0097702A" w:rsidRDefault="00864851" w:rsidP="00864851">
            <w:pPr>
              <w:spacing w:after="0" w:line="240" w:lineRule="auto"/>
              <w:jc w:val="center"/>
              <w:rPr>
                <w:rFonts w:ascii="Calibri" w:eastAsia="Times New Roman" w:hAnsi="Calibri" w:cs="Calibri"/>
                <w:sz w:val="16"/>
                <w:szCs w:val="16"/>
                <w:lang w:eastAsia="pl-PL"/>
              </w:rPr>
            </w:pPr>
            <w:r>
              <w:rPr>
                <w:rFonts w:ascii="Calibri" w:hAnsi="Calibri" w:cs="Calibri"/>
                <w:color w:val="000000"/>
                <w:sz w:val="16"/>
                <w:szCs w:val="16"/>
              </w:rPr>
              <w:t>16,8</w:t>
            </w:r>
          </w:p>
        </w:tc>
        <w:tc>
          <w:tcPr>
            <w:tcW w:w="1275" w:type="dxa"/>
            <w:tcBorders>
              <w:top w:val="nil"/>
              <w:left w:val="nil"/>
              <w:bottom w:val="single" w:sz="4" w:space="0" w:color="auto"/>
              <w:right w:val="single" w:sz="4" w:space="0" w:color="auto"/>
            </w:tcBorders>
            <w:vAlign w:val="center"/>
            <w:hideMark/>
          </w:tcPr>
          <w:p w14:paraId="103FA9C5" w14:textId="1A968991" w:rsidR="00864851" w:rsidRPr="0097702A" w:rsidRDefault="00864851" w:rsidP="00864851">
            <w:pPr>
              <w:spacing w:after="0" w:line="240" w:lineRule="auto"/>
              <w:jc w:val="center"/>
              <w:rPr>
                <w:rFonts w:ascii="Calibri" w:eastAsia="Times New Roman" w:hAnsi="Calibri" w:cs="Calibri"/>
                <w:sz w:val="16"/>
                <w:szCs w:val="16"/>
                <w:lang w:eastAsia="pl-PL"/>
              </w:rPr>
            </w:pPr>
            <w:r>
              <w:rPr>
                <w:rFonts w:ascii="Calibri" w:hAnsi="Calibri" w:cs="Calibri"/>
                <w:color w:val="000000"/>
                <w:sz w:val="16"/>
                <w:szCs w:val="16"/>
              </w:rPr>
              <w:t>81,1</w:t>
            </w:r>
          </w:p>
        </w:tc>
      </w:tr>
      <w:tr w:rsidR="00864851" w:rsidRPr="00E04236" w14:paraId="7629A498" w14:textId="77777777" w:rsidTr="007A7C7A">
        <w:trPr>
          <w:trHeight w:val="675"/>
        </w:trPr>
        <w:tc>
          <w:tcPr>
            <w:tcW w:w="1420" w:type="dxa"/>
            <w:tcBorders>
              <w:top w:val="nil"/>
              <w:left w:val="single" w:sz="4" w:space="0" w:color="auto"/>
              <w:bottom w:val="single" w:sz="4" w:space="0" w:color="auto"/>
              <w:right w:val="single" w:sz="4" w:space="0" w:color="auto"/>
            </w:tcBorders>
            <w:vAlign w:val="center"/>
          </w:tcPr>
          <w:p w14:paraId="17FFD803" w14:textId="12F88FC2" w:rsidR="00864851" w:rsidRPr="00E04236" w:rsidRDefault="00864851" w:rsidP="00864851">
            <w:pPr>
              <w:spacing w:after="0" w:line="240" w:lineRule="auto"/>
              <w:rPr>
                <w:rFonts w:ascii="Calibri" w:eastAsia="Times New Roman" w:hAnsi="Calibri" w:cs="Calibri"/>
                <w:color w:val="000000"/>
                <w:sz w:val="16"/>
                <w:szCs w:val="16"/>
                <w:lang w:eastAsia="pl-PL"/>
              </w:rPr>
            </w:pPr>
            <w:r w:rsidRPr="00E04236">
              <w:rPr>
                <w:rFonts w:ascii="Calibri" w:eastAsia="Times New Roman" w:hAnsi="Calibri" w:cs="Calibri"/>
                <w:color w:val="000000"/>
                <w:sz w:val="16"/>
                <w:szCs w:val="16"/>
                <w:lang w:eastAsia="pl-PL"/>
              </w:rPr>
              <w:t xml:space="preserve">Pożyczki </w:t>
            </w:r>
            <w:r>
              <w:rPr>
                <w:rFonts w:ascii="Calibri" w:eastAsia="Times New Roman" w:hAnsi="Calibri" w:cs="Calibri"/>
                <w:color w:val="000000"/>
                <w:sz w:val="16"/>
                <w:szCs w:val="16"/>
                <w:lang w:eastAsia="pl-PL"/>
              </w:rPr>
              <w:t>ratalne</w:t>
            </w:r>
          </w:p>
        </w:tc>
        <w:tc>
          <w:tcPr>
            <w:tcW w:w="1238" w:type="dxa"/>
            <w:tcBorders>
              <w:top w:val="nil"/>
              <w:left w:val="nil"/>
              <w:bottom w:val="single" w:sz="4" w:space="0" w:color="auto"/>
              <w:right w:val="single" w:sz="4" w:space="0" w:color="auto"/>
            </w:tcBorders>
            <w:vAlign w:val="center"/>
          </w:tcPr>
          <w:p w14:paraId="4D0E96EC" w14:textId="51FC3A43" w:rsidR="00864851" w:rsidRDefault="00864851" w:rsidP="00864851">
            <w:pPr>
              <w:spacing w:after="0" w:line="240" w:lineRule="auto"/>
              <w:jc w:val="center"/>
              <w:rPr>
                <w:rFonts w:ascii="Calibri" w:hAnsi="Calibri" w:cs="Calibri"/>
                <w:color w:val="000000"/>
                <w:sz w:val="16"/>
                <w:szCs w:val="16"/>
              </w:rPr>
            </w:pPr>
            <w:r>
              <w:rPr>
                <w:rFonts w:ascii="Calibri" w:hAnsi="Calibri" w:cs="Calibri"/>
                <w:color w:val="000000"/>
                <w:sz w:val="16"/>
                <w:szCs w:val="16"/>
              </w:rPr>
              <w:t>1106</w:t>
            </w:r>
          </w:p>
        </w:tc>
        <w:tc>
          <w:tcPr>
            <w:tcW w:w="1239" w:type="dxa"/>
            <w:tcBorders>
              <w:top w:val="nil"/>
              <w:left w:val="nil"/>
              <w:bottom w:val="single" w:sz="4" w:space="0" w:color="auto"/>
              <w:right w:val="single" w:sz="4" w:space="0" w:color="auto"/>
            </w:tcBorders>
            <w:vAlign w:val="center"/>
          </w:tcPr>
          <w:p w14:paraId="43C0BF8A" w14:textId="37DDE8EE" w:rsidR="00864851" w:rsidRDefault="00864851" w:rsidP="00864851">
            <w:pPr>
              <w:spacing w:after="0" w:line="240" w:lineRule="auto"/>
              <w:jc w:val="center"/>
              <w:rPr>
                <w:rFonts w:ascii="Calibri" w:hAnsi="Calibri" w:cs="Calibri"/>
                <w:color w:val="000000"/>
                <w:sz w:val="16"/>
                <w:szCs w:val="16"/>
              </w:rPr>
            </w:pPr>
            <w:r>
              <w:rPr>
                <w:rFonts w:ascii="Calibri" w:hAnsi="Calibri" w:cs="Calibri"/>
                <w:color w:val="000000"/>
                <w:sz w:val="16"/>
                <w:szCs w:val="16"/>
              </w:rPr>
              <w:t>5 027</w:t>
            </w:r>
          </w:p>
        </w:tc>
        <w:tc>
          <w:tcPr>
            <w:tcW w:w="1238" w:type="dxa"/>
            <w:tcBorders>
              <w:top w:val="nil"/>
              <w:left w:val="nil"/>
              <w:bottom w:val="single" w:sz="4" w:space="0" w:color="auto"/>
              <w:right w:val="single" w:sz="4" w:space="0" w:color="auto"/>
            </w:tcBorders>
            <w:vAlign w:val="center"/>
          </w:tcPr>
          <w:p w14:paraId="5480E8DF" w14:textId="78383EA0" w:rsidR="00864851" w:rsidRDefault="00864851" w:rsidP="00864851">
            <w:pPr>
              <w:spacing w:after="0" w:line="240" w:lineRule="auto"/>
              <w:jc w:val="center"/>
              <w:rPr>
                <w:rFonts w:ascii="Calibri" w:hAnsi="Calibri" w:cs="Calibri"/>
                <w:color w:val="000000"/>
                <w:sz w:val="16"/>
                <w:szCs w:val="16"/>
              </w:rPr>
            </w:pPr>
            <w:r>
              <w:rPr>
                <w:rFonts w:ascii="Calibri" w:hAnsi="Calibri" w:cs="Calibri"/>
                <w:color w:val="000000"/>
                <w:sz w:val="16"/>
                <w:szCs w:val="16"/>
              </w:rPr>
              <w:t>0,754</w:t>
            </w:r>
          </w:p>
        </w:tc>
        <w:tc>
          <w:tcPr>
            <w:tcW w:w="1239" w:type="dxa"/>
            <w:tcBorders>
              <w:top w:val="nil"/>
              <w:left w:val="nil"/>
              <w:bottom w:val="single" w:sz="4" w:space="0" w:color="auto"/>
              <w:right w:val="single" w:sz="4" w:space="0" w:color="auto"/>
            </w:tcBorders>
            <w:vAlign w:val="center"/>
          </w:tcPr>
          <w:p w14:paraId="7072A7BF" w14:textId="1F5C763B" w:rsidR="00864851" w:rsidRDefault="00864851" w:rsidP="00864851">
            <w:pPr>
              <w:spacing w:after="0" w:line="240" w:lineRule="auto"/>
              <w:jc w:val="center"/>
              <w:rPr>
                <w:rFonts w:ascii="Calibri" w:hAnsi="Calibri" w:cs="Calibri"/>
                <w:color w:val="000000"/>
                <w:sz w:val="16"/>
                <w:szCs w:val="16"/>
              </w:rPr>
            </w:pPr>
            <w:r>
              <w:rPr>
                <w:rFonts w:ascii="Calibri" w:hAnsi="Calibri" w:cs="Calibri"/>
                <w:color w:val="000000"/>
                <w:sz w:val="16"/>
                <w:szCs w:val="16"/>
              </w:rPr>
              <w:t>3,355</w:t>
            </w:r>
          </w:p>
        </w:tc>
        <w:tc>
          <w:tcPr>
            <w:tcW w:w="1418" w:type="dxa"/>
            <w:tcBorders>
              <w:top w:val="nil"/>
              <w:left w:val="nil"/>
              <w:bottom w:val="single" w:sz="4" w:space="0" w:color="auto"/>
              <w:right w:val="single" w:sz="4" w:space="0" w:color="auto"/>
            </w:tcBorders>
            <w:vAlign w:val="center"/>
          </w:tcPr>
          <w:p w14:paraId="799A4A70" w14:textId="15A4F13C" w:rsidR="00864851" w:rsidRDefault="00864851" w:rsidP="00864851">
            <w:pPr>
              <w:spacing w:after="0" w:line="240" w:lineRule="auto"/>
              <w:jc w:val="center"/>
              <w:rPr>
                <w:rFonts w:ascii="Calibri" w:hAnsi="Calibri" w:cs="Calibri"/>
                <w:color w:val="000000"/>
                <w:sz w:val="16"/>
                <w:szCs w:val="16"/>
              </w:rPr>
            </w:pPr>
            <w:r>
              <w:rPr>
                <w:rFonts w:ascii="Calibri" w:hAnsi="Calibri" w:cs="Calibri"/>
                <w:color w:val="000000"/>
                <w:sz w:val="16"/>
                <w:szCs w:val="16"/>
              </w:rPr>
              <w:t>38,7</w:t>
            </w:r>
          </w:p>
        </w:tc>
        <w:tc>
          <w:tcPr>
            <w:tcW w:w="1275" w:type="dxa"/>
            <w:tcBorders>
              <w:top w:val="nil"/>
              <w:left w:val="nil"/>
              <w:bottom w:val="single" w:sz="4" w:space="0" w:color="auto"/>
              <w:right w:val="single" w:sz="4" w:space="0" w:color="auto"/>
            </w:tcBorders>
            <w:vAlign w:val="center"/>
          </w:tcPr>
          <w:p w14:paraId="2F2694DD" w14:textId="40E0103E" w:rsidR="00864851" w:rsidRDefault="00864851" w:rsidP="00864851">
            <w:pPr>
              <w:spacing w:after="0" w:line="240" w:lineRule="auto"/>
              <w:jc w:val="center"/>
              <w:rPr>
                <w:rFonts w:ascii="Calibri" w:hAnsi="Calibri" w:cs="Calibri"/>
                <w:color w:val="000000"/>
                <w:sz w:val="16"/>
                <w:szCs w:val="16"/>
              </w:rPr>
            </w:pPr>
            <w:r>
              <w:rPr>
                <w:rFonts w:ascii="Calibri" w:hAnsi="Calibri" w:cs="Calibri"/>
                <w:color w:val="000000"/>
                <w:sz w:val="16"/>
                <w:szCs w:val="16"/>
              </w:rPr>
              <w:t>172,1</w:t>
            </w:r>
          </w:p>
        </w:tc>
      </w:tr>
      <w:tr w:rsidR="00864851" w:rsidRPr="00E04236" w14:paraId="70FBF997" w14:textId="77777777" w:rsidTr="007A7C7A">
        <w:trPr>
          <w:trHeight w:val="450"/>
        </w:trPr>
        <w:tc>
          <w:tcPr>
            <w:tcW w:w="1420" w:type="dxa"/>
            <w:tcBorders>
              <w:top w:val="nil"/>
              <w:left w:val="single" w:sz="4" w:space="0" w:color="auto"/>
              <w:bottom w:val="single" w:sz="4" w:space="0" w:color="auto"/>
              <w:right w:val="single" w:sz="4" w:space="0" w:color="auto"/>
            </w:tcBorders>
            <w:vAlign w:val="center"/>
            <w:hideMark/>
          </w:tcPr>
          <w:p w14:paraId="17F4CE27" w14:textId="1F9B31DA" w:rsidR="00864851" w:rsidRPr="00E04236" w:rsidRDefault="00864851" w:rsidP="00864851">
            <w:pPr>
              <w:spacing w:after="0" w:line="240" w:lineRule="auto"/>
              <w:rPr>
                <w:rFonts w:ascii="Calibri" w:eastAsia="Times New Roman" w:hAnsi="Calibri" w:cs="Calibri"/>
                <w:color w:val="000000"/>
                <w:sz w:val="16"/>
                <w:szCs w:val="16"/>
                <w:lang w:eastAsia="pl-PL"/>
              </w:rPr>
            </w:pPr>
            <w:r w:rsidRPr="00E04236">
              <w:rPr>
                <w:rFonts w:ascii="Calibri" w:eastAsia="Times New Roman" w:hAnsi="Calibri" w:cs="Calibri"/>
                <w:color w:val="000000"/>
                <w:sz w:val="16"/>
                <w:szCs w:val="16"/>
                <w:lang w:eastAsia="pl-PL"/>
              </w:rPr>
              <w:t>Ka</w:t>
            </w:r>
            <w:r>
              <w:rPr>
                <w:rFonts w:ascii="Calibri" w:eastAsia="Times New Roman" w:hAnsi="Calibri" w:cs="Calibri"/>
                <w:color w:val="000000"/>
                <w:sz w:val="16"/>
                <w:szCs w:val="16"/>
                <w:lang w:eastAsia="pl-PL"/>
              </w:rPr>
              <w:t>r</w:t>
            </w:r>
            <w:r w:rsidRPr="00E04236">
              <w:rPr>
                <w:rFonts w:ascii="Calibri" w:eastAsia="Times New Roman" w:hAnsi="Calibri" w:cs="Calibri"/>
                <w:color w:val="000000"/>
                <w:sz w:val="16"/>
                <w:szCs w:val="16"/>
                <w:lang w:eastAsia="pl-PL"/>
              </w:rPr>
              <w:t>ty i limity pożyczkowe</w:t>
            </w:r>
          </w:p>
        </w:tc>
        <w:tc>
          <w:tcPr>
            <w:tcW w:w="1238" w:type="dxa"/>
            <w:tcBorders>
              <w:top w:val="nil"/>
              <w:left w:val="nil"/>
              <w:bottom w:val="single" w:sz="4" w:space="0" w:color="auto"/>
              <w:right w:val="single" w:sz="4" w:space="0" w:color="auto"/>
            </w:tcBorders>
            <w:vAlign w:val="center"/>
            <w:hideMark/>
          </w:tcPr>
          <w:p w14:paraId="2595658B" w14:textId="09624CA1" w:rsidR="00864851" w:rsidRPr="00E04236"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26</w:t>
            </w:r>
          </w:p>
        </w:tc>
        <w:tc>
          <w:tcPr>
            <w:tcW w:w="1239" w:type="dxa"/>
            <w:tcBorders>
              <w:top w:val="nil"/>
              <w:left w:val="nil"/>
              <w:bottom w:val="single" w:sz="4" w:space="0" w:color="auto"/>
              <w:right w:val="single" w:sz="4" w:space="0" w:color="auto"/>
            </w:tcBorders>
            <w:vAlign w:val="center"/>
            <w:hideMark/>
          </w:tcPr>
          <w:p w14:paraId="6F6541E3" w14:textId="154A9018" w:rsidR="00864851" w:rsidRPr="00E04236"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133</w:t>
            </w:r>
          </w:p>
        </w:tc>
        <w:tc>
          <w:tcPr>
            <w:tcW w:w="1238" w:type="dxa"/>
            <w:tcBorders>
              <w:top w:val="nil"/>
              <w:left w:val="nil"/>
              <w:bottom w:val="single" w:sz="4" w:space="0" w:color="auto"/>
              <w:right w:val="single" w:sz="4" w:space="0" w:color="auto"/>
            </w:tcBorders>
            <w:vAlign w:val="center"/>
            <w:hideMark/>
          </w:tcPr>
          <w:p w14:paraId="1A9D8ABE" w14:textId="0DF2498C" w:rsidR="00864851" w:rsidRPr="00E04236"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0,151</w:t>
            </w:r>
          </w:p>
        </w:tc>
        <w:tc>
          <w:tcPr>
            <w:tcW w:w="1239" w:type="dxa"/>
            <w:tcBorders>
              <w:top w:val="nil"/>
              <w:left w:val="nil"/>
              <w:bottom w:val="single" w:sz="4" w:space="0" w:color="auto"/>
              <w:right w:val="single" w:sz="4" w:space="0" w:color="auto"/>
            </w:tcBorders>
            <w:vAlign w:val="center"/>
            <w:hideMark/>
          </w:tcPr>
          <w:p w14:paraId="28E05671" w14:textId="42722315" w:rsidR="00864851" w:rsidRPr="0097702A" w:rsidRDefault="00864851" w:rsidP="00864851">
            <w:pPr>
              <w:spacing w:after="0" w:line="240" w:lineRule="auto"/>
              <w:jc w:val="center"/>
              <w:rPr>
                <w:rFonts w:ascii="Calibri" w:eastAsia="Times New Roman" w:hAnsi="Calibri" w:cs="Calibri"/>
                <w:sz w:val="16"/>
                <w:szCs w:val="16"/>
                <w:lang w:eastAsia="pl-PL"/>
              </w:rPr>
            </w:pPr>
            <w:r>
              <w:rPr>
                <w:rFonts w:ascii="Calibri" w:hAnsi="Calibri" w:cs="Calibri"/>
                <w:color w:val="000000"/>
                <w:sz w:val="16"/>
                <w:szCs w:val="16"/>
              </w:rPr>
              <w:t>0,798</w:t>
            </w:r>
          </w:p>
        </w:tc>
        <w:tc>
          <w:tcPr>
            <w:tcW w:w="1418" w:type="dxa"/>
            <w:tcBorders>
              <w:top w:val="nil"/>
              <w:left w:val="nil"/>
              <w:bottom w:val="single" w:sz="4" w:space="0" w:color="auto"/>
              <w:right w:val="single" w:sz="4" w:space="0" w:color="auto"/>
            </w:tcBorders>
            <w:vAlign w:val="center"/>
            <w:hideMark/>
          </w:tcPr>
          <w:p w14:paraId="41610877" w14:textId="5E539336" w:rsidR="00864851" w:rsidRPr="0097702A" w:rsidRDefault="00864851" w:rsidP="00864851">
            <w:pPr>
              <w:spacing w:after="0" w:line="240" w:lineRule="auto"/>
              <w:jc w:val="center"/>
              <w:rPr>
                <w:rFonts w:ascii="Calibri" w:eastAsia="Times New Roman" w:hAnsi="Calibri" w:cs="Calibri"/>
                <w:sz w:val="16"/>
                <w:szCs w:val="16"/>
                <w:lang w:eastAsia="pl-PL"/>
              </w:rPr>
            </w:pPr>
            <w:r>
              <w:rPr>
                <w:rFonts w:ascii="Calibri" w:hAnsi="Calibri" w:cs="Calibri"/>
                <w:color w:val="000000"/>
                <w:sz w:val="16"/>
                <w:szCs w:val="16"/>
              </w:rPr>
              <w:t>10,4</w:t>
            </w:r>
          </w:p>
        </w:tc>
        <w:tc>
          <w:tcPr>
            <w:tcW w:w="1275" w:type="dxa"/>
            <w:tcBorders>
              <w:top w:val="nil"/>
              <w:left w:val="nil"/>
              <w:bottom w:val="single" w:sz="4" w:space="0" w:color="auto"/>
              <w:right w:val="single" w:sz="4" w:space="0" w:color="auto"/>
            </w:tcBorders>
            <w:vAlign w:val="center"/>
            <w:hideMark/>
          </w:tcPr>
          <w:p w14:paraId="428E87C9" w14:textId="7DB0D1A8" w:rsidR="00864851" w:rsidRPr="0097702A" w:rsidRDefault="00864851" w:rsidP="00864851">
            <w:pPr>
              <w:spacing w:after="0" w:line="240" w:lineRule="auto"/>
              <w:jc w:val="center"/>
              <w:rPr>
                <w:rFonts w:ascii="Calibri" w:eastAsia="Times New Roman" w:hAnsi="Calibri" w:cs="Calibri"/>
                <w:sz w:val="16"/>
                <w:szCs w:val="16"/>
                <w:lang w:eastAsia="pl-PL"/>
              </w:rPr>
            </w:pPr>
            <w:r>
              <w:rPr>
                <w:rFonts w:ascii="Calibri" w:hAnsi="Calibri" w:cs="Calibri"/>
                <w:color w:val="000000"/>
                <w:sz w:val="16"/>
                <w:szCs w:val="16"/>
              </w:rPr>
              <w:t>61,4</w:t>
            </w:r>
          </w:p>
        </w:tc>
      </w:tr>
    </w:tbl>
    <w:p w14:paraId="74EFBE62" w14:textId="77777777" w:rsidR="00E04236" w:rsidRDefault="00E04236" w:rsidP="0050706B">
      <w:pPr>
        <w:pStyle w:val="Akapitzlist"/>
        <w:tabs>
          <w:tab w:val="left" w:pos="284"/>
        </w:tabs>
        <w:spacing w:before="120" w:after="0"/>
        <w:ind w:left="-709"/>
        <w:jc w:val="both"/>
        <w:rPr>
          <w:b/>
          <w:sz w:val="20"/>
          <w:szCs w:val="20"/>
        </w:rPr>
      </w:pPr>
    </w:p>
    <w:p w14:paraId="3AF0CCCA" w14:textId="77777777" w:rsidR="00C332D0" w:rsidRDefault="00C332D0">
      <w:pPr>
        <w:rPr>
          <w:b/>
          <w:sz w:val="20"/>
          <w:szCs w:val="20"/>
        </w:rPr>
      </w:pPr>
      <w:r>
        <w:rPr>
          <w:b/>
          <w:sz w:val="20"/>
          <w:szCs w:val="20"/>
        </w:rPr>
        <w:br w:type="page"/>
      </w:r>
    </w:p>
    <w:p w14:paraId="1CB5A834" w14:textId="1A4DEFAF" w:rsidR="0050706B" w:rsidRDefault="0050706B" w:rsidP="0050706B">
      <w:pPr>
        <w:spacing w:before="120" w:after="0"/>
        <w:ind w:left="-709"/>
        <w:jc w:val="both"/>
        <w:rPr>
          <w:b/>
          <w:sz w:val="20"/>
          <w:szCs w:val="20"/>
        </w:rPr>
      </w:pPr>
      <w:r w:rsidRPr="00DF1D77">
        <w:rPr>
          <w:b/>
          <w:sz w:val="20"/>
          <w:szCs w:val="20"/>
        </w:rPr>
        <w:lastRenderedPageBreak/>
        <w:t>Dynamik</w:t>
      </w:r>
      <w:r>
        <w:rPr>
          <w:b/>
          <w:sz w:val="20"/>
          <w:szCs w:val="20"/>
        </w:rPr>
        <w:t>a</w:t>
      </w:r>
    </w:p>
    <w:tbl>
      <w:tblPr>
        <w:tblW w:w="99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2"/>
        <w:gridCol w:w="1181"/>
        <w:gridCol w:w="1181"/>
        <w:gridCol w:w="1182"/>
        <w:gridCol w:w="1181"/>
        <w:gridCol w:w="1181"/>
        <w:gridCol w:w="1182"/>
      </w:tblGrid>
      <w:tr w:rsidR="0050706B" w:rsidRPr="00885667" w14:paraId="240E4BA4" w14:textId="77777777" w:rsidTr="004B0E0D">
        <w:trPr>
          <w:trHeight w:val="366"/>
        </w:trPr>
        <w:tc>
          <w:tcPr>
            <w:tcW w:w="2902" w:type="dxa"/>
            <w:vMerge w:val="restart"/>
            <w:vAlign w:val="center"/>
            <w:hideMark/>
          </w:tcPr>
          <w:p w14:paraId="00029309" w14:textId="40DEC887" w:rsidR="0050706B" w:rsidRPr="00885667" w:rsidRDefault="0050706B" w:rsidP="002A49AB">
            <w:pPr>
              <w:spacing w:after="0" w:line="240" w:lineRule="auto"/>
              <w:jc w:val="center"/>
              <w:rPr>
                <w:rFonts w:ascii="Calibri" w:eastAsia="Times New Roman" w:hAnsi="Calibri" w:cs="Calibri"/>
                <w:b/>
                <w:bCs/>
                <w:color w:val="000000"/>
                <w:sz w:val="14"/>
                <w:szCs w:val="14"/>
                <w:lang w:eastAsia="pl-PL"/>
              </w:rPr>
            </w:pPr>
            <w:r w:rsidRPr="00885667">
              <w:rPr>
                <w:rFonts w:ascii="Calibri" w:eastAsia="Times New Roman" w:hAnsi="Calibri" w:cs="Calibri"/>
                <w:b/>
                <w:bCs/>
                <w:color w:val="000000"/>
                <w:sz w:val="14"/>
                <w:szCs w:val="14"/>
                <w:lang w:eastAsia="pl-PL"/>
              </w:rPr>
              <w:t>Wyszczególnienie</w:t>
            </w:r>
          </w:p>
        </w:tc>
        <w:tc>
          <w:tcPr>
            <w:tcW w:w="3544" w:type="dxa"/>
            <w:gridSpan w:val="3"/>
            <w:vAlign w:val="center"/>
            <w:hideMark/>
          </w:tcPr>
          <w:p w14:paraId="7DCF5FF6" w14:textId="77777777" w:rsidR="0050706B" w:rsidRPr="00885667" w:rsidRDefault="0050706B" w:rsidP="002A49AB">
            <w:pPr>
              <w:spacing w:after="0" w:line="240" w:lineRule="auto"/>
              <w:jc w:val="center"/>
              <w:rPr>
                <w:rFonts w:ascii="Calibri" w:eastAsia="Times New Roman" w:hAnsi="Calibri" w:cs="Calibri"/>
                <w:b/>
                <w:bCs/>
                <w:color w:val="000000"/>
                <w:sz w:val="14"/>
                <w:szCs w:val="14"/>
                <w:lang w:eastAsia="pl-PL"/>
              </w:rPr>
            </w:pPr>
            <w:r w:rsidRPr="00885667">
              <w:rPr>
                <w:rFonts w:ascii="Calibri" w:eastAsia="Times New Roman" w:hAnsi="Calibri" w:cs="Calibri"/>
                <w:b/>
                <w:bCs/>
                <w:color w:val="000000"/>
                <w:sz w:val="14"/>
                <w:szCs w:val="14"/>
                <w:lang w:eastAsia="pl-PL"/>
              </w:rPr>
              <w:t>Ujęcie liczbowe</w:t>
            </w:r>
          </w:p>
        </w:tc>
        <w:tc>
          <w:tcPr>
            <w:tcW w:w="3544" w:type="dxa"/>
            <w:gridSpan w:val="3"/>
            <w:vAlign w:val="center"/>
          </w:tcPr>
          <w:p w14:paraId="17A15A34" w14:textId="77777777" w:rsidR="0050706B" w:rsidRPr="00885667" w:rsidRDefault="0050706B" w:rsidP="002A49AB">
            <w:pPr>
              <w:spacing w:after="0" w:line="240" w:lineRule="auto"/>
              <w:jc w:val="center"/>
              <w:rPr>
                <w:rFonts w:ascii="Calibri" w:eastAsia="Times New Roman" w:hAnsi="Calibri" w:cs="Calibri"/>
                <w:b/>
                <w:bCs/>
                <w:color w:val="000000"/>
                <w:sz w:val="14"/>
                <w:szCs w:val="14"/>
                <w:lang w:eastAsia="pl-PL"/>
              </w:rPr>
            </w:pPr>
            <w:r w:rsidRPr="00885667">
              <w:rPr>
                <w:rFonts w:ascii="Calibri" w:eastAsia="Times New Roman" w:hAnsi="Calibri" w:cs="Calibri"/>
                <w:b/>
                <w:bCs/>
                <w:color w:val="000000"/>
                <w:sz w:val="14"/>
                <w:szCs w:val="14"/>
                <w:lang w:eastAsia="pl-PL"/>
              </w:rPr>
              <w:t>Ujęcie wartościowe</w:t>
            </w:r>
          </w:p>
        </w:tc>
      </w:tr>
      <w:tr w:rsidR="00864851" w:rsidRPr="00DA7BE8" w14:paraId="6A8B3DF3" w14:textId="77777777" w:rsidTr="001D569A">
        <w:trPr>
          <w:trHeight w:val="113"/>
        </w:trPr>
        <w:tc>
          <w:tcPr>
            <w:tcW w:w="2902" w:type="dxa"/>
            <w:vMerge/>
            <w:vAlign w:val="center"/>
            <w:hideMark/>
          </w:tcPr>
          <w:p w14:paraId="5378A8BF" w14:textId="77777777" w:rsidR="00864851" w:rsidRPr="00DA7BE8" w:rsidRDefault="00864851" w:rsidP="00864851">
            <w:pPr>
              <w:spacing w:after="0"/>
              <w:jc w:val="center"/>
              <w:rPr>
                <w:rFonts w:ascii="Calibri" w:hAnsi="Calibri" w:cs="Calibri"/>
                <w:color w:val="000000"/>
                <w:sz w:val="12"/>
                <w:szCs w:val="12"/>
              </w:rPr>
            </w:pPr>
          </w:p>
        </w:tc>
        <w:tc>
          <w:tcPr>
            <w:tcW w:w="1181" w:type="dxa"/>
            <w:vAlign w:val="center"/>
            <w:hideMark/>
          </w:tcPr>
          <w:p w14:paraId="56EE7CE1" w14:textId="5A4A76A3" w:rsidR="00864851" w:rsidRPr="00984A59" w:rsidRDefault="00864851" w:rsidP="00864851">
            <w:pPr>
              <w:jc w:val="center"/>
              <w:rPr>
                <w:rFonts w:ascii="Calibri" w:hAnsi="Calibri" w:cs="Calibri"/>
                <w:color w:val="000000"/>
                <w:sz w:val="16"/>
                <w:szCs w:val="16"/>
              </w:rPr>
            </w:pPr>
            <w:r>
              <w:rPr>
                <w:rFonts w:ascii="Calibri" w:hAnsi="Calibri" w:cs="Calibri"/>
                <w:color w:val="000000"/>
                <w:sz w:val="12"/>
                <w:szCs w:val="12"/>
              </w:rPr>
              <w:t>05.2026/05.2025</w:t>
            </w:r>
            <w:r>
              <w:rPr>
                <w:rFonts w:ascii="Calibri" w:hAnsi="Calibri" w:cs="Calibri"/>
                <w:color w:val="000000"/>
                <w:sz w:val="12"/>
                <w:szCs w:val="12"/>
              </w:rPr>
              <w:br/>
              <w:t>(miesiąc do miesiąca roku poprzedniego)</w:t>
            </w:r>
          </w:p>
        </w:tc>
        <w:tc>
          <w:tcPr>
            <w:tcW w:w="1181" w:type="dxa"/>
            <w:vAlign w:val="center"/>
            <w:hideMark/>
          </w:tcPr>
          <w:p w14:paraId="1639A73F" w14:textId="6B5E91B9" w:rsidR="00864851" w:rsidRPr="00984A59" w:rsidRDefault="00864851" w:rsidP="00864851">
            <w:pPr>
              <w:jc w:val="center"/>
              <w:rPr>
                <w:rFonts w:ascii="Calibri" w:hAnsi="Calibri" w:cs="Calibri"/>
                <w:color w:val="000000"/>
                <w:sz w:val="16"/>
                <w:szCs w:val="16"/>
              </w:rPr>
            </w:pPr>
            <w:r>
              <w:rPr>
                <w:rFonts w:ascii="Calibri" w:hAnsi="Calibri" w:cs="Calibri"/>
                <w:color w:val="000000"/>
                <w:sz w:val="12"/>
                <w:szCs w:val="12"/>
              </w:rPr>
              <w:t>05.2026/04.2026</w:t>
            </w:r>
            <w:r>
              <w:rPr>
                <w:rFonts w:ascii="Calibri" w:hAnsi="Calibri" w:cs="Calibri"/>
                <w:color w:val="000000"/>
                <w:sz w:val="12"/>
                <w:szCs w:val="12"/>
              </w:rPr>
              <w:br/>
              <w:t>(miesiąc do miesiąca poprzedniego)</w:t>
            </w:r>
          </w:p>
        </w:tc>
        <w:tc>
          <w:tcPr>
            <w:tcW w:w="1182" w:type="dxa"/>
            <w:vAlign w:val="center"/>
          </w:tcPr>
          <w:p w14:paraId="3CD1D7C1" w14:textId="521D96B8" w:rsidR="00864851" w:rsidRPr="00984A59" w:rsidRDefault="00864851" w:rsidP="00864851">
            <w:pPr>
              <w:jc w:val="center"/>
              <w:rPr>
                <w:rFonts w:ascii="Calibri" w:hAnsi="Calibri" w:cs="Calibri"/>
                <w:color w:val="000000"/>
                <w:sz w:val="16"/>
                <w:szCs w:val="16"/>
              </w:rPr>
            </w:pPr>
            <w:r>
              <w:rPr>
                <w:rFonts w:ascii="Calibri" w:hAnsi="Calibri" w:cs="Calibri"/>
                <w:color w:val="000000"/>
                <w:sz w:val="12"/>
                <w:szCs w:val="12"/>
              </w:rPr>
              <w:t>01-05.2026/01-05.2025</w:t>
            </w:r>
            <w:r>
              <w:rPr>
                <w:rFonts w:ascii="Calibri" w:hAnsi="Calibri" w:cs="Calibri"/>
                <w:color w:val="000000"/>
                <w:sz w:val="12"/>
                <w:szCs w:val="12"/>
              </w:rPr>
              <w:br/>
              <w:t>(narastająco od początku roku)</w:t>
            </w:r>
          </w:p>
        </w:tc>
        <w:tc>
          <w:tcPr>
            <w:tcW w:w="1181" w:type="dxa"/>
            <w:vAlign w:val="center"/>
          </w:tcPr>
          <w:p w14:paraId="594EE5F9" w14:textId="331C35A7" w:rsidR="00864851" w:rsidRPr="00984A59" w:rsidRDefault="00864851" w:rsidP="00864851">
            <w:pPr>
              <w:jc w:val="center"/>
              <w:rPr>
                <w:rFonts w:ascii="Calibri" w:hAnsi="Calibri" w:cs="Calibri"/>
                <w:color w:val="000000"/>
                <w:sz w:val="16"/>
                <w:szCs w:val="16"/>
              </w:rPr>
            </w:pPr>
            <w:r>
              <w:rPr>
                <w:rFonts w:ascii="Calibri" w:hAnsi="Calibri" w:cs="Calibri"/>
                <w:color w:val="000000"/>
                <w:sz w:val="12"/>
                <w:szCs w:val="12"/>
              </w:rPr>
              <w:t>05.2026/05.2025</w:t>
            </w:r>
            <w:r>
              <w:rPr>
                <w:rFonts w:ascii="Calibri" w:hAnsi="Calibri" w:cs="Calibri"/>
                <w:color w:val="000000"/>
                <w:sz w:val="12"/>
                <w:szCs w:val="12"/>
              </w:rPr>
              <w:br/>
              <w:t>(miesiąc do miesiąca roku poprzedniego)</w:t>
            </w:r>
          </w:p>
        </w:tc>
        <w:tc>
          <w:tcPr>
            <w:tcW w:w="1181" w:type="dxa"/>
            <w:vAlign w:val="center"/>
            <w:hideMark/>
          </w:tcPr>
          <w:p w14:paraId="42D959A6" w14:textId="163E2BD7" w:rsidR="00864851" w:rsidRPr="00984A59" w:rsidRDefault="00864851" w:rsidP="00864851">
            <w:pPr>
              <w:jc w:val="center"/>
              <w:rPr>
                <w:rFonts w:ascii="Calibri" w:hAnsi="Calibri" w:cs="Calibri"/>
                <w:color w:val="000000"/>
                <w:sz w:val="16"/>
                <w:szCs w:val="16"/>
              </w:rPr>
            </w:pPr>
            <w:r>
              <w:rPr>
                <w:rFonts w:ascii="Calibri" w:hAnsi="Calibri" w:cs="Calibri"/>
                <w:color w:val="000000"/>
                <w:sz w:val="12"/>
                <w:szCs w:val="12"/>
              </w:rPr>
              <w:t>05.2026/04.2026</w:t>
            </w:r>
            <w:r>
              <w:rPr>
                <w:rFonts w:ascii="Calibri" w:hAnsi="Calibri" w:cs="Calibri"/>
                <w:color w:val="000000"/>
                <w:sz w:val="12"/>
                <w:szCs w:val="12"/>
              </w:rPr>
              <w:br/>
              <w:t>(miesiąc do miesiąca poprzedniego)</w:t>
            </w:r>
          </w:p>
        </w:tc>
        <w:tc>
          <w:tcPr>
            <w:tcW w:w="1182" w:type="dxa"/>
            <w:vAlign w:val="center"/>
          </w:tcPr>
          <w:p w14:paraId="27510721" w14:textId="1A57C01A" w:rsidR="00864851" w:rsidRPr="00984A59" w:rsidRDefault="00864851" w:rsidP="00864851">
            <w:pPr>
              <w:jc w:val="center"/>
              <w:rPr>
                <w:rFonts w:ascii="Calibri" w:hAnsi="Calibri" w:cs="Calibri"/>
                <w:color w:val="000000"/>
                <w:sz w:val="16"/>
                <w:szCs w:val="16"/>
              </w:rPr>
            </w:pPr>
            <w:r>
              <w:rPr>
                <w:rFonts w:ascii="Calibri" w:hAnsi="Calibri" w:cs="Calibri"/>
                <w:color w:val="000000"/>
                <w:sz w:val="12"/>
                <w:szCs w:val="12"/>
              </w:rPr>
              <w:t>01-05.2026/01-05.2025</w:t>
            </w:r>
            <w:r>
              <w:rPr>
                <w:rFonts w:ascii="Calibri" w:hAnsi="Calibri" w:cs="Calibri"/>
                <w:color w:val="000000"/>
                <w:sz w:val="12"/>
                <w:szCs w:val="12"/>
              </w:rPr>
              <w:br/>
              <w:t>(narastająco od początku roku)</w:t>
            </w:r>
          </w:p>
        </w:tc>
      </w:tr>
      <w:tr w:rsidR="00864851" w:rsidRPr="00DA7BE8" w14:paraId="60759C0C" w14:textId="77777777" w:rsidTr="004B0E0D">
        <w:trPr>
          <w:trHeight w:val="300"/>
        </w:trPr>
        <w:tc>
          <w:tcPr>
            <w:tcW w:w="2902" w:type="dxa"/>
            <w:vAlign w:val="center"/>
          </w:tcPr>
          <w:p w14:paraId="70751B88" w14:textId="58D6360D" w:rsidR="00864851" w:rsidRPr="000563B0" w:rsidRDefault="00864851" w:rsidP="00864851">
            <w:pPr>
              <w:spacing w:after="0" w:line="240" w:lineRule="auto"/>
              <w:rPr>
                <w:rFonts w:ascii="Calibri" w:eastAsia="Times New Roman" w:hAnsi="Calibri" w:cs="Calibri"/>
                <w:b/>
                <w:bCs/>
                <w:color w:val="000000"/>
                <w:sz w:val="14"/>
                <w:szCs w:val="14"/>
                <w:lang w:eastAsia="pl-PL"/>
              </w:rPr>
            </w:pPr>
            <w:r w:rsidRPr="00BE59D0">
              <w:rPr>
                <w:rFonts w:ascii="Calibri" w:hAnsi="Calibri" w:cs="Calibri"/>
                <w:color w:val="000000"/>
                <w:sz w:val="16"/>
                <w:szCs w:val="16"/>
              </w:rPr>
              <w:t>Pożyczki gotówkowe</w:t>
            </w:r>
            <w:r>
              <w:rPr>
                <w:rFonts w:ascii="Calibri" w:hAnsi="Calibri" w:cs="Calibri"/>
                <w:color w:val="000000"/>
                <w:sz w:val="16"/>
                <w:szCs w:val="16"/>
              </w:rPr>
              <w:t xml:space="preserve"> na okres do 60 dni</w:t>
            </w:r>
          </w:p>
        </w:tc>
        <w:tc>
          <w:tcPr>
            <w:tcW w:w="1181" w:type="dxa"/>
            <w:vAlign w:val="center"/>
          </w:tcPr>
          <w:p w14:paraId="57AE1A21" w14:textId="1E7B86C3" w:rsidR="00864851" w:rsidRDefault="00864851" w:rsidP="00864851">
            <w:pPr>
              <w:spacing w:after="0"/>
              <w:jc w:val="center"/>
              <w:rPr>
                <w:rFonts w:ascii="Calibri" w:hAnsi="Calibri" w:cs="Calibri"/>
                <w:color w:val="0000FF"/>
                <w:sz w:val="14"/>
                <w:szCs w:val="14"/>
              </w:rPr>
            </w:pPr>
            <w:r>
              <w:rPr>
                <w:rFonts w:ascii="Aptos Narrow" w:hAnsi="Aptos Narrow"/>
                <w:color w:val="FF0000"/>
                <w:sz w:val="14"/>
                <w:szCs w:val="14"/>
              </w:rPr>
              <w:t>-0,6%</w:t>
            </w:r>
          </w:p>
        </w:tc>
        <w:tc>
          <w:tcPr>
            <w:tcW w:w="1181" w:type="dxa"/>
            <w:vAlign w:val="center"/>
          </w:tcPr>
          <w:p w14:paraId="4D2D4937" w14:textId="4FDDE939" w:rsidR="00864851" w:rsidRDefault="00864851" w:rsidP="00864851">
            <w:pPr>
              <w:spacing w:after="0"/>
              <w:jc w:val="center"/>
              <w:rPr>
                <w:rFonts w:ascii="Calibri" w:hAnsi="Calibri" w:cs="Calibri"/>
                <w:color w:val="0000FF"/>
                <w:sz w:val="14"/>
                <w:szCs w:val="14"/>
              </w:rPr>
            </w:pPr>
            <w:r>
              <w:rPr>
                <w:rFonts w:ascii="Aptos Narrow" w:hAnsi="Aptos Narrow"/>
                <w:color w:val="0000FF"/>
                <w:sz w:val="14"/>
                <w:szCs w:val="14"/>
              </w:rPr>
              <w:t>+2,1%</w:t>
            </w:r>
          </w:p>
        </w:tc>
        <w:tc>
          <w:tcPr>
            <w:tcW w:w="1182" w:type="dxa"/>
            <w:vAlign w:val="center"/>
          </w:tcPr>
          <w:p w14:paraId="5D5EAC07" w14:textId="00FFE606" w:rsidR="00864851" w:rsidRDefault="00864851" w:rsidP="00864851">
            <w:pPr>
              <w:spacing w:after="0"/>
              <w:jc w:val="center"/>
              <w:rPr>
                <w:rFonts w:ascii="Calibri" w:hAnsi="Calibri" w:cs="Calibri"/>
                <w:color w:val="0000FF"/>
                <w:sz w:val="14"/>
                <w:szCs w:val="14"/>
              </w:rPr>
            </w:pPr>
            <w:r>
              <w:rPr>
                <w:rFonts w:ascii="Aptos Narrow" w:hAnsi="Aptos Narrow"/>
                <w:color w:val="0000FF"/>
                <w:sz w:val="14"/>
                <w:szCs w:val="14"/>
              </w:rPr>
              <w:t>+2,0%</w:t>
            </w:r>
          </w:p>
        </w:tc>
        <w:tc>
          <w:tcPr>
            <w:tcW w:w="1181" w:type="dxa"/>
            <w:vAlign w:val="center"/>
          </w:tcPr>
          <w:p w14:paraId="13FA7BB6" w14:textId="45FBAD62" w:rsidR="00864851" w:rsidRDefault="00864851" w:rsidP="00864851">
            <w:pPr>
              <w:spacing w:after="0"/>
              <w:jc w:val="center"/>
              <w:rPr>
                <w:rFonts w:ascii="Calibri" w:hAnsi="Calibri" w:cs="Calibri"/>
                <w:color w:val="0000FF"/>
                <w:sz w:val="14"/>
                <w:szCs w:val="14"/>
              </w:rPr>
            </w:pPr>
            <w:r>
              <w:rPr>
                <w:rFonts w:ascii="Aptos Narrow" w:hAnsi="Aptos Narrow"/>
                <w:color w:val="0000FF"/>
                <w:sz w:val="14"/>
                <w:szCs w:val="14"/>
              </w:rPr>
              <w:t>+12,4%</w:t>
            </w:r>
          </w:p>
        </w:tc>
        <w:tc>
          <w:tcPr>
            <w:tcW w:w="1181" w:type="dxa"/>
            <w:vAlign w:val="center"/>
          </w:tcPr>
          <w:p w14:paraId="0B68AF91" w14:textId="5D6F6A3E" w:rsidR="00864851" w:rsidRDefault="00864851" w:rsidP="00864851">
            <w:pPr>
              <w:spacing w:after="0"/>
              <w:jc w:val="center"/>
              <w:rPr>
                <w:rFonts w:ascii="Calibri" w:hAnsi="Calibri" w:cs="Calibri"/>
                <w:color w:val="0000FF"/>
                <w:sz w:val="14"/>
                <w:szCs w:val="14"/>
              </w:rPr>
            </w:pPr>
            <w:r>
              <w:rPr>
                <w:rFonts w:ascii="Aptos Narrow" w:hAnsi="Aptos Narrow"/>
                <w:color w:val="0000FF"/>
                <w:sz w:val="14"/>
                <w:szCs w:val="14"/>
              </w:rPr>
              <w:t>+1,8%</w:t>
            </w:r>
          </w:p>
        </w:tc>
        <w:tc>
          <w:tcPr>
            <w:tcW w:w="1182" w:type="dxa"/>
            <w:vAlign w:val="center"/>
          </w:tcPr>
          <w:p w14:paraId="4A23F4DD" w14:textId="6E87D779" w:rsidR="00864851" w:rsidRDefault="00864851" w:rsidP="00864851">
            <w:pPr>
              <w:spacing w:after="0"/>
              <w:jc w:val="center"/>
              <w:rPr>
                <w:rFonts w:ascii="Calibri" w:hAnsi="Calibri" w:cs="Calibri"/>
                <w:color w:val="0000FF"/>
                <w:sz w:val="14"/>
                <w:szCs w:val="14"/>
              </w:rPr>
            </w:pPr>
            <w:r>
              <w:rPr>
                <w:rFonts w:ascii="Aptos Narrow" w:hAnsi="Aptos Narrow"/>
                <w:color w:val="0000FF"/>
                <w:sz w:val="14"/>
                <w:szCs w:val="14"/>
              </w:rPr>
              <w:t>+15,3%</w:t>
            </w:r>
          </w:p>
        </w:tc>
      </w:tr>
      <w:tr w:rsidR="00864851" w:rsidRPr="00DA7BE8" w14:paraId="27129069" w14:textId="77777777" w:rsidTr="004B0E0D">
        <w:trPr>
          <w:trHeight w:val="300"/>
        </w:trPr>
        <w:tc>
          <w:tcPr>
            <w:tcW w:w="2902" w:type="dxa"/>
            <w:vAlign w:val="center"/>
          </w:tcPr>
          <w:p w14:paraId="2E476A96" w14:textId="2CE46E03" w:rsidR="00864851" w:rsidRDefault="00864851" w:rsidP="00864851">
            <w:pPr>
              <w:spacing w:after="0" w:line="240" w:lineRule="auto"/>
              <w:rPr>
                <w:rFonts w:ascii="Calibri" w:hAnsi="Calibri" w:cs="Calibri"/>
                <w:color w:val="000000"/>
                <w:sz w:val="16"/>
                <w:szCs w:val="16"/>
              </w:rPr>
            </w:pPr>
            <w:r w:rsidRPr="00BE59D0">
              <w:rPr>
                <w:rFonts w:ascii="Calibri" w:hAnsi="Calibri" w:cs="Calibri"/>
                <w:color w:val="000000"/>
                <w:sz w:val="16"/>
                <w:szCs w:val="16"/>
              </w:rPr>
              <w:t>Pożyczki gotówkowe</w:t>
            </w:r>
            <w:r>
              <w:rPr>
                <w:rFonts w:ascii="Calibri" w:hAnsi="Calibri" w:cs="Calibri"/>
                <w:color w:val="000000"/>
                <w:sz w:val="16"/>
                <w:szCs w:val="16"/>
              </w:rPr>
              <w:t xml:space="preserve"> na okres pow. 60 dni</w:t>
            </w:r>
          </w:p>
        </w:tc>
        <w:tc>
          <w:tcPr>
            <w:tcW w:w="1181" w:type="dxa"/>
            <w:vAlign w:val="center"/>
          </w:tcPr>
          <w:p w14:paraId="04D0BC09" w14:textId="0DCBB6EC" w:rsidR="00864851" w:rsidRDefault="00864851" w:rsidP="00864851">
            <w:pPr>
              <w:spacing w:after="0"/>
              <w:jc w:val="center"/>
              <w:rPr>
                <w:rFonts w:ascii="Calibri" w:hAnsi="Calibri" w:cs="Calibri"/>
                <w:color w:val="FF0000"/>
                <w:sz w:val="14"/>
                <w:szCs w:val="14"/>
              </w:rPr>
            </w:pPr>
            <w:r>
              <w:rPr>
                <w:rFonts w:ascii="Aptos Narrow" w:hAnsi="Aptos Narrow"/>
                <w:color w:val="0000FF"/>
                <w:sz w:val="14"/>
                <w:szCs w:val="14"/>
              </w:rPr>
              <w:t>+6,7%</w:t>
            </w:r>
          </w:p>
        </w:tc>
        <w:tc>
          <w:tcPr>
            <w:tcW w:w="1181" w:type="dxa"/>
            <w:vAlign w:val="center"/>
          </w:tcPr>
          <w:p w14:paraId="56CA59F1" w14:textId="254C5AAB" w:rsidR="00864851" w:rsidRDefault="00864851" w:rsidP="00864851">
            <w:pPr>
              <w:spacing w:after="0"/>
              <w:jc w:val="center"/>
              <w:rPr>
                <w:rFonts w:ascii="Calibri" w:hAnsi="Calibri" w:cs="Calibri"/>
                <w:color w:val="0000FF"/>
                <w:sz w:val="14"/>
                <w:szCs w:val="14"/>
              </w:rPr>
            </w:pPr>
            <w:r>
              <w:rPr>
                <w:rFonts w:ascii="Aptos Narrow" w:hAnsi="Aptos Narrow"/>
                <w:color w:val="0000FF"/>
                <w:sz w:val="14"/>
                <w:szCs w:val="14"/>
              </w:rPr>
              <w:t>+6,4%</w:t>
            </w:r>
          </w:p>
        </w:tc>
        <w:tc>
          <w:tcPr>
            <w:tcW w:w="1182" w:type="dxa"/>
            <w:vAlign w:val="center"/>
          </w:tcPr>
          <w:p w14:paraId="2BE966FE" w14:textId="761CCC5F" w:rsidR="00864851" w:rsidRDefault="00864851" w:rsidP="00864851">
            <w:pPr>
              <w:spacing w:after="0"/>
              <w:jc w:val="center"/>
              <w:rPr>
                <w:rFonts w:ascii="Calibri" w:hAnsi="Calibri" w:cs="Calibri"/>
                <w:color w:val="FF0000"/>
                <w:sz w:val="14"/>
                <w:szCs w:val="14"/>
              </w:rPr>
            </w:pPr>
            <w:r>
              <w:rPr>
                <w:rFonts w:ascii="Aptos Narrow" w:hAnsi="Aptos Narrow"/>
                <w:color w:val="0000FF"/>
                <w:sz w:val="14"/>
                <w:szCs w:val="14"/>
              </w:rPr>
              <w:t>+3,8%</w:t>
            </w:r>
          </w:p>
        </w:tc>
        <w:tc>
          <w:tcPr>
            <w:tcW w:w="1181" w:type="dxa"/>
            <w:vAlign w:val="center"/>
          </w:tcPr>
          <w:p w14:paraId="3420DC17" w14:textId="30D445BF" w:rsidR="00864851" w:rsidRDefault="00864851" w:rsidP="00864851">
            <w:pPr>
              <w:spacing w:after="0"/>
              <w:jc w:val="center"/>
              <w:rPr>
                <w:rFonts w:ascii="Calibri" w:hAnsi="Calibri" w:cs="Calibri"/>
                <w:color w:val="FF0000"/>
                <w:sz w:val="14"/>
                <w:szCs w:val="14"/>
              </w:rPr>
            </w:pPr>
            <w:r>
              <w:rPr>
                <w:rFonts w:ascii="Aptos Narrow" w:hAnsi="Aptos Narrow"/>
                <w:color w:val="0000FF"/>
                <w:sz w:val="14"/>
                <w:szCs w:val="14"/>
              </w:rPr>
              <w:t>+16,5%</w:t>
            </w:r>
          </w:p>
        </w:tc>
        <w:tc>
          <w:tcPr>
            <w:tcW w:w="1181" w:type="dxa"/>
            <w:vAlign w:val="center"/>
          </w:tcPr>
          <w:p w14:paraId="6BA83293" w14:textId="2A10C0BC" w:rsidR="00864851" w:rsidRDefault="00864851" w:rsidP="00864851">
            <w:pPr>
              <w:spacing w:after="0"/>
              <w:jc w:val="center"/>
              <w:rPr>
                <w:rFonts w:ascii="Calibri" w:hAnsi="Calibri" w:cs="Calibri"/>
                <w:color w:val="0000FF"/>
                <w:sz w:val="14"/>
                <w:szCs w:val="14"/>
              </w:rPr>
            </w:pPr>
            <w:r>
              <w:rPr>
                <w:rFonts w:ascii="Aptos Narrow" w:hAnsi="Aptos Narrow"/>
                <w:color w:val="0000FF"/>
                <w:sz w:val="14"/>
                <w:szCs w:val="14"/>
              </w:rPr>
              <w:t>+7,8%</w:t>
            </w:r>
          </w:p>
        </w:tc>
        <w:tc>
          <w:tcPr>
            <w:tcW w:w="1182" w:type="dxa"/>
            <w:vAlign w:val="center"/>
          </w:tcPr>
          <w:p w14:paraId="2EA91189" w14:textId="32CCF505" w:rsidR="00864851" w:rsidRDefault="00864851" w:rsidP="00864851">
            <w:pPr>
              <w:spacing w:after="0"/>
              <w:jc w:val="center"/>
              <w:rPr>
                <w:rFonts w:ascii="Calibri" w:hAnsi="Calibri" w:cs="Calibri"/>
                <w:color w:val="0000FF"/>
                <w:sz w:val="14"/>
                <w:szCs w:val="14"/>
              </w:rPr>
            </w:pPr>
            <w:r>
              <w:rPr>
                <w:rFonts w:ascii="Aptos Narrow" w:hAnsi="Aptos Narrow"/>
                <w:color w:val="0000FF"/>
                <w:sz w:val="14"/>
                <w:szCs w:val="14"/>
              </w:rPr>
              <w:t>+15,9%</w:t>
            </w:r>
          </w:p>
        </w:tc>
      </w:tr>
      <w:tr w:rsidR="00864851" w:rsidRPr="00DA7BE8" w14:paraId="346F406C" w14:textId="77777777" w:rsidTr="004B0E0D">
        <w:trPr>
          <w:trHeight w:val="300"/>
        </w:trPr>
        <w:tc>
          <w:tcPr>
            <w:tcW w:w="2902" w:type="dxa"/>
            <w:vAlign w:val="center"/>
          </w:tcPr>
          <w:p w14:paraId="7A350F65" w14:textId="52DF4548" w:rsidR="00864851" w:rsidRPr="00BE59D0" w:rsidRDefault="00864851" w:rsidP="00864851">
            <w:pPr>
              <w:spacing w:after="0" w:line="240" w:lineRule="auto"/>
              <w:rPr>
                <w:rFonts w:ascii="Calibri" w:hAnsi="Calibri" w:cs="Calibri"/>
                <w:color w:val="000000"/>
                <w:sz w:val="16"/>
                <w:szCs w:val="16"/>
              </w:rPr>
            </w:pPr>
            <w:r w:rsidRPr="00BE59D0">
              <w:rPr>
                <w:rFonts w:ascii="Calibri" w:hAnsi="Calibri" w:cs="Calibri"/>
                <w:color w:val="000000"/>
                <w:sz w:val="16"/>
                <w:szCs w:val="16"/>
              </w:rPr>
              <w:t xml:space="preserve">Pożyczki </w:t>
            </w:r>
            <w:r>
              <w:rPr>
                <w:rFonts w:ascii="Calibri" w:hAnsi="Calibri" w:cs="Calibri"/>
                <w:color w:val="000000"/>
                <w:sz w:val="16"/>
                <w:szCs w:val="16"/>
              </w:rPr>
              <w:t>ratalne</w:t>
            </w:r>
          </w:p>
        </w:tc>
        <w:tc>
          <w:tcPr>
            <w:tcW w:w="1181" w:type="dxa"/>
            <w:vAlign w:val="center"/>
          </w:tcPr>
          <w:p w14:paraId="609C96F1" w14:textId="71609ECC" w:rsidR="00864851" w:rsidRDefault="00864851" w:rsidP="00864851">
            <w:pPr>
              <w:spacing w:after="0"/>
              <w:jc w:val="center"/>
              <w:rPr>
                <w:rFonts w:ascii="Aptos Narrow" w:hAnsi="Aptos Narrow"/>
                <w:color w:val="0000FF"/>
                <w:sz w:val="14"/>
                <w:szCs w:val="14"/>
              </w:rPr>
            </w:pPr>
            <w:r>
              <w:rPr>
                <w:rFonts w:ascii="Aptos Narrow" w:hAnsi="Aptos Narrow"/>
                <w:color w:val="0000FF"/>
                <w:sz w:val="14"/>
                <w:szCs w:val="14"/>
              </w:rPr>
              <w:t>+15,0%</w:t>
            </w:r>
          </w:p>
        </w:tc>
        <w:tc>
          <w:tcPr>
            <w:tcW w:w="1181" w:type="dxa"/>
            <w:vAlign w:val="center"/>
          </w:tcPr>
          <w:p w14:paraId="72578220" w14:textId="2B603ABA" w:rsidR="00864851" w:rsidRDefault="00864851" w:rsidP="00864851">
            <w:pPr>
              <w:spacing w:after="0"/>
              <w:jc w:val="center"/>
              <w:rPr>
                <w:rFonts w:ascii="Aptos Narrow" w:hAnsi="Aptos Narrow"/>
                <w:color w:val="FF0000"/>
                <w:sz w:val="14"/>
                <w:szCs w:val="14"/>
              </w:rPr>
            </w:pPr>
            <w:r>
              <w:rPr>
                <w:rFonts w:ascii="Aptos Narrow" w:hAnsi="Aptos Narrow"/>
                <w:color w:val="0000FF"/>
                <w:sz w:val="14"/>
                <w:szCs w:val="14"/>
              </w:rPr>
              <w:t>+8,2%</w:t>
            </w:r>
          </w:p>
        </w:tc>
        <w:tc>
          <w:tcPr>
            <w:tcW w:w="1182" w:type="dxa"/>
            <w:vAlign w:val="center"/>
          </w:tcPr>
          <w:p w14:paraId="2227F904" w14:textId="6216BFD3" w:rsidR="00864851" w:rsidRDefault="00864851" w:rsidP="00864851">
            <w:pPr>
              <w:spacing w:after="0"/>
              <w:jc w:val="center"/>
              <w:rPr>
                <w:rFonts w:ascii="Aptos Narrow" w:hAnsi="Aptos Narrow"/>
                <w:color w:val="0000FF"/>
                <w:sz w:val="14"/>
                <w:szCs w:val="14"/>
              </w:rPr>
            </w:pPr>
            <w:r>
              <w:rPr>
                <w:rFonts w:ascii="Aptos Narrow" w:hAnsi="Aptos Narrow"/>
                <w:color w:val="0000FF"/>
                <w:sz w:val="14"/>
                <w:szCs w:val="14"/>
              </w:rPr>
              <w:t>+18,1%</w:t>
            </w:r>
          </w:p>
        </w:tc>
        <w:tc>
          <w:tcPr>
            <w:tcW w:w="1181" w:type="dxa"/>
            <w:vAlign w:val="center"/>
          </w:tcPr>
          <w:p w14:paraId="7288DDCD" w14:textId="68712ED8" w:rsidR="00864851" w:rsidRDefault="00864851" w:rsidP="00864851">
            <w:pPr>
              <w:spacing w:after="0"/>
              <w:jc w:val="center"/>
              <w:rPr>
                <w:rFonts w:ascii="Aptos Narrow" w:hAnsi="Aptos Narrow"/>
                <w:color w:val="0000FF"/>
                <w:sz w:val="14"/>
                <w:szCs w:val="14"/>
              </w:rPr>
            </w:pPr>
            <w:r>
              <w:rPr>
                <w:rFonts w:ascii="Aptos Narrow" w:hAnsi="Aptos Narrow"/>
                <w:color w:val="0000FF"/>
                <w:sz w:val="14"/>
                <w:szCs w:val="14"/>
              </w:rPr>
              <w:t>+22,1%</w:t>
            </w:r>
          </w:p>
        </w:tc>
        <w:tc>
          <w:tcPr>
            <w:tcW w:w="1181" w:type="dxa"/>
            <w:vAlign w:val="center"/>
          </w:tcPr>
          <w:p w14:paraId="07B1E907" w14:textId="1363F5F8" w:rsidR="00864851" w:rsidRDefault="00864851" w:rsidP="00864851">
            <w:pPr>
              <w:spacing w:after="0"/>
              <w:jc w:val="center"/>
              <w:rPr>
                <w:rFonts w:ascii="Aptos Narrow" w:hAnsi="Aptos Narrow"/>
                <w:color w:val="FF0000"/>
                <w:sz w:val="14"/>
                <w:szCs w:val="14"/>
              </w:rPr>
            </w:pPr>
            <w:r>
              <w:rPr>
                <w:rFonts w:ascii="Aptos Narrow" w:hAnsi="Aptos Narrow"/>
                <w:color w:val="0000FF"/>
                <w:sz w:val="14"/>
                <w:szCs w:val="14"/>
              </w:rPr>
              <w:t>+7,4%</w:t>
            </w:r>
          </w:p>
        </w:tc>
        <w:tc>
          <w:tcPr>
            <w:tcW w:w="1182" w:type="dxa"/>
            <w:vAlign w:val="center"/>
          </w:tcPr>
          <w:p w14:paraId="4F456638" w14:textId="3372F853" w:rsidR="00864851" w:rsidRDefault="00864851" w:rsidP="00864851">
            <w:pPr>
              <w:spacing w:after="0"/>
              <w:jc w:val="center"/>
              <w:rPr>
                <w:rFonts w:ascii="Aptos Narrow" w:hAnsi="Aptos Narrow"/>
                <w:color w:val="0000FF"/>
                <w:sz w:val="14"/>
                <w:szCs w:val="14"/>
              </w:rPr>
            </w:pPr>
            <w:r>
              <w:rPr>
                <w:rFonts w:ascii="Aptos Narrow" w:hAnsi="Aptos Narrow"/>
                <w:color w:val="0000FF"/>
                <w:sz w:val="14"/>
                <w:szCs w:val="14"/>
              </w:rPr>
              <w:t>+19,5%</w:t>
            </w:r>
          </w:p>
        </w:tc>
      </w:tr>
      <w:tr w:rsidR="00864851" w:rsidRPr="00DA7BE8" w14:paraId="62800EC0" w14:textId="77777777" w:rsidTr="004B0E0D">
        <w:trPr>
          <w:trHeight w:val="300"/>
        </w:trPr>
        <w:tc>
          <w:tcPr>
            <w:tcW w:w="2902" w:type="dxa"/>
            <w:vAlign w:val="center"/>
          </w:tcPr>
          <w:p w14:paraId="1AF0696E" w14:textId="1FD433B1" w:rsidR="00864851" w:rsidRPr="000563B0" w:rsidRDefault="00864851" w:rsidP="00864851">
            <w:pPr>
              <w:spacing w:after="0" w:line="240" w:lineRule="auto"/>
              <w:rPr>
                <w:rFonts w:ascii="Calibri" w:eastAsia="Times New Roman" w:hAnsi="Calibri" w:cs="Calibri"/>
                <w:b/>
                <w:bCs/>
                <w:color w:val="000000"/>
                <w:sz w:val="14"/>
                <w:szCs w:val="14"/>
                <w:lang w:eastAsia="pl-PL"/>
              </w:rPr>
            </w:pPr>
            <w:r>
              <w:rPr>
                <w:rFonts w:ascii="Calibri" w:hAnsi="Calibri" w:cs="Calibri"/>
                <w:color w:val="000000"/>
                <w:sz w:val="16"/>
                <w:szCs w:val="16"/>
              </w:rPr>
              <w:t>Karty i l</w:t>
            </w:r>
            <w:r w:rsidRPr="00BE59D0">
              <w:rPr>
                <w:rFonts w:ascii="Calibri" w:hAnsi="Calibri" w:cs="Calibri"/>
                <w:color w:val="000000"/>
                <w:sz w:val="16"/>
                <w:szCs w:val="16"/>
              </w:rPr>
              <w:t>imity pożyczkowe</w:t>
            </w:r>
          </w:p>
        </w:tc>
        <w:tc>
          <w:tcPr>
            <w:tcW w:w="1181" w:type="dxa"/>
            <w:vAlign w:val="center"/>
          </w:tcPr>
          <w:p w14:paraId="1409581C" w14:textId="00AC74EF" w:rsidR="00864851" w:rsidRDefault="00864851" w:rsidP="00864851">
            <w:pPr>
              <w:spacing w:after="0"/>
              <w:jc w:val="center"/>
              <w:rPr>
                <w:rFonts w:ascii="Calibri" w:hAnsi="Calibri" w:cs="Calibri"/>
                <w:color w:val="0000FF"/>
                <w:sz w:val="14"/>
                <w:szCs w:val="14"/>
              </w:rPr>
            </w:pPr>
            <w:r>
              <w:rPr>
                <w:rFonts w:ascii="Aptos Narrow" w:hAnsi="Aptos Narrow"/>
                <w:color w:val="0000FF"/>
                <w:sz w:val="14"/>
                <w:szCs w:val="14"/>
              </w:rPr>
              <w:t>+46,2%</w:t>
            </w:r>
          </w:p>
        </w:tc>
        <w:tc>
          <w:tcPr>
            <w:tcW w:w="1181" w:type="dxa"/>
            <w:vAlign w:val="center"/>
          </w:tcPr>
          <w:p w14:paraId="4585F806" w14:textId="15CB5318" w:rsidR="00864851" w:rsidRDefault="00864851" w:rsidP="00864851">
            <w:pPr>
              <w:spacing w:after="0"/>
              <w:jc w:val="center"/>
              <w:rPr>
                <w:rFonts w:ascii="Calibri" w:hAnsi="Calibri" w:cs="Calibri"/>
                <w:color w:val="0000FF"/>
                <w:sz w:val="14"/>
                <w:szCs w:val="14"/>
              </w:rPr>
            </w:pPr>
            <w:r>
              <w:rPr>
                <w:rFonts w:ascii="Aptos Narrow" w:hAnsi="Aptos Narrow"/>
                <w:color w:val="FF0000"/>
                <w:sz w:val="14"/>
                <w:szCs w:val="14"/>
              </w:rPr>
              <w:t>-2,0%</w:t>
            </w:r>
          </w:p>
        </w:tc>
        <w:tc>
          <w:tcPr>
            <w:tcW w:w="1182" w:type="dxa"/>
            <w:vAlign w:val="center"/>
          </w:tcPr>
          <w:p w14:paraId="3F88CD74" w14:textId="044C7325" w:rsidR="00864851" w:rsidRDefault="00864851" w:rsidP="00864851">
            <w:pPr>
              <w:spacing w:after="0"/>
              <w:jc w:val="center"/>
              <w:rPr>
                <w:rFonts w:ascii="Calibri" w:hAnsi="Calibri" w:cs="Calibri"/>
                <w:color w:val="0000FF"/>
                <w:sz w:val="14"/>
                <w:szCs w:val="14"/>
              </w:rPr>
            </w:pPr>
            <w:r>
              <w:rPr>
                <w:rFonts w:ascii="Aptos Narrow" w:hAnsi="Aptos Narrow"/>
                <w:color w:val="0000FF"/>
                <w:sz w:val="14"/>
                <w:szCs w:val="14"/>
              </w:rPr>
              <w:t>+69,8%</w:t>
            </w:r>
          </w:p>
        </w:tc>
        <w:tc>
          <w:tcPr>
            <w:tcW w:w="1181" w:type="dxa"/>
            <w:vAlign w:val="center"/>
          </w:tcPr>
          <w:p w14:paraId="7E3EBBB8" w14:textId="45E6038A" w:rsidR="00864851" w:rsidRDefault="00864851" w:rsidP="00864851">
            <w:pPr>
              <w:spacing w:after="0"/>
              <w:jc w:val="center"/>
              <w:rPr>
                <w:rFonts w:ascii="Calibri" w:hAnsi="Calibri" w:cs="Calibri"/>
                <w:color w:val="0000FF"/>
                <w:sz w:val="14"/>
                <w:szCs w:val="14"/>
              </w:rPr>
            </w:pPr>
            <w:r>
              <w:rPr>
                <w:rFonts w:ascii="Aptos Narrow" w:hAnsi="Aptos Narrow"/>
                <w:color w:val="0000FF"/>
                <w:sz w:val="14"/>
                <w:szCs w:val="14"/>
              </w:rPr>
              <w:t>+84,5%</w:t>
            </w:r>
          </w:p>
        </w:tc>
        <w:tc>
          <w:tcPr>
            <w:tcW w:w="1181" w:type="dxa"/>
            <w:vAlign w:val="center"/>
          </w:tcPr>
          <w:p w14:paraId="47B48737" w14:textId="60EE7478" w:rsidR="00864851" w:rsidRDefault="00864851" w:rsidP="00864851">
            <w:pPr>
              <w:spacing w:after="0"/>
              <w:jc w:val="center"/>
              <w:rPr>
                <w:rFonts w:ascii="Calibri" w:hAnsi="Calibri" w:cs="Calibri"/>
                <w:color w:val="0000FF"/>
                <w:sz w:val="14"/>
                <w:szCs w:val="14"/>
              </w:rPr>
            </w:pPr>
            <w:r>
              <w:rPr>
                <w:rFonts w:ascii="Aptos Narrow" w:hAnsi="Aptos Narrow"/>
                <w:color w:val="FF0000"/>
                <w:sz w:val="14"/>
                <w:szCs w:val="14"/>
              </w:rPr>
              <w:t>-6,2%</w:t>
            </w:r>
          </w:p>
        </w:tc>
        <w:tc>
          <w:tcPr>
            <w:tcW w:w="1182" w:type="dxa"/>
            <w:vAlign w:val="center"/>
          </w:tcPr>
          <w:p w14:paraId="73B42F1B" w14:textId="3F977D49" w:rsidR="00864851" w:rsidRDefault="00864851" w:rsidP="00864851">
            <w:pPr>
              <w:spacing w:after="0"/>
              <w:jc w:val="center"/>
              <w:rPr>
                <w:rFonts w:ascii="Calibri" w:hAnsi="Calibri" w:cs="Calibri"/>
                <w:color w:val="0000FF"/>
                <w:sz w:val="14"/>
                <w:szCs w:val="14"/>
              </w:rPr>
            </w:pPr>
            <w:r>
              <w:rPr>
                <w:rFonts w:ascii="Aptos Narrow" w:hAnsi="Aptos Narrow"/>
                <w:color w:val="0000FF"/>
                <w:sz w:val="14"/>
                <w:szCs w:val="14"/>
              </w:rPr>
              <w:t>+117,6%</w:t>
            </w:r>
          </w:p>
        </w:tc>
      </w:tr>
    </w:tbl>
    <w:p w14:paraId="797BB372" w14:textId="244D4E58" w:rsidR="00AD613F" w:rsidRDefault="00F10A7C" w:rsidP="00B27083">
      <w:pPr>
        <w:pStyle w:val="Akapitzlist"/>
        <w:tabs>
          <w:tab w:val="left" w:pos="284"/>
        </w:tabs>
        <w:spacing w:before="120" w:after="0"/>
        <w:ind w:left="-709"/>
        <w:jc w:val="both"/>
        <w:rPr>
          <w:b/>
          <w:sz w:val="20"/>
          <w:szCs w:val="20"/>
        </w:rPr>
      </w:pPr>
      <w:r w:rsidRPr="00F10A7C">
        <w:rPr>
          <w:b/>
          <w:sz w:val="20"/>
          <w:szCs w:val="20"/>
        </w:rPr>
        <w:t xml:space="preserve">Wartość </w:t>
      </w:r>
      <w:r>
        <w:rPr>
          <w:b/>
          <w:sz w:val="20"/>
          <w:szCs w:val="20"/>
        </w:rPr>
        <w:t>i dynamika roczna (miesiąc do miesiąca roku poprzedniego)</w:t>
      </w:r>
    </w:p>
    <w:p w14:paraId="12D58130" w14:textId="0185B731" w:rsidR="00130B5B" w:rsidRDefault="00130B5B" w:rsidP="00B27083">
      <w:pPr>
        <w:pStyle w:val="Akapitzlist"/>
        <w:tabs>
          <w:tab w:val="left" w:pos="284"/>
        </w:tabs>
        <w:spacing w:before="120" w:after="0"/>
        <w:ind w:left="-709"/>
        <w:jc w:val="both"/>
        <w:rPr>
          <w:b/>
          <w:sz w:val="20"/>
          <w:szCs w:val="20"/>
        </w:rPr>
      </w:pPr>
    </w:p>
    <w:p w14:paraId="0535B966" w14:textId="0E89DDC3" w:rsidR="00551F76" w:rsidRDefault="00551F76" w:rsidP="00B27083">
      <w:pPr>
        <w:pStyle w:val="Akapitzlist"/>
        <w:tabs>
          <w:tab w:val="left" w:pos="284"/>
        </w:tabs>
        <w:spacing w:before="120" w:after="0"/>
        <w:ind w:left="-709"/>
        <w:jc w:val="both"/>
        <w:rPr>
          <w:b/>
          <w:sz w:val="20"/>
          <w:szCs w:val="20"/>
        </w:rPr>
      </w:pPr>
    </w:p>
    <w:p w14:paraId="21AD5F1E" w14:textId="5049AD87" w:rsidR="00551F76" w:rsidRDefault="00864851">
      <w:pPr>
        <w:rPr>
          <w:b/>
          <w:sz w:val="20"/>
          <w:szCs w:val="20"/>
        </w:rPr>
      </w:pPr>
      <w:r>
        <w:rPr>
          <w:b/>
          <w:noProof/>
          <w:sz w:val="20"/>
          <w:szCs w:val="20"/>
        </w:rPr>
        <w:drawing>
          <wp:inline distT="0" distB="0" distL="0" distR="0" wp14:anchorId="04EF6EB0" wp14:editId="04AD25D0">
            <wp:extent cx="5011200" cy="2880000"/>
            <wp:effectExtent l="0" t="0" r="0" b="0"/>
            <wp:docPr id="66495568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1200" cy="2880000"/>
                    </a:xfrm>
                    <a:prstGeom prst="rect">
                      <a:avLst/>
                    </a:prstGeom>
                    <a:noFill/>
                  </pic:spPr>
                </pic:pic>
              </a:graphicData>
            </a:graphic>
          </wp:inline>
        </w:drawing>
      </w:r>
      <w:r w:rsidR="00551F76">
        <w:rPr>
          <w:b/>
          <w:sz w:val="20"/>
          <w:szCs w:val="20"/>
        </w:rPr>
        <w:br w:type="page"/>
      </w:r>
    </w:p>
    <w:p w14:paraId="00D2D03C" w14:textId="13558E8E" w:rsidR="00130B5B" w:rsidRDefault="00551F76" w:rsidP="00551F76">
      <w:pPr>
        <w:ind w:left="-567"/>
        <w:rPr>
          <w:b/>
          <w:sz w:val="20"/>
          <w:szCs w:val="20"/>
        </w:rPr>
      </w:pPr>
      <w:r>
        <w:rPr>
          <w:b/>
          <w:sz w:val="20"/>
          <w:szCs w:val="20"/>
        </w:rPr>
        <w:lastRenderedPageBreak/>
        <w:t>Klienci w sektorze</w:t>
      </w:r>
    </w:p>
    <w:tbl>
      <w:tblPr>
        <w:tblW w:w="10200" w:type="dxa"/>
        <w:tblInd w:w="-572" w:type="dxa"/>
        <w:tblCellMar>
          <w:left w:w="70" w:type="dxa"/>
          <w:right w:w="70" w:type="dxa"/>
        </w:tblCellMar>
        <w:tblLook w:val="04A0" w:firstRow="1" w:lastRow="0" w:firstColumn="1" w:lastColumn="0" w:noHBand="0" w:noVBand="1"/>
      </w:tblPr>
      <w:tblGrid>
        <w:gridCol w:w="1880"/>
        <w:gridCol w:w="2080"/>
        <w:gridCol w:w="2080"/>
        <w:gridCol w:w="2080"/>
        <w:gridCol w:w="2080"/>
      </w:tblGrid>
      <w:tr w:rsidR="00551F76" w:rsidRPr="00551F76" w14:paraId="3DE495AA" w14:textId="77777777" w:rsidTr="00551F76">
        <w:trPr>
          <w:trHeight w:val="300"/>
        </w:trPr>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5D3C5327" w14:textId="77777777" w:rsidR="00551F76" w:rsidRPr="00551F76" w:rsidRDefault="00551F76" w:rsidP="00551F76">
            <w:pPr>
              <w:spacing w:after="0" w:line="240" w:lineRule="auto"/>
              <w:ind w:left="67"/>
              <w:jc w:val="center"/>
              <w:rPr>
                <w:rFonts w:ascii="Calibri" w:eastAsia="Times New Roman" w:hAnsi="Calibri" w:cs="Calibri"/>
                <w:b/>
                <w:bCs/>
                <w:color w:val="000000"/>
                <w:sz w:val="16"/>
                <w:szCs w:val="16"/>
                <w:lang w:eastAsia="pl-PL"/>
              </w:rPr>
            </w:pPr>
            <w:r w:rsidRPr="00551F76">
              <w:rPr>
                <w:rFonts w:ascii="Calibri" w:eastAsia="Times New Roman" w:hAnsi="Calibri" w:cs="Calibri"/>
                <w:b/>
                <w:bCs/>
                <w:color w:val="000000"/>
                <w:sz w:val="16"/>
                <w:szCs w:val="16"/>
                <w:lang w:eastAsia="pl-PL"/>
              </w:rPr>
              <w:t xml:space="preserve">Wyszczególnienie </w:t>
            </w:r>
          </w:p>
        </w:tc>
        <w:tc>
          <w:tcPr>
            <w:tcW w:w="4160" w:type="dxa"/>
            <w:gridSpan w:val="2"/>
            <w:tcBorders>
              <w:top w:val="single" w:sz="4" w:space="0" w:color="auto"/>
              <w:left w:val="nil"/>
              <w:bottom w:val="single" w:sz="4" w:space="0" w:color="auto"/>
              <w:right w:val="single" w:sz="4" w:space="0" w:color="auto"/>
            </w:tcBorders>
            <w:vAlign w:val="center"/>
            <w:hideMark/>
          </w:tcPr>
          <w:p w14:paraId="6E4ED8DB" w14:textId="1A137052" w:rsidR="00551F76" w:rsidRPr="00551F76" w:rsidRDefault="00551F76" w:rsidP="00551F76">
            <w:pPr>
              <w:spacing w:after="0" w:line="240" w:lineRule="auto"/>
              <w:ind w:left="67"/>
              <w:jc w:val="center"/>
              <w:rPr>
                <w:rFonts w:ascii="Calibri" w:eastAsia="Times New Roman" w:hAnsi="Calibri" w:cs="Calibri"/>
                <w:b/>
                <w:bCs/>
                <w:color w:val="000000"/>
                <w:sz w:val="16"/>
                <w:szCs w:val="16"/>
                <w:lang w:eastAsia="pl-PL"/>
              </w:rPr>
            </w:pPr>
            <w:r w:rsidRPr="00551F76">
              <w:rPr>
                <w:rFonts w:ascii="Calibri" w:eastAsia="Times New Roman" w:hAnsi="Calibri" w:cs="Calibri"/>
                <w:b/>
                <w:bCs/>
                <w:color w:val="000000"/>
                <w:sz w:val="16"/>
                <w:szCs w:val="16"/>
                <w:lang w:eastAsia="pl-PL"/>
              </w:rPr>
              <w:t>Nowi klienci w sektorze (tys.)</w:t>
            </w:r>
            <w:r>
              <w:rPr>
                <w:rFonts w:ascii="Calibri" w:eastAsia="Times New Roman" w:hAnsi="Calibri" w:cs="Calibri"/>
                <w:b/>
                <w:bCs/>
                <w:color w:val="000000"/>
                <w:sz w:val="16"/>
                <w:szCs w:val="16"/>
                <w:lang w:eastAsia="pl-PL"/>
              </w:rPr>
              <w:t>*</w:t>
            </w:r>
          </w:p>
        </w:tc>
        <w:tc>
          <w:tcPr>
            <w:tcW w:w="4160" w:type="dxa"/>
            <w:gridSpan w:val="2"/>
            <w:tcBorders>
              <w:top w:val="single" w:sz="4" w:space="0" w:color="auto"/>
              <w:left w:val="nil"/>
              <w:bottom w:val="single" w:sz="4" w:space="0" w:color="auto"/>
              <w:right w:val="single" w:sz="4" w:space="0" w:color="auto"/>
            </w:tcBorders>
            <w:vAlign w:val="center"/>
            <w:hideMark/>
          </w:tcPr>
          <w:p w14:paraId="61E233A8" w14:textId="3FE1F311" w:rsidR="00551F76" w:rsidRPr="00551F76" w:rsidRDefault="00551F76" w:rsidP="00551F76">
            <w:pPr>
              <w:spacing w:after="0" w:line="240" w:lineRule="auto"/>
              <w:ind w:left="67"/>
              <w:jc w:val="center"/>
              <w:rPr>
                <w:rFonts w:ascii="Calibri" w:eastAsia="Times New Roman" w:hAnsi="Calibri" w:cs="Calibri"/>
                <w:b/>
                <w:bCs/>
                <w:color w:val="000000"/>
                <w:sz w:val="16"/>
                <w:szCs w:val="16"/>
                <w:lang w:eastAsia="pl-PL"/>
              </w:rPr>
            </w:pPr>
            <w:r w:rsidRPr="00551F76">
              <w:rPr>
                <w:rFonts w:ascii="Calibri" w:eastAsia="Times New Roman" w:hAnsi="Calibri" w:cs="Calibri"/>
                <w:b/>
                <w:bCs/>
                <w:color w:val="000000"/>
                <w:sz w:val="16"/>
                <w:szCs w:val="16"/>
                <w:lang w:eastAsia="pl-PL"/>
              </w:rPr>
              <w:t>Nowi klienci przynajmniej w jednej firmie (tys.)</w:t>
            </w:r>
            <w:r>
              <w:rPr>
                <w:rFonts w:ascii="Calibri" w:eastAsia="Times New Roman" w:hAnsi="Calibri" w:cs="Calibri"/>
                <w:b/>
                <w:bCs/>
                <w:color w:val="000000"/>
                <w:sz w:val="16"/>
                <w:szCs w:val="16"/>
                <w:lang w:eastAsia="pl-PL"/>
              </w:rPr>
              <w:t>*</w:t>
            </w:r>
            <w:r w:rsidR="00443CA3">
              <w:rPr>
                <w:rFonts w:ascii="Calibri" w:eastAsia="Times New Roman" w:hAnsi="Calibri" w:cs="Calibri"/>
                <w:b/>
                <w:bCs/>
                <w:color w:val="000000"/>
                <w:sz w:val="16"/>
                <w:szCs w:val="16"/>
                <w:lang w:eastAsia="pl-PL"/>
              </w:rPr>
              <w:t>*</w:t>
            </w:r>
          </w:p>
        </w:tc>
      </w:tr>
      <w:tr w:rsidR="00864851" w:rsidRPr="00551F76" w14:paraId="53B32316" w14:textId="77777777" w:rsidTr="00551F76">
        <w:trPr>
          <w:trHeight w:val="300"/>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054E683D" w14:textId="77777777" w:rsidR="00864851" w:rsidRPr="00551F76" w:rsidRDefault="00864851" w:rsidP="00864851">
            <w:pPr>
              <w:spacing w:after="0" w:line="240" w:lineRule="auto"/>
              <w:ind w:left="67"/>
              <w:rPr>
                <w:rFonts w:ascii="Calibri" w:eastAsia="Times New Roman" w:hAnsi="Calibri" w:cs="Calibri"/>
                <w:b/>
                <w:bCs/>
                <w:color w:val="000000"/>
                <w:sz w:val="16"/>
                <w:szCs w:val="16"/>
                <w:lang w:eastAsia="pl-PL"/>
              </w:rPr>
            </w:pPr>
          </w:p>
        </w:tc>
        <w:tc>
          <w:tcPr>
            <w:tcW w:w="2080" w:type="dxa"/>
            <w:tcBorders>
              <w:top w:val="nil"/>
              <w:left w:val="nil"/>
              <w:bottom w:val="single" w:sz="4" w:space="0" w:color="auto"/>
              <w:right w:val="single" w:sz="4" w:space="0" w:color="auto"/>
            </w:tcBorders>
            <w:vAlign w:val="center"/>
            <w:hideMark/>
          </w:tcPr>
          <w:p w14:paraId="2C019898" w14:textId="52A0D4DE" w:rsidR="00864851" w:rsidRPr="00551F76" w:rsidRDefault="00864851" w:rsidP="00864851">
            <w:pPr>
              <w:spacing w:after="0" w:line="240" w:lineRule="auto"/>
              <w:ind w:left="67"/>
              <w:jc w:val="center"/>
              <w:rPr>
                <w:rFonts w:ascii="Calibri" w:eastAsia="Times New Roman" w:hAnsi="Calibri" w:cs="Calibri"/>
                <w:b/>
                <w:bCs/>
                <w:color w:val="000000"/>
                <w:sz w:val="16"/>
                <w:szCs w:val="16"/>
                <w:lang w:eastAsia="pl-PL"/>
              </w:rPr>
            </w:pPr>
            <w:r>
              <w:rPr>
                <w:rFonts w:ascii="Calibri" w:hAnsi="Calibri" w:cs="Calibri"/>
                <w:b/>
                <w:bCs/>
                <w:color w:val="000000"/>
                <w:sz w:val="16"/>
                <w:szCs w:val="16"/>
              </w:rPr>
              <w:t>05.2026</w:t>
            </w:r>
          </w:p>
        </w:tc>
        <w:tc>
          <w:tcPr>
            <w:tcW w:w="2080" w:type="dxa"/>
            <w:tcBorders>
              <w:top w:val="nil"/>
              <w:left w:val="nil"/>
              <w:bottom w:val="single" w:sz="4" w:space="0" w:color="auto"/>
              <w:right w:val="single" w:sz="4" w:space="0" w:color="auto"/>
            </w:tcBorders>
            <w:vAlign w:val="center"/>
            <w:hideMark/>
          </w:tcPr>
          <w:p w14:paraId="5447CE0B" w14:textId="1F77808C" w:rsidR="00864851" w:rsidRPr="00551F76" w:rsidRDefault="00864851" w:rsidP="00864851">
            <w:pPr>
              <w:spacing w:after="0" w:line="240" w:lineRule="auto"/>
              <w:ind w:left="67"/>
              <w:jc w:val="center"/>
              <w:rPr>
                <w:rFonts w:ascii="Calibri" w:eastAsia="Times New Roman" w:hAnsi="Calibri" w:cs="Calibri"/>
                <w:b/>
                <w:bCs/>
                <w:color w:val="000000"/>
                <w:sz w:val="16"/>
                <w:szCs w:val="16"/>
                <w:lang w:eastAsia="pl-PL"/>
              </w:rPr>
            </w:pPr>
            <w:r>
              <w:rPr>
                <w:rFonts w:ascii="Calibri" w:hAnsi="Calibri" w:cs="Calibri"/>
                <w:b/>
                <w:bCs/>
                <w:color w:val="000000"/>
                <w:sz w:val="16"/>
                <w:szCs w:val="16"/>
              </w:rPr>
              <w:t>01-05.2026</w:t>
            </w:r>
          </w:p>
        </w:tc>
        <w:tc>
          <w:tcPr>
            <w:tcW w:w="2080" w:type="dxa"/>
            <w:tcBorders>
              <w:top w:val="nil"/>
              <w:left w:val="nil"/>
              <w:bottom w:val="single" w:sz="4" w:space="0" w:color="auto"/>
              <w:right w:val="single" w:sz="4" w:space="0" w:color="auto"/>
            </w:tcBorders>
            <w:vAlign w:val="center"/>
            <w:hideMark/>
          </w:tcPr>
          <w:p w14:paraId="61B85921" w14:textId="645AEC77" w:rsidR="00864851" w:rsidRPr="00551F76" w:rsidRDefault="00864851" w:rsidP="00864851">
            <w:pPr>
              <w:spacing w:after="0" w:line="240" w:lineRule="auto"/>
              <w:ind w:left="67"/>
              <w:jc w:val="center"/>
              <w:rPr>
                <w:rFonts w:ascii="Calibri" w:eastAsia="Times New Roman" w:hAnsi="Calibri" w:cs="Calibri"/>
                <w:b/>
                <w:bCs/>
                <w:color w:val="000000"/>
                <w:sz w:val="16"/>
                <w:szCs w:val="16"/>
                <w:lang w:eastAsia="pl-PL"/>
              </w:rPr>
            </w:pPr>
            <w:r>
              <w:rPr>
                <w:rFonts w:ascii="Calibri" w:hAnsi="Calibri" w:cs="Calibri"/>
                <w:b/>
                <w:bCs/>
                <w:color w:val="000000"/>
                <w:sz w:val="16"/>
                <w:szCs w:val="16"/>
              </w:rPr>
              <w:t>05.2026</w:t>
            </w:r>
          </w:p>
        </w:tc>
        <w:tc>
          <w:tcPr>
            <w:tcW w:w="2080" w:type="dxa"/>
            <w:tcBorders>
              <w:top w:val="nil"/>
              <w:left w:val="nil"/>
              <w:bottom w:val="single" w:sz="4" w:space="0" w:color="auto"/>
              <w:right w:val="single" w:sz="4" w:space="0" w:color="auto"/>
            </w:tcBorders>
            <w:vAlign w:val="center"/>
            <w:hideMark/>
          </w:tcPr>
          <w:p w14:paraId="78403EB8" w14:textId="046690DA" w:rsidR="00864851" w:rsidRPr="00551F76" w:rsidRDefault="00864851" w:rsidP="00864851">
            <w:pPr>
              <w:spacing w:after="0" w:line="240" w:lineRule="auto"/>
              <w:ind w:left="67"/>
              <w:jc w:val="center"/>
              <w:rPr>
                <w:rFonts w:ascii="Calibri" w:eastAsia="Times New Roman" w:hAnsi="Calibri" w:cs="Calibri"/>
                <w:b/>
                <w:bCs/>
                <w:color w:val="000000"/>
                <w:sz w:val="16"/>
                <w:szCs w:val="16"/>
                <w:lang w:eastAsia="pl-PL"/>
              </w:rPr>
            </w:pPr>
            <w:r>
              <w:rPr>
                <w:rFonts w:ascii="Calibri" w:hAnsi="Calibri" w:cs="Calibri"/>
                <w:b/>
                <w:bCs/>
                <w:color w:val="000000"/>
                <w:sz w:val="16"/>
                <w:szCs w:val="16"/>
              </w:rPr>
              <w:t>01-05.2026</w:t>
            </w:r>
          </w:p>
        </w:tc>
      </w:tr>
      <w:tr w:rsidR="00864851" w:rsidRPr="00551F76" w14:paraId="136F7BEA" w14:textId="77777777" w:rsidTr="00551F76">
        <w:trPr>
          <w:trHeight w:val="300"/>
        </w:trPr>
        <w:tc>
          <w:tcPr>
            <w:tcW w:w="1880" w:type="dxa"/>
            <w:tcBorders>
              <w:top w:val="nil"/>
              <w:left w:val="single" w:sz="4" w:space="0" w:color="auto"/>
              <w:bottom w:val="single" w:sz="4" w:space="0" w:color="auto"/>
              <w:right w:val="single" w:sz="4" w:space="0" w:color="auto"/>
            </w:tcBorders>
            <w:vAlign w:val="center"/>
            <w:hideMark/>
          </w:tcPr>
          <w:p w14:paraId="1A55E1C7" w14:textId="77777777" w:rsidR="00864851" w:rsidRPr="00551F76" w:rsidRDefault="00864851" w:rsidP="00864851">
            <w:pPr>
              <w:spacing w:after="0" w:line="240" w:lineRule="auto"/>
              <w:ind w:left="67"/>
              <w:rPr>
                <w:rFonts w:ascii="Calibri" w:eastAsia="Times New Roman" w:hAnsi="Calibri" w:cs="Calibri"/>
                <w:color w:val="000000"/>
                <w:sz w:val="16"/>
                <w:szCs w:val="16"/>
                <w:lang w:eastAsia="pl-PL"/>
              </w:rPr>
            </w:pPr>
            <w:r w:rsidRPr="00551F76">
              <w:rPr>
                <w:rFonts w:ascii="Calibri" w:eastAsia="Times New Roman" w:hAnsi="Calibri" w:cs="Calibri"/>
                <w:color w:val="000000"/>
                <w:sz w:val="16"/>
                <w:szCs w:val="16"/>
                <w:lang w:eastAsia="pl-PL"/>
              </w:rPr>
              <w:t>liczba (tys.)</w:t>
            </w:r>
          </w:p>
        </w:tc>
        <w:tc>
          <w:tcPr>
            <w:tcW w:w="2080" w:type="dxa"/>
            <w:tcBorders>
              <w:top w:val="nil"/>
              <w:left w:val="nil"/>
              <w:bottom w:val="single" w:sz="4" w:space="0" w:color="auto"/>
              <w:right w:val="single" w:sz="4" w:space="0" w:color="auto"/>
            </w:tcBorders>
            <w:vAlign w:val="center"/>
            <w:hideMark/>
          </w:tcPr>
          <w:p w14:paraId="6BC36083" w14:textId="51E5DFBE" w:rsidR="00864851" w:rsidRPr="00551F76" w:rsidRDefault="00864851" w:rsidP="00864851">
            <w:pPr>
              <w:spacing w:after="0" w:line="240" w:lineRule="auto"/>
              <w:ind w:left="67"/>
              <w:jc w:val="center"/>
              <w:rPr>
                <w:rFonts w:ascii="Calibri" w:eastAsia="Times New Roman" w:hAnsi="Calibri" w:cs="Calibri"/>
                <w:color w:val="000000"/>
                <w:sz w:val="16"/>
                <w:szCs w:val="16"/>
                <w:lang w:eastAsia="pl-PL"/>
              </w:rPr>
            </w:pPr>
            <w:r>
              <w:rPr>
                <w:rFonts w:ascii="Calibri" w:hAnsi="Calibri" w:cs="Calibri"/>
                <w:color w:val="000000"/>
                <w:sz w:val="16"/>
                <w:szCs w:val="16"/>
              </w:rPr>
              <w:t>39,1</w:t>
            </w:r>
          </w:p>
        </w:tc>
        <w:tc>
          <w:tcPr>
            <w:tcW w:w="2080" w:type="dxa"/>
            <w:tcBorders>
              <w:top w:val="nil"/>
              <w:left w:val="nil"/>
              <w:bottom w:val="single" w:sz="4" w:space="0" w:color="auto"/>
              <w:right w:val="single" w:sz="4" w:space="0" w:color="auto"/>
            </w:tcBorders>
            <w:vAlign w:val="center"/>
            <w:hideMark/>
          </w:tcPr>
          <w:p w14:paraId="415A7DE5" w14:textId="02F12921" w:rsidR="00864851" w:rsidRPr="00551F76" w:rsidRDefault="00864851" w:rsidP="00864851">
            <w:pPr>
              <w:spacing w:after="0" w:line="240" w:lineRule="auto"/>
              <w:ind w:left="67"/>
              <w:jc w:val="center"/>
              <w:rPr>
                <w:rFonts w:ascii="Calibri" w:eastAsia="Times New Roman" w:hAnsi="Calibri" w:cs="Calibri"/>
                <w:color w:val="000000"/>
                <w:sz w:val="16"/>
                <w:szCs w:val="16"/>
                <w:lang w:eastAsia="pl-PL"/>
              </w:rPr>
            </w:pPr>
            <w:r>
              <w:rPr>
                <w:rFonts w:ascii="Calibri" w:hAnsi="Calibri" w:cs="Calibri"/>
                <w:color w:val="000000"/>
                <w:sz w:val="16"/>
                <w:szCs w:val="16"/>
              </w:rPr>
              <w:t>185,8</w:t>
            </w:r>
          </w:p>
        </w:tc>
        <w:tc>
          <w:tcPr>
            <w:tcW w:w="2080" w:type="dxa"/>
            <w:tcBorders>
              <w:top w:val="nil"/>
              <w:left w:val="nil"/>
              <w:bottom w:val="single" w:sz="4" w:space="0" w:color="auto"/>
              <w:right w:val="single" w:sz="4" w:space="0" w:color="auto"/>
            </w:tcBorders>
            <w:vAlign w:val="center"/>
            <w:hideMark/>
          </w:tcPr>
          <w:p w14:paraId="479CA138" w14:textId="0019CF1E" w:rsidR="00864851" w:rsidRPr="00551F76" w:rsidRDefault="00864851" w:rsidP="00864851">
            <w:pPr>
              <w:spacing w:after="0" w:line="240" w:lineRule="auto"/>
              <w:ind w:left="67"/>
              <w:jc w:val="center"/>
              <w:rPr>
                <w:rFonts w:ascii="Calibri" w:eastAsia="Times New Roman" w:hAnsi="Calibri" w:cs="Calibri"/>
                <w:color w:val="000000"/>
                <w:sz w:val="16"/>
                <w:szCs w:val="16"/>
                <w:lang w:eastAsia="pl-PL"/>
              </w:rPr>
            </w:pPr>
            <w:r>
              <w:rPr>
                <w:rFonts w:ascii="Calibri" w:hAnsi="Calibri" w:cs="Calibri"/>
                <w:color w:val="000000"/>
                <w:sz w:val="16"/>
                <w:szCs w:val="16"/>
              </w:rPr>
              <w:t>105,4</w:t>
            </w:r>
          </w:p>
        </w:tc>
        <w:tc>
          <w:tcPr>
            <w:tcW w:w="2080" w:type="dxa"/>
            <w:tcBorders>
              <w:top w:val="nil"/>
              <w:left w:val="nil"/>
              <w:bottom w:val="single" w:sz="4" w:space="0" w:color="auto"/>
              <w:right w:val="single" w:sz="4" w:space="0" w:color="auto"/>
            </w:tcBorders>
            <w:vAlign w:val="center"/>
            <w:hideMark/>
          </w:tcPr>
          <w:p w14:paraId="5EE1B1D1" w14:textId="0F67365D" w:rsidR="00864851" w:rsidRPr="00551F76" w:rsidRDefault="00864851" w:rsidP="00864851">
            <w:pPr>
              <w:spacing w:after="0" w:line="240" w:lineRule="auto"/>
              <w:ind w:left="67"/>
              <w:jc w:val="center"/>
              <w:rPr>
                <w:rFonts w:ascii="Calibri" w:eastAsia="Times New Roman" w:hAnsi="Calibri" w:cs="Calibri"/>
                <w:color w:val="000000"/>
                <w:sz w:val="16"/>
                <w:szCs w:val="16"/>
                <w:lang w:eastAsia="pl-PL"/>
              </w:rPr>
            </w:pPr>
            <w:r>
              <w:rPr>
                <w:rFonts w:ascii="Calibri" w:hAnsi="Calibri" w:cs="Calibri"/>
                <w:color w:val="000000"/>
                <w:sz w:val="16"/>
                <w:szCs w:val="16"/>
              </w:rPr>
              <w:t>516,3</w:t>
            </w:r>
          </w:p>
        </w:tc>
      </w:tr>
      <w:tr w:rsidR="00864851" w:rsidRPr="00551F76" w14:paraId="431099E0" w14:textId="77777777" w:rsidTr="00551F76">
        <w:trPr>
          <w:trHeight w:val="300"/>
        </w:trPr>
        <w:tc>
          <w:tcPr>
            <w:tcW w:w="1880" w:type="dxa"/>
            <w:tcBorders>
              <w:top w:val="nil"/>
              <w:left w:val="single" w:sz="4" w:space="0" w:color="auto"/>
              <w:bottom w:val="single" w:sz="4" w:space="0" w:color="auto"/>
              <w:right w:val="single" w:sz="4" w:space="0" w:color="auto"/>
            </w:tcBorders>
            <w:vAlign w:val="center"/>
            <w:hideMark/>
          </w:tcPr>
          <w:p w14:paraId="36F18372" w14:textId="77777777" w:rsidR="00864851" w:rsidRPr="00551F76" w:rsidRDefault="00864851" w:rsidP="00864851">
            <w:pPr>
              <w:spacing w:after="0" w:line="240" w:lineRule="auto"/>
              <w:ind w:left="67"/>
              <w:rPr>
                <w:rFonts w:ascii="Calibri" w:eastAsia="Times New Roman" w:hAnsi="Calibri" w:cs="Calibri"/>
                <w:color w:val="000000"/>
                <w:sz w:val="16"/>
                <w:szCs w:val="16"/>
                <w:lang w:eastAsia="pl-PL"/>
              </w:rPr>
            </w:pPr>
            <w:r w:rsidRPr="00551F76">
              <w:rPr>
                <w:rFonts w:ascii="Calibri" w:eastAsia="Times New Roman" w:hAnsi="Calibri" w:cs="Calibri"/>
                <w:color w:val="000000"/>
                <w:sz w:val="16"/>
                <w:szCs w:val="16"/>
                <w:lang w:eastAsia="pl-PL"/>
              </w:rPr>
              <w:t>%</w:t>
            </w:r>
          </w:p>
        </w:tc>
        <w:tc>
          <w:tcPr>
            <w:tcW w:w="2080" w:type="dxa"/>
            <w:tcBorders>
              <w:top w:val="nil"/>
              <w:left w:val="nil"/>
              <w:bottom w:val="single" w:sz="4" w:space="0" w:color="auto"/>
              <w:right w:val="single" w:sz="4" w:space="0" w:color="auto"/>
            </w:tcBorders>
            <w:vAlign w:val="center"/>
            <w:hideMark/>
          </w:tcPr>
          <w:p w14:paraId="6A4C722C" w14:textId="7EA96451" w:rsidR="00864851" w:rsidRPr="00551F76" w:rsidRDefault="00864851" w:rsidP="00864851">
            <w:pPr>
              <w:spacing w:after="0" w:line="240" w:lineRule="auto"/>
              <w:ind w:left="67"/>
              <w:jc w:val="center"/>
              <w:rPr>
                <w:rFonts w:ascii="Calibri" w:eastAsia="Times New Roman" w:hAnsi="Calibri" w:cs="Calibri"/>
                <w:color w:val="000000"/>
                <w:sz w:val="16"/>
                <w:szCs w:val="16"/>
                <w:lang w:eastAsia="pl-PL"/>
              </w:rPr>
            </w:pPr>
            <w:r>
              <w:rPr>
                <w:rFonts w:ascii="Calibri" w:hAnsi="Calibri" w:cs="Calibri"/>
                <w:color w:val="000000"/>
                <w:sz w:val="16"/>
                <w:szCs w:val="16"/>
              </w:rPr>
              <w:t>4,9%</w:t>
            </w:r>
          </w:p>
        </w:tc>
        <w:tc>
          <w:tcPr>
            <w:tcW w:w="2080" w:type="dxa"/>
            <w:tcBorders>
              <w:top w:val="nil"/>
              <w:left w:val="nil"/>
              <w:bottom w:val="single" w:sz="4" w:space="0" w:color="auto"/>
              <w:right w:val="single" w:sz="4" w:space="0" w:color="auto"/>
            </w:tcBorders>
            <w:vAlign w:val="center"/>
            <w:hideMark/>
          </w:tcPr>
          <w:p w14:paraId="11C4DFF3" w14:textId="4B26FA6D" w:rsidR="00864851" w:rsidRPr="00551F76" w:rsidRDefault="00864851" w:rsidP="00864851">
            <w:pPr>
              <w:spacing w:after="0" w:line="240" w:lineRule="auto"/>
              <w:ind w:left="67"/>
              <w:jc w:val="center"/>
              <w:rPr>
                <w:rFonts w:ascii="Calibri" w:eastAsia="Times New Roman" w:hAnsi="Calibri" w:cs="Calibri"/>
                <w:color w:val="000000"/>
                <w:sz w:val="16"/>
                <w:szCs w:val="16"/>
                <w:lang w:eastAsia="pl-PL"/>
              </w:rPr>
            </w:pPr>
            <w:r>
              <w:rPr>
                <w:rFonts w:ascii="Calibri" w:hAnsi="Calibri" w:cs="Calibri"/>
                <w:color w:val="000000"/>
                <w:sz w:val="16"/>
                <w:szCs w:val="16"/>
              </w:rPr>
              <w:t>4,9%</w:t>
            </w:r>
          </w:p>
        </w:tc>
        <w:tc>
          <w:tcPr>
            <w:tcW w:w="2080" w:type="dxa"/>
            <w:tcBorders>
              <w:top w:val="nil"/>
              <w:left w:val="nil"/>
              <w:bottom w:val="single" w:sz="4" w:space="0" w:color="auto"/>
              <w:right w:val="single" w:sz="4" w:space="0" w:color="auto"/>
            </w:tcBorders>
            <w:vAlign w:val="center"/>
            <w:hideMark/>
          </w:tcPr>
          <w:p w14:paraId="48D01836" w14:textId="1898CEF5" w:rsidR="00864851" w:rsidRPr="00551F76" w:rsidRDefault="00864851" w:rsidP="00864851">
            <w:pPr>
              <w:spacing w:after="0" w:line="240" w:lineRule="auto"/>
              <w:ind w:left="67"/>
              <w:jc w:val="center"/>
              <w:rPr>
                <w:rFonts w:ascii="Calibri" w:eastAsia="Times New Roman" w:hAnsi="Calibri" w:cs="Calibri"/>
                <w:color w:val="000000"/>
                <w:sz w:val="16"/>
                <w:szCs w:val="16"/>
                <w:lang w:eastAsia="pl-PL"/>
              </w:rPr>
            </w:pPr>
            <w:r>
              <w:rPr>
                <w:rFonts w:ascii="Calibri" w:hAnsi="Calibri" w:cs="Calibri"/>
                <w:color w:val="000000"/>
                <w:sz w:val="16"/>
                <w:szCs w:val="16"/>
              </w:rPr>
              <w:t>13,1%</w:t>
            </w:r>
          </w:p>
        </w:tc>
        <w:tc>
          <w:tcPr>
            <w:tcW w:w="2080" w:type="dxa"/>
            <w:tcBorders>
              <w:top w:val="nil"/>
              <w:left w:val="nil"/>
              <w:bottom w:val="single" w:sz="4" w:space="0" w:color="auto"/>
              <w:right w:val="single" w:sz="4" w:space="0" w:color="auto"/>
            </w:tcBorders>
            <w:vAlign w:val="center"/>
            <w:hideMark/>
          </w:tcPr>
          <w:p w14:paraId="723DAC87" w14:textId="23E71FF8" w:rsidR="00864851" w:rsidRPr="00551F76" w:rsidRDefault="00864851" w:rsidP="00864851">
            <w:pPr>
              <w:spacing w:after="0" w:line="240" w:lineRule="auto"/>
              <w:ind w:left="67"/>
              <w:jc w:val="center"/>
              <w:rPr>
                <w:rFonts w:ascii="Calibri" w:eastAsia="Times New Roman" w:hAnsi="Calibri" w:cs="Calibri"/>
                <w:color w:val="000000"/>
                <w:sz w:val="16"/>
                <w:szCs w:val="16"/>
                <w:lang w:eastAsia="pl-PL"/>
              </w:rPr>
            </w:pPr>
            <w:r>
              <w:rPr>
                <w:rFonts w:ascii="Calibri" w:hAnsi="Calibri" w:cs="Calibri"/>
                <w:color w:val="000000"/>
                <w:sz w:val="16"/>
                <w:szCs w:val="16"/>
              </w:rPr>
              <w:t>13,6%</w:t>
            </w:r>
          </w:p>
        </w:tc>
      </w:tr>
    </w:tbl>
    <w:p w14:paraId="7B3EC663" w14:textId="6E0F0E85" w:rsidR="00551F76" w:rsidRPr="00551F76" w:rsidRDefault="00551F76" w:rsidP="00551F76">
      <w:pPr>
        <w:pStyle w:val="Akapitzlist"/>
        <w:tabs>
          <w:tab w:val="left" w:pos="284"/>
        </w:tabs>
        <w:spacing w:before="120" w:after="0"/>
        <w:ind w:left="-426"/>
        <w:rPr>
          <w:sz w:val="18"/>
          <w:szCs w:val="18"/>
        </w:rPr>
      </w:pPr>
      <w:r w:rsidRPr="00551F76">
        <w:rPr>
          <w:sz w:val="18"/>
          <w:szCs w:val="18"/>
        </w:rPr>
        <w:t xml:space="preserve">* </w:t>
      </w:r>
      <w:r w:rsidR="00ED79EA">
        <w:rPr>
          <w:sz w:val="18"/>
          <w:szCs w:val="18"/>
        </w:rPr>
        <w:t xml:space="preserve">klient </w:t>
      </w:r>
      <w:r w:rsidRPr="00551F76">
        <w:rPr>
          <w:sz w:val="18"/>
          <w:szCs w:val="18"/>
        </w:rPr>
        <w:t>nigdy wcz</w:t>
      </w:r>
      <w:r>
        <w:rPr>
          <w:sz w:val="18"/>
          <w:szCs w:val="18"/>
        </w:rPr>
        <w:t>eś</w:t>
      </w:r>
      <w:r w:rsidRPr="00551F76">
        <w:rPr>
          <w:sz w:val="18"/>
          <w:szCs w:val="18"/>
        </w:rPr>
        <w:t xml:space="preserve">niej nie miał pożyczki w </w:t>
      </w:r>
      <w:r>
        <w:rPr>
          <w:sz w:val="18"/>
          <w:szCs w:val="18"/>
        </w:rPr>
        <w:t xml:space="preserve">żadnej </w:t>
      </w:r>
      <w:r w:rsidRPr="00551F76">
        <w:rPr>
          <w:sz w:val="18"/>
          <w:szCs w:val="18"/>
        </w:rPr>
        <w:t xml:space="preserve">firmie pożyczkowej </w:t>
      </w:r>
      <w:r>
        <w:rPr>
          <w:sz w:val="18"/>
          <w:szCs w:val="18"/>
        </w:rPr>
        <w:br/>
      </w:r>
      <w:r w:rsidRPr="00551F76">
        <w:rPr>
          <w:sz w:val="18"/>
          <w:szCs w:val="18"/>
        </w:rPr>
        <w:t>*</w:t>
      </w:r>
      <w:r>
        <w:rPr>
          <w:sz w:val="18"/>
          <w:szCs w:val="18"/>
        </w:rPr>
        <w:t>*</w:t>
      </w:r>
      <w:r w:rsidRPr="00551F76">
        <w:rPr>
          <w:sz w:val="18"/>
          <w:szCs w:val="18"/>
        </w:rPr>
        <w:t xml:space="preserve"> </w:t>
      </w:r>
      <w:r>
        <w:rPr>
          <w:sz w:val="18"/>
          <w:szCs w:val="18"/>
        </w:rPr>
        <w:t>c</w:t>
      </w:r>
      <w:r w:rsidR="00ED79EA">
        <w:rPr>
          <w:sz w:val="18"/>
          <w:szCs w:val="18"/>
        </w:rPr>
        <w:t xml:space="preserve">o </w:t>
      </w:r>
      <w:r>
        <w:rPr>
          <w:sz w:val="18"/>
          <w:szCs w:val="18"/>
        </w:rPr>
        <w:t>najmniej jedna nowo zaciągnięta pożyczka</w:t>
      </w:r>
      <w:r w:rsidR="00ED79EA">
        <w:rPr>
          <w:sz w:val="18"/>
          <w:szCs w:val="18"/>
        </w:rPr>
        <w:t xml:space="preserve"> danego klienta</w:t>
      </w:r>
      <w:r>
        <w:rPr>
          <w:sz w:val="18"/>
          <w:szCs w:val="18"/>
        </w:rPr>
        <w:t xml:space="preserve"> jest w firmie, w której nigdy wcześniej </w:t>
      </w:r>
      <w:r w:rsidRPr="00551F76">
        <w:rPr>
          <w:sz w:val="18"/>
          <w:szCs w:val="18"/>
        </w:rPr>
        <w:t xml:space="preserve">nie miał pożyczki </w:t>
      </w:r>
    </w:p>
    <w:p w14:paraId="6C8B1605" w14:textId="77777777" w:rsidR="00551F76" w:rsidRDefault="00551F76" w:rsidP="00B27083">
      <w:pPr>
        <w:pStyle w:val="Akapitzlist"/>
        <w:tabs>
          <w:tab w:val="left" w:pos="284"/>
        </w:tabs>
        <w:spacing w:before="120" w:after="0"/>
        <w:ind w:left="-709"/>
        <w:jc w:val="both"/>
        <w:rPr>
          <w:b/>
          <w:sz w:val="20"/>
          <w:szCs w:val="20"/>
        </w:rPr>
      </w:pPr>
    </w:p>
    <w:p w14:paraId="4A501422" w14:textId="74C23A1E" w:rsidR="00551F76" w:rsidRDefault="00551F76" w:rsidP="00B27083">
      <w:pPr>
        <w:pStyle w:val="Akapitzlist"/>
        <w:tabs>
          <w:tab w:val="left" w:pos="284"/>
        </w:tabs>
        <w:spacing w:before="120" w:after="0"/>
        <w:ind w:left="-709"/>
        <w:jc w:val="both"/>
        <w:rPr>
          <w:b/>
          <w:sz w:val="20"/>
          <w:szCs w:val="20"/>
        </w:rPr>
      </w:pPr>
    </w:p>
    <w:p w14:paraId="60309A0F" w14:textId="0C375280" w:rsidR="00ED79EA" w:rsidRDefault="00864851">
      <w:pPr>
        <w:rPr>
          <w:b/>
          <w:sz w:val="20"/>
          <w:szCs w:val="20"/>
        </w:rPr>
      </w:pPr>
      <w:r>
        <w:rPr>
          <w:b/>
          <w:noProof/>
          <w:sz w:val="20"/>
          <w:szCs w:val="20"/>
        </w:rPr>
        <w:drawing>
          <wp:inline distT="0" distB="0" distL="0" distR="0" wp14:anchorId="59A6FB43" wp14:editId="5BA5DA1B">
            <wp:extent cx="5421600" cy="5400000"/>
            <wp:effectExtent l="0" t="0" r="8255" b="0"/>
            <wp:docPr id="88233504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1600" cy="5400000"/>
                    </a:xfrm>
                    <a:prstGeom prst="rect">
                      <a:avLst/>
                    </a:prstGeom>
                    <a:noFill/>
                  </pic:spPr>
                </pic:pic>
              </a:graphicData>
            </a:graphic>
          </wp:inline>
        </w:drawing>
      </w:r>
      <w:r w:rsidR="00ED79EA">
        <w:rPr>
          <w:b/>
          <w:sz w:val="20"/>
          <w:szCs w:val="20"/>
        </w:rPr>
        <w:br w:type="page"/>
      </w:r>
    </w:p>
    <w:p w14:paraId="6C7F89C3" w14:textId="7AE955F8" w:rsidR="00ED79EA" w:rsidRDefault="00ED79EA" w:rsidP="00ED79EA">
      <w:pPr>
        <w:ind w:left="-567"/>
        <w:rPr>
          <w:b/>
          <w:sz w:val="20"/>
          <w:szCs w:val="20"/>
        </w:rPr>
      </w:pPr>
      <w:r>
        <w:rPr>
          <w:b/>
          <w:sz w:val="20"/>
          <w:szCs w:val="20"/>
        </w:rPr>
        <w:lastRenderedPageBreak/>
        <w:t>Portfel pracujący</w:t>
      </w:r>
    </w:p>
    <w:p w14:paraId="1DF27AD3" w14:textId="027D9B69" w:rsidR="00ED79EA" w:rsidRDefault="00ED79EA" w:rsidP="00ED79EA">
      <w:pPr>
        <w:pStyle w:val="Akapitzlist"/>
        <w:tabs>
          <w:tab w:val="left" w:pos="284"/>
        </w:tabs>
        <w:spacing w:before="120" w:after="0"/>
        <w:ind w:left="-426"/>
        <w:rPr>
          <w:sz w:val="18"/>
          <w:szCs w:val="18"/>
        </w:rPr>
      </w:pPr>
      <w:r w:rsidRPr="00ED79EA">
        <w:rPr>
          <w:sz w:val="18"/>
          <w:szCs w:val="18"/>
        </w:rPr>
        <w:t xml:space="preserve">Pożyczki </w:t>
      </w:r>
      <w:r>
        <w:rPr>
          <w:sz w:val="18"/>
          <w:szCs w:val="18"/>
        </w:rPr>
        <w:t xml:space="preserve">z opóźnieniem w spłacie </w:t>
      </w:r>
      <w:r w:rsidRPr="00ED79EA">
        <w:rPr>
          <w:sz w:val="18"/>
          <w:szCs w:val="18"/>
        </w:rPr>
        <w:t xml:space="preserve">nie </w:t>
      </w:r>
      <w:r>
        <w:rPr>
          <w:sz w:val="18"/>
          <w:szCs w:val="18"/>
        </w:rPr>
        <w:t xml:space="preserve">przekraczającym 90 dni oraz nie </w:t>
      </w:r>
      <w:r w:rsidRPr="00ED79EA">
        <w:rPr>
          <w:sz w:val="18"/>
          <w:szCs w:val="18"/>
        </w:rPr>
        <w:t>będące w win</w:t>
      </w:r>
      <w:r>
        <w:rPr>
          <w:sz w:val="18"/>
          <w:szCs w:val="18"/>
        </w:rPr>
        <w:t>d</w:t>
      </w:r>
      <w:r w:rsidRPr="00ED79EA">
        <w:rPr>
          <w:sz w:val="18"/>
          <w:szCs w:val="18"/>
        </w:rPr>
        <w:t xml:space="preserve">ykacji </w:t>
      </w:r>
      <w:r>
        <w:rPr>
          <w:sz w:val="18"/>
          <w:szCs w:val="18"/>
        </w:rPr>
        <w:t xml:space="preserve">lub </w:t>
      </w:r>
      <w:r w:rsidRPr="00ED79EA">
        <w:rPr>
          <w:sz w:val="18"/>
          <w:szCs w:val="18"/>
        </w:rPr>
        <w:t>egzekucji</w:t>
      </w:r>
    </w:p>
    <w:p w14:paraId="36B69DCC" w14:textId="77777777" w:rsidR="00ED79EA" w:rsidRDefault="00ED79EA" w:rsidP="00ED79EA">
      <w:pPr>
        <w:pStyle w:val="Akapitzlist"/>
        <w:tabs>
          <w:tab w:val="left" w:pos="284"/>
        </w:tabs>
        <w:spacing w:before="120" w:after="0"/>
        <w:ind w:left="-426"/>
        <w:rPr>
          <w:sz w:val="18"/>
          <w:szCs w:val="18"/>
        </w:rPr>
      </w:pPr>
    </w:p>
    <w:p w14:paraId="03CC96BF" w14:textId="0B6256C4" w:rsidR="00ED79EA" w:rsidRDefault="00ED79EA" w:rsidP="00ED79EA">
      <w:pPr>
        <w:pStyle w:val="Akapitzlist"/>
        <w:tabs>
          <w:tab w:val="left" w:pos="284"/>
        </w:tabs>
        <w:spacing w:before="120" w:after="0"/>
        <w:ind w:left="-426"/>
        <w:rPr>
          <w:sz w:val="18"/>
          <w:szCs w:val="18"/>
        </w:rPr>
      </w:pPr>
      <w:r>
        <w:rPr>
          <w:sz w:val="18"/>
          <w:szCs w:val="18"/>
        </w:rPr>
        <w:t xml:space="preserve">Stan na koniec </w:t>
      </w:r>
      <w:r w:rsidR="00864851">
        <w:rPr>
          <w:sz w:val="18"/>
          <w:szCs w:val="18"/>
        </w:rPr>
        <w:t>maja</w:t>
      </w:r>
      <w:r>
        <w:rPr>
          <w:sz w:val="18"/>
          <w:szCs w:val="18"/>
        </w:rPr>
        <w:t xml:space="preserve"> 202</w:t>
      </w:r>
      <w:r w:rsidR="00175264">
        <w:rPr>
          <w:sz w:val="18"/>
          <w:szCs w:val="18"/>
        </w:rPr>
        <w:t xml:space="preserve">6 </w:t>
      </w:r>
      <w:r>
        <w:rPr>
          <w:sz w:val="18"/>
          <w:szCs w:val="18"/>
        </w:rPr>
        <w:t>r.</w:t>
      </w:r>
    </w:p>
    <w:tbl>
      <w:tblPr>
        <w:tblW w:w="8780" w:type="dxa"/>
        <w:tblCellMar>
          <w:left w:w="70" w:type="dxa"/>
          <w:right w:w="70" w:type="dxa"/>
        </w:tblCellMar>
        <w:tblLook w:val="04A0" w:firstRow="1" w:lastRow="0" w:firstColumn="1" w:lastColumn="0" w:noHBand="0" w:noVBand="1"/>
      </w:tblPr>
      <w:tblGrid>
        <w:gridCol w:w="3540"/>
        <w:gridCol w:w="2540"/>
        <w:gridCol w:w="2700"/>
      </w:tblGrid>
      <w:tr w:rsidR="00ED79EA" w:rsidRPr="00ED79EA" w14:paraId="57F9519A" w14:textId="77777777" w:rsidTr="00ED79EA">
        <w:trPr>
          <w:trHeight w:val="300"/>
        </w:trPr>
        <w:tc>
          <w:tcPr>
            <w:tcW w:w="3540" w:type="dxa"/>
            <w:tcBorders>
              <w:top w:val="single" w:sz="4" w:space="0" w:color="auto"/>
              <w:left w:val="single" w:sz="4" w:space="0" w:color="auto"/>
              <w:bottom w:val="single" w:sz="4" w:space="0" w:color="auto"/>
              <w:right w:val="single" w:sz="4" w:space="0" w:color="auto"/>
            </w:tcBorders>
            <w:vAlign w:val="center"/>
            <w:hideMark/>
          </w:tcPr>
          <w:p w14:paraId="17703147" w14:textId="77777777" w:rsidR="00ED79EA" w:rsidRPr="00ED79EA" w:rsidRDefault="00ED79EA" w:rsidP="00ED79EA">
            <w:pPr>
              <w:spacing w:after="0" w:line="240" w:lineRule="auto"/>
              <w:jc w:val="center"/>
              <w:rPr>
                <w:rFonts w:ascii="Calibri" w:eastAsia="Times New Roman" w:hAnsi="Calibri" w:cs="Calibri"/>
                <w:b/>
                <w:bCs/>
                <w:color w:val="000000"/>
                <w:sz w:val="16"/>
                <w:szCs w:val="16"/>
                <w:lang w:eastAsia="pl-PL"/>
              </w:rPr>
            </w:pPr>
            <w:r w:rsidRPr="00ED79EA">
              <w:rPr>
                <w:rFonts w:ascii="Calibri" w:eastAsia="Times New Roman" w:hAnsi="Calibri" w:cs="Calibri"/>
                <w:b/>
                <w:bCs/>
                <w:color w:val="000000"/>
                <w:sz w:val="16"/>
                <w:szCs w:val="16"/>
                <w:lang w:eastAsia="pl-PL"/>
              </w:rPr>
              <w:t xml:space="preserve">Wyszczególnienie </w:t>
            </w:r>
          </w:p>
        </w:tc>
        <w:tc>
          <w:tcPr>
            <w:tcW w:w="2540" w:type="dxa"/>
            <w:tcBorders>
              <w:top w:val="single" w:sz="4" w:space="0" w:color="auto"/>
              <w:left w:val="nil"/>
              <w:bottom w:val="single" w:sz="4" w:space="0" w:color="auto"/>
              <w:right w:val="single" w:sz="4" w:space="0" w:color="auto"/>
            </w:tcBorders>
            <w:vAlign w:val="center"/>
            <w:hideMark/>
          </w:tcPr>
          <w:p w14:paraId="461F3248" w14:textId="77777777" w:rsidR="00ED79EA" w:rsidRPr="00ED79EA" w:rsidRDefault="00ED79EA" w:rsidP="00ED79EA">
            <w:pPr>
              <w:spacing w:after="0" w:line="240" w:lineRule="auto"/>
              <w:jc w:val="center"/>
              <w:rPr>
                <w:rFonts w:ascii="Calibri" w:eastAsia="Times New Roman" w:hAnsi="Calibri" w:cs="Calibri"/>
                <w:b/>
                <w:bCs/>
                <w:color w:val="000000"/>
                <w:sz w:val="16"/>
                <w:szCs w:val="16"/>
                <w:lang w:eastAsia="pl-PL"/>
              </w:rPr>
            </w:pPr>
            <w:r w:rsidRPr="00ED79EA">
              <w:rPr>
                <w:rFonts w:ascii="Calibri" w:eastAsia="Times New Roman" w:hAnsi="Calibri" w:cs="Calibri"/>
                <w:b/>
                <w:bCs/>
                <w:color w:val="000000"/>
                <w:sz w:val="16"/>
                <w:szCs w:val="16"/>
                <w:lang w:eastAsia="pl-PL"/>
              </w:rPr>
              <w:t>kwota do spłaty w mld zł</w:t>
            </w:r>
          </w:p>
        </w:tc>
        <w:tc>
          <w:tcPr>
            <w:tcW w:w="2700" w:type="dxa"/>
            <w:tcBorders>
              <w:top w:val="single" w:sz="4" w:space="0" w:color="auto"/>
              <w:left w:val="nil"/>
              <w:bottom w:val="single" w:sz="4" w:space="0" w:color="auto"/>
              <w:right w:val="single" w:sz="4" w:space="0" w:color="auto"/>
            </w:tcBorders>
            <w:vAlign w:val="center"/>
            <w:hideMark/>
          </w:tcPr>
          <w:p w14:paraId="35D8C48E" w14:textId="77777777" w:rsidR="00ED79EA" w:rsidRPr="00ED79EA" w:rsidRDefault="00ED79EA" w:rsidP="00ED79EA">
            <w:pPr>
              <w:spacing w:after="0" w:line="240" w:lineRule="auto"/>
              <w:jc w:val="center"/>
              <w:rPr>
                <w:rFonts w:ascii="Calibri" w:eastAsia="Times New Roman" w:hAnsi="Calibri" w:cs="Calibri"/>
                <w:b/>
                <w:bCs/>
                <w:color w:val="000000"/>
                <w:sz w:val="16"/>
                <w:szCs w:val="16"/>
                <w:lang w:eastAsia="pl-PL"/>
              </w:rPr>
            </w:pPr>
            <w:r w:rsidRPr="00ED79EA">
              <w:rPr>
                <w:rFonts w:ascii="Calibri" w:eastAsia="Times New Roman" w:hAnsi="Calibri" w:cs="Calibri"/>
                <w:b/>
                <w:bCs/>
                <w:color w:val="000000"/>
                <w:sz w:val="16"/>
                <w:szCs w:val="16"/>
                <w:lang w:eastAsia="pl-PL"/>
              </w:rPr>
              <w:t>dynamika r/r</w:t>
            </w:r>
          </w:p>
        </w:tc>
      </w:tr>
      <w:tr w:rsidR="00864851" w:rsidRPr="00ED79EA" w14:paraId="0E56FFDF" w14:textId="77777777" w:rsidTr="00ED79EA">
        <w:trPr>
          <w:trHeight w:val="300"/>
        </w:trPr>
        <w:tc>
          <w:tcPr>
            <w:tcW w:w="3540" w:type="dxa"/>
            <w:tcBorders>
              <w:top w:val="nil"/>
              <w:left w:val="single" w:sz="4" w:space="0" w:color="auto"/>
              <w:bottom w:val="single" w:sz="4" w:space="0" w:color="auto"/>
              <w:right w:val="single" w:sz="4" w:space="0" w:color="auto"/>
            </w:tcBorders>
            <w:vAlign w:val="center"/>
            <w:hideMark/>
          </w:tcPr>
          <w:p w14:paraId="12BC6EDE" w14:textId="77777777" w:rsidR="00864851" w:rsidRPr="00ED79EA" w:rsidRDefault="00864851" w:rsidP="00864851">
            <w:pPr>
              <w:spacing w:after="0" w:line="240" w:lineRule="auto"/>
              <w:rPr>
                <w:rFonts w:ascii="Calibri" w:eastAsia="Times New Roman" w:hAnsi="Calibri" w:cs="Calibri"/>
                <w:color w:val="000000"/>
                <w:sz w:val="16"/>
                <w:szCs w:val="16"/>
                <w:lang w:eastAsia="pl-PL"/>
              </w:rPr>
            </w:pPr>
            <w:r w:rsidRPr="00ED79EA">
              <w:rPr>
                <w:rFonts w:ascii="Calibri" w:eastAsia="Times New Roman" w:hAnsi="Calibri" w:cs="Calibri"/>
                <w:color w:val="000000"/>
                <w:sz w:val="16"/>
                <w:szCs w:val="16"/>
                <w:lang w:eastAsia="pl-PL"/>
              </w:rPr>
              <w:t>Pożyczki gotówkowe na okres do 60 dni</w:t>
            </w:r>
          </w:p>
        </w:tc>
        <w:tc>
          <w:tcPr>
            <w:tcW w:w="2540" w:type="dxa"/>
            <w:tcBorders>
              <w:top w:val="nil"/>
              <w:left w:val="nil"/>
              <w:bottom w:val="single" w:sz="4" w:space="0" w:color="auto"/>
              <w:right w:val="single" w:sz="4" w:space="0" w:color="auto"/>
            </w:tcBorders>
            <w:vAlign w:val="center"/>
            <w:hideMark/>
          </w:tcPr>
          <w:p w14:paraId="61F60008" w14:textId="5524FFA0" w:rsidR="00864851" w:rsidRPr="00ED79EA"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1,5</w:t>
            </w:r>
          </w:p>
        </w:tc>
        <w:tc>
          <w:tcPr>
            <w:tcW w:w="2700" w:type="dxa"/>
            <w:tcBorders>
              <w:top w:val="nil"/>
              <w:left w:val="nil"/>
              <w:bottom w:val="single" w:sz="4" w:space="0" w:color="auto"/>
              <w:right w:val="single" w:sz="4" w:space="0" w:color="auto"/>
            </w:tcBorders>
            <w:vAlign w:val="center"/>
            <w:hideMark/>
          </w:tcPr>
          <w:p w14:paraId="356C1464" w14:textId="5A3C5303" w:rsidR="00864851" w:rsidRPr="00ED79EA" w:rsidRDefault="00864851" w:rsidP="00864851">
            <w:pPr>
              <w:spacing w:after="0" w:line="240" w:lineRule="auto"/>
              <w:jc w:val="center"/>
              <w:rPr>
                <w:rFonts w:ascii="Aptos Narrow" w:eastAsia="Times New Roman" w:hAnsi="Aptos Narrow" w:cs="Times New Roman"/>
                <w:color w:val="000000"/>
                <w:sz w:val="14"/>
                <w:szCs w:val="14"/>
                <w:lang w:eastAsia="pl-PL"/>
              </w:rPr>
            </w:pPr>
            <w:r>
              <w:rPr>
                <w:rFonts w:ascii="Aptos Narrow" w:hAnsi="Aptos Narrow"/>
                <w:color w:val="0000FF"/>
                <w:sz w:val="14"/>
                <w:szCs w:val="14"/>
              </w:rPr>
              <w:t>+11,5%</w:t>
            </w:r>
          </w:p>
        </w:tc>
      </w:tr>
      <w:tr w:rsidR="00864851" w:rsidRPr="00ED79EA" w14:paraId="2D50AE4A" w14:textId="77777777" w:rsidTr="00ED79EA">
        <w:trPr>
          <w:trHeight w:val="300"/>
        </w:trPr>
        <w:tc>
          <w:tcPr>
            <w:tcW w:w="3540" w:type="dxa"/>
            <w:tcBorders>
              <w:top w:val="nil"/>
              <w:left w:val="single" w:sz="4" w:space="0" w:color="auto"/>
              <w:bottom w:val="single" w:sz="4" w:space="0" w:color="auto"/>
              <w:right w:val="single" w:sz="4" w:space="0" w:color="auto"/>
            </w:tcBorders>
            <w:vAlign w:val="center"/>
            <w:hideMark/>
          </w:tcPr>
          <w:p w14:paraId="3AA2C2B0" w14:textId="77777777" w:rsidR="00864851" w:rsidRPr="00ED79EA" w:rsidRDefault="00864851" w:rsidP="00864851">
            <w:pPr>
              <w:spacing w:after="0" w:line="240" w:lineRule="auto"/>
              <w:rPr>
                <w:rFonts w:ascii="Calibri" w:eastAsia="Times New Roman" w:hAnsi="Calibri" w:cs="Calibri"/>
                <w:color w:val="000000"/>
                <w:sz w:val="16"/>
                <w:szCs w:val="16"/>
                <w:lang w:eastAsia="pl-PL"/>
              </w:rPr>
            </w:pPr>
            <w:r w:rsidRPr="00ED79EA">
              <w:rPr>
                <w:rFonts w:ascii="Calibri" w:eastAsia="Times New Roman" w:hAnsi="Calibri" w:cs="Calibri"/>
                <w:color w:val="000000"/>
                <w:sz w:val="16"/>
                <w:szCs w:val="16"/>
                <w:lang w:eastAsia="pl-PL"/>
              </w:rPr>
              <w:t>Pożyczki gotówkowe na okres pow. 60 dni</w:t>
            </w:r>
          </w:p>
        </w:tc>
        <w:tc>
          <w:tcPr>
            <w:tcW w:w="2540" w:type="dxa"/>
            <w:tcBorders>
              <w:top w:val="nil"/>
              <w:left w:val="nil"/>
              <w:bottom w:val="single" w:sz="4" w:space="0" w:color="auto"/>
              <w:right w:val="single" w:sz="4" w:space="0" w:color="auto"/>
            </w:tcBorders>
            <w:vAlign w:val="center"/>
            <w:hideMark/>
          </w:tcPr>
          <w:p w14:paraId="1113A804" w14:textId="3BC57709" w:rsidR="00864851" w:rsidRPr="00ED79EA"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5,6</w:t>
            </w:r>
          </w:p>
        </w:tc>
        <w:tc>
          <w:tcPr>
            <w:tcW w:w="2700" w:type="dxa"/>
            <w:tcBorders>
              <w:top w:val="nil"/>
              <w:left w:val="nil"/>
              <w:bottom w:val="single" w:sz="4" w:space="0" w:color="auto"/>
              <w:right w:val="single" w:sz="4" w:space="0" w:color="auto"/>
            </w:tcBorders>
            <w:vAlign w:val="center"/>
            <w:hideMark/>
          </w:tcPr>
          <w:p w14:paraId="3A215F45" w14:textId="06FF4465" w:rsidR="00864851" w:rsidRPr="00ED79EA" w:rsidRDefault="00864851" w:rsidP="00864851">
            <w:pPr>
              <w:spacing w:after="0" w:line="240" w:lineRule="auto"/>
              <w:jc w:val="center"/>
              <w:rPr>
                <w:rFonts w:ascii="Aptos Narrow" w:eastAsia="Times New Roman" w:hAnsi="Aptos Narrow" w:cs="Times New Roman"/>
                <w:color w:val="000000"/>
                <w:sz w:val="14"/>
                <w:szCs w:val="14"/>
                <w:lang w:eastAsia="pl-PL"/>
              </w:rPr>
            </w:pPr>
            <w:r>
              <w:rPr>
                <w:rFonts w:ascii="Aptos Narrow" w:hAnsi="Aptos Narrow"/>
                <w:color w:val="0000FF"/>
                <w:sz w:val="14"/>
                <w:szCs w:val="14"/>
              </w:rPr>
              <w:t>+20,4%</w:t>
            </w:r>
          </w:p>
        </w:tc>
      </w:tr>
      <w:tr w:rsidR="00864851" w:rsidRPr="00ED79EA" w14:paraId="577A6E81" w14:textId="77777777" w:rsidTr="00ED79EA">
        <w:trPr>
          <w:trHeight w:val="300"/>
        </w:trPr>
        <w:tc>
          <w:tcPr>
            <w:tcW w:w="3540" w:type="dxa"/>
            <w:tcBorders>
              <w:top w:val="nil"/>
              <w:left w:val="single" w:sz="4" w:space="0" w:color="auto"/>
              <w:bottom w:val="single" w:sz="4" w:space="0" w:color="auto"/>
              <w:right w:val="single" w:sz="4" w:space="0" w:color="auto"/>
            </w:tcBorders>
            <w:vAlign w:val="center"/>
            <w:hideMark/>
          </w:tcPr>
          <w:p w14:paraId="0B3B06A8" w14:textId="77777777" w:rsidR="00864851" w:rsidRPr="00ED79EA" w:rsidRDefault="00864851" w:rsidP="00864851">
            <w:pPr>
              <w:spacing w:after="0" w:line="240" w:lineRule="auto"/>
              <w:rPr>
                <w:rFonts w:ascii="Calibri" w:eastAsia="Times New Roman" w:hAnsi="Calibri" w:cs="Calibri"/>
                <w:color w:val="000000"/>
                <w:sz w:val="16"/>
                <w:szCs w:val="16"/>
                <w:lang w:eastAsia="pl-PL"/>
              </w:rPr>
            </w:pPr>
            <w:r w:rsidRPr="00ED79EA">
              <w:rPr>
                <w:rFonts w:ascii="Calibri" w:eastAsia="Times New Roman" w:hAnsi="Calibri" w:cs="Calibri"/>
                <w:color w:val="000000"/>
                <w:sz w:val="16"/>
                <w:szCs w:val="16"/>
                <w:lang w:eastAsia="pl-PL"/>
              </w:rPr>
              <w:t>Pożyczki celowe</w:t>
            </w:r>
          </w:p>
        </w:tc>
        <w:tc>
          <w:tcPr>
            <w:tcW w:w="2540" w:type="dxa"/>
            <w:tcBorders>
              <w:top w:val="nil"/>
              <w:left w:val="nil"/>
              <w:bottom w:val="single" w:sz="4" w:space="0" w:color="auto"/>
              <w:right w:val="single" w:sz="4" w:space="0" w:color="auto"/>
            </w:tcBorders>
            <w:vAlign w:val="center"/>
            <w:hideMark/>
          </w:tcPr>
          <w:p w14:paraId="727B103A" w14:textId="477A2F70" w:rsidR="00864851" w:rsidRPr="00ED79EA"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3,3</w:t>
            </w:r>
          </w:p>
        </w:tc>
        <w:tc>
          <w:tcPr>
            <w:tcW w:w="2700" w:type="dxa"/>
            <w:tcBorders>
              <w:top w:val="nil"/>
              <w:left w:val="nil"/>
              <w:bottom w:val="single" w:sz="4" w:space="0" w:color="auto"/>
              <w:right w:val="single" w:sz="4" w:space="0" w:color="auto"/>
            </w:tcBorders>
            <w:vAlign w:val="center"/>
            <w:hideMark/>
          </w:tcPr>
          <w:p w14:paraId="762A7FEC" w14:textId="3E9E78B5" w:rsidR="00864851" w:rsidRPr="00ED79EA" w:rsidRDefault="00864851" w:rsidP="00864851">
            <w:pPr>
              <w:spacing w:after="0" w:line="240" w:lineRule="auto"/>
              <w:jc w:val="center"/>
              <w:rPr>
                <w:rFonts w:ascii="Aptos Narrow" w:eastAsia="Times New Roman" w:hAnsi="Aptos Narrow" w:cs="Times New Roman"/>
                <w:color w:val="000000"/>
                <w:sz w:val="14"/>
                <w:szCs w:val="14"/>
                <w:lang w:eastAsia="pl-PL"/>
              </w:rPr>
            </w:pPr>
            <w:r>
              <w:rPr>
                <w:rFonts w:ascii="Aptos Narrow" w:hAnsi="Aptos Narrow"/>
                <w:color w:val="0000FF"/>
                <w:sz w:val="14"/>
                <w:szCs w:val="14"/>
              </w:rPr>
              <w:t>+18,8%</w:t>
            </w:r>
          </w:p>
        </w:tc>
      </w:tr>
      <w:tr w:rsidR="00864851" w:rsidRPr="00ED79EA" w14:paraId="0FF57E12" w14:textId="77777777" w:rsidTr="00ED79EA">
        <w:trPr>
          <w:trHeight w:val="300"/>
        </w:trPr>
        <w:tc>
          <w:tcPr>
            <w:tcW w:w="3540" w:type="dxa"/>
            <w:tcBorders>
              <w:top w:val="nil"/>
              <w:left w:val="single" w:sz="4" w:space="0" w:color="auto"/>
              <w:bottom w:val="single" w:sz="4" w:space="0" w:color="auto"/>
              <w:right w:val="single" w:sz="4" w:space="0" w:color="auto"/>
            </w:tcBorders>
            <w:vAlign w:val="center"/>
            <w:hideMark/>
          </w:tcPr>
          <w:p w14:paraId="0EEE28C0" w14:textId="61873073" w:rsidR="00864851" w:rsidRPr="00ED79EA" w:rsidRDefault="00864851" w:rsidP="00864851">
            <w:pPr>
              <w:spacing w:after="0" w:line="240" w:lineRule="auto"/>
              <w:rPr>
                <w:rFonts w:ascii="Calibri" w:eastAsia="Times New Roman" w:hAnsi="Calibri" w:cs="Calibri"/>
                <w:color w:val="000000"/>
                <w:sz w:val="16"/>
                <w:szCs w:val="16"/>
                <w:lang w:eastAsia="pl-PL"/>
              </w:rPr>
            </w:pPr>
            <w:r w:rsidRPr="00ED79EA">
              <w:rPr>
                <w:rFonts w:ascii="Calibri" w:eastAsia="Times New Roman" w:hAnsi="Calibri" w:cs="Calibri"/>
                <w:color w:val="000000"/>
                <w:sz w:val="16"/>
                <w:szCs w:val="16"/>
                <w:lang w:eastAsia="pl-PL"/>
              </w:rPr>
              <w:t>Ka</w:t>
            </w:r>
            <w:r>
              <w:rPr>
                <w:rFonts w:ascii="Calibri" w:eastAsia="Times New Roman" w:hAnsi="Calibri" w:cs="Calibri"/>
                <w:color w:val="000000"/>
                <w:sz w:val="16"/>
                <w:szCs w:val="16"/>
                <w:lang w:eastAsia="pl-PL"/>
              </w:rPr>
              <w:t>r</w:t>
            </w:r>
            <w:r w:rsidRPr="00ED79EA">
              <w:rPr>
                <w:rFonts w:ascii="Calibri" w:eastAsia="Times New Roman" w:hAnsi="Calibri" w:cs="Calibri"/>
                <w:color w:val="000000"/>
                <w:sz w:val="16"/>
                <w:szCs w:val="16"/>
                <w:lang w:eastAsia="pl-PL"/>
              </w:rPr>
              <w:t>ty i limity pożyczkowe</w:t>
            </w:r>
          </w:p>
        </w:tc>
        <w:tc>
          <w:tcPr>
            <w:tcW w:w="2540" w:type="dxa"/>
            <w:tcBorders>
              <w:top w:val="nil"/>
              <w:left w:val="nil"/>
              <w:bottom w:val="single" w:sz="4" w:space="0" w:color="auto"/>
              <w:right w:val="single" w:sz="4" w:space="0" w:color="auto"/>
            </w:tcBorders>
            <w:vAlign w:val="center"/>
            <w:hideMark/>
          </w:tcPr>
          <w:p w14:paraId="619E1814" w14:textId="19529E01" w:rsidR="00864851" w:rsidRPr="00ED79EA" w:rsidRDefault="00864851" w:rsidP="00864851">
            <w:pPr>
              <w:spacing w:after="0" w:line="240" w:lineRule="auto"/>
              <w:jc w:val="center"/>
              <w:rPr>
                <w:rFonts w:ascii="Calibri" w:eastAsia="Times New Roman" w:hAnsi="Calibri" w:cs="Calibri"/>
                <w:color w:val="000000"/>
                <w:sz w:val="16"/>
                <w:szCs w:val="16"/>
                <w:lang w:eastAsia="pl-PL"/>
              </w:rPr>
            </w:pPr>
            <w:r>
              <w:rPr>
                <w:rFonts w:ascii="Calibri" w:hAnsi="Calibri" w:cs="Calibri"/>
                <w:color w:val="000000"/>
                <w:sz w:val="16"/>
                <w:szCs w:val="16"/>
              </w:rPr>
              <w:t>1,0</w:t>
            </w:r>
          </w:p>
        </w:tc>
        <w:tc>
          <w:tcPr>
            <w:tcW w:w="2700" w:type="dxa"/>
            <w:tcBorders>
              <w:top w:val="nil"/>
              <w:left w:val="nil"/>
              <w:bottom w:val="single" w:sz="4" w:space="0" w:color="auto"/>
              <w:right w:val="single" w:sz="4" w:space="0" w:color="auto"/>
            </w:tcBorders>
            <w:vAlign w:val="center"/>
            <w:hideMark/>
          </w:tcPr>
          <w:p w14:paraId="090E984D" w14:textId="1C12EFF1" w:rsidR="00864851" w:rsidRPr="00ED79EA" w:rsidRDefault="00864851" w:rsidP="00864851">
            <w:pPr>
              <w:spacing w:after="0" w:line="240" w:lineRule="auto"/>
              <w:jc w:val="center"/>
              <w:rPr>
                <w:rFonts w:ascii="Aptos Narrow" w:eastAsia="Times New Roman" w:hAnsi="Aptos Narrow" w:cs="Times New Roman"/>
                <w:color w:val="000000"/>
                <w:sz w:val="14"/>
                <w:szCs w:val="14"/>
                <w:lang w:eastAsia="pl-PL"/>
              </w:rPr>
            </w:pPr>
            <w:r>
              <w:rPr>
                <w:rFonts w:ascii="Aptos Narrow" w:hAnsi="Aptos Narrow"/>
                <w:color w:val="0000FF"/>
                <w:sz w:val="14"/>
                <w:szCs w:val="14"/>
              </w:rPr>
              <w:t>+117,2%</w:t>
            </w:r>
          </w:p>
        </w:tc>
      </w:tr>
    </w:tbl>
    <w:p w14:paraId="4AAEBD39" w14:textId="77777777" w:rsidR="00F5568A" w:rsidRDefault="00F5568A" w:rsidP="00ED79EA">
      <w:pPr>
        <w:pStyle w:val="Akapitzlist"/>
        <w:tabs>
          <w:tab w:val="left" w:pos="284"/>
        </w:tabs>
        <w:spacing w:before="120" w:after="0"/>
        <w:ind w:left="-426"/>
        <w:rPr>
          <w:sz w:val="18"/>
          <w:szCs w:val="18"/>
        </w:rPr>
      </w:pPr>
    </w:p>
    <w:p w14:paraId="27639038" w14:textId="746A5855" w:rsidR="00ED79EA" w:rsidRDefault="00ED79EA" w:rsidP="00ED79EA">
      <w:pPr>
        <w:pStyle w:val="Akapitzlist"/>
        <w:tabs>
          <w:tab w:val="left" w:pos="284"/>
        </w:tabs>
        <w:spacing w:before="120" w:after="0"/>
        <w:ind w:left="-426"/>
        <w:rPr>
          <w:sz w:val="18"/>
          <w:szCs w:val="18"/>
        </w:rPr>
      </w:pPr>
    </w:p>
    <w:p w14:paraId="1169B634" w14:textId="35AD0337" w:rsidR="00F5568A" w:rsidRDefault="00864851" w:rsidP="00ED79EA">
      <w:pPr>
        <w:pStyle w:val="Akapitzlist"/>
        <w:tabs>
          <w:tab w:val="left" w:pos="284"/>
        </w:tabs>
        <w:spacing w:before="120" w:after="0"/>
        <w:ind w:left="-426"/>
        <w:rPr>
          <w:sz w:val="18"/>
          <w:szCs w:val="18"/>
        </w:rPr>
      </w:pPr>
      <w:r>
        <w:rPr>
          <w:noProof/>
          <w:sz w:val="18"/>
          <w:szCs w:val="18"/>
        </w:rPr>
        <w:drawing>
          <wp:inline distT="0" distB="0" distL="0" distR="0" wp14:anchorId="7E8C729B" wp14:editId="1E3E6B44">
            <wp:extent cx="6051600" cy="2880000"/>
            <wp:effectExtent l="0" t="0" r="6350" b="0"/>
            <wp:docPr id="166607243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1600" cy="2880000"/>
                    </a:xfrm>
                    <a:prstGeom prst="rect">
                      <a:avLst/>
                    </a:prstGeom>
                    <a:noFill/>
                  </pic:spPr>
                </pic:pic>
              </a:graphicData>
            </a:graphic>
          </wp:inline>
        </w:drawing>
      </w:r>
    </w:p>
    <w:p w14:paraId="3A2AB341" w14:textId="77777777" w:rsidR="00F5568A" w:rsidRPr="00ED79EA" w:rsidRDefault="00F5568A" w:rsidP="00ED79EA">
      <w:pPr>
        <w:pStyle w:val="Akapitzlist"/>
        <w:tabs>
          <w:tab w:val="left" w:pos="284"/>
        </w:tabs>
        <w:spacing w:before="120" w:after="0"/>
        <w:ind w:left="-426"/>
        <w:rPr>
          <w:sz w:val="18"/>
          <w:szCs w:val="18"/>
        </w:rPr>
      </w:pPr>
    </w:p>
    <w:sectPr w:rsidR="00F5568A" w:rsidRPr="00ED79EA" w:rsidSect="00DA5267">
      <w:footerReference w:type="default" r:id="rId12"/>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8C2B" w14:textId="77777777" w:rsidR="00DA312B" w:rsidRDefault="00DA312B" w:rsidP="0064656F">
      <w:pPr>
        <w:spacing w:after="0" w:line="240" w:lineRule="auto"/>
      </w:pPr>
      <w:r>
        <w:separator/>
      </w:r>
    </w:p>
  </w:endnote>
  <w:endnote w:type="continuationSeparator" w:id="0">
    <w:p w14:paraId="31233447" w14:textId="77777777" w:rsidR="00DA312B" w:rsidRDefault="00DA312B" w:rsidP="0064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A4BF" w14:textId="6C0DA262" w:rsidR="00617F36" w:rsidRDefault="007C2BD7">
    <w:pPr>
      <w:pStyle w:val="Stopka"/>
      <w:jc w:val="right"/>
      <w:rPr>
        <w:rFonts w:asciiTheme="majorHAnsi" w:eastAsiaTheme="majorEastAsia" w:hAnsiTheme="majorHAnsi" w:cstheme="majorBidi"/>
        <w:sz w:val="28"/>
        <w:szCs w:val="28"/>
      </w:rPr>
    </w:pPr>
    <w:r>
      <w:rPr>
        <w:noProof/>
      </w:rPr>
      <mc:AlternateContent>
        <mc:Choice Requires="wps">
          <w:drawing>
            <wp:anchor distT="0" distB="0" distL="114300" distR="114300" simplePos="0" relativeHeight="251657216" behindDoc="0" locked="0" layoutInCell="0" allowOverlap="1" wp14:anchorId="0CDA835A" wp14:editId="5325CBF0">
              <wp:simplePos x="0" y="0"/>
              <wp:positionH relativeFrom="page">
                <wp:posOffset>0</wp:posOffset>
              </wp:positionH>
              <wp:positionV relativeFrom="page">
                <wp:posOffset>10227945</wp:posOffset>
              </wp:positionV>
              <wp:extent cx="7560310" cy="27305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9BDC4A4" w14:textId="3D01ED8A" w:rsidR="005B3F9A" w:rsidRPr="005B3F9A" w:rsidRDefault="005B3F9A" w:rsidP="005B3F9A">
                          <w:pPr>
                            <w:spacing w:after="0"/>
                            <w:jc w:val="right"/>
                            <w:rPr>
                              <w:rFonts w:ascii="Calibri" w:hAnsi="Calibri" w:cs="Calibri"/>
                              <w:color w:val="008000"/>
                              <w:sz w:val="20"/>
                            </w:rPr>
                          </w:pPr>
                          <w:r w:rsidRPr="005B3F9A">
                            <w:rPr>
                              <w:rFonts w:ascii="Calibri" w:hAnsi="Calibri" w:cs="Calibri"/>
                              <w:color w:val="008000"/>
                              <w:sz w:val="20"/>
                            </w:rPr>
                            <w:t>Informacje Jawne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DA835A" id="_x0000_t202" coordsize="21600,21600" o:spt="202" path="m,l,21600r21600,l21600,xe">
              <v:stroke joinstyle="miter"/>
              <v:path gradientshapeok="t" o:connecttype="rect"/>
            </v:shapetype>
            <v:shape id="Pole tekstowe 1" o:spid="_x0000_s1026" type="#_x0000_t202" style="position:absolute;left:0;text-align:left;margin-left:0;margin-top:805.35pt;width:595.3pt;height: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5tIwIAAD4EAAAOAAAAZHJzL2Uyb0RvYy54bWysU02P2yAQvVfqf0DcGzufu7XirNJdpaoU&#10;7a6UrfZMMMRWMUOBxE5/fQdsJ+22p6oXGJhhPt57LO/aWpGTsK4CndPxKKVEaA5FpQ85/fqy+XBL&#10;ifNMF0yBFjk9C0fvVu/fLRuTiQmUoAphCSbRLmtMTkvvTZYkjpeiZm4ERmh0SrA183i0h6SwrMHs&#10;tUomabpIGrCFscCFc3j70DnpKuaXUnD/JKUTnqicYm8+rjau+7AmqyXLDpaZsuJ9G+wfuqhZpbHo&#10;JdUD84wcbfVHqrriFhxIP+JQJyBlxUWcAacZp2+m2ZXMiDgLguPMBSb3/9Lyx9POPFvi20/QIoFx&#10;CGe2wL85xCZpjMv6mICpyxxGh0Fbaeuw4wgEHyK25wueovWE4+XNfJFOx+ji6JvcTNN5BDy5vjbW&#10;+c8CahKMnFrkK3bATlvnQ32WDSGhmIZNpVTkTGnS5HQxxZS/efCF0n3jXa+ha9/uW3wWzD0UZxzY&#10;QqcFZ/imwuJb5vwzs0g+9ouC9k+4SAVYBHqLkhLsj7/dh3jkBL2UNCimnLrvR2YFJeqLRrY+jmez&#10;oL54QMNGYzKfpSme9sO1Ptb3gEId458xPJoh2KvBlBbqVxT8OpRDF9Mci+Z0P5j3vtM2fhgu1usY&#10;hEIzzG/1zvCB4IDpS/vKrOmB90jZIwx6Y9kb/LvYDuf10YOsIjlXOHvAUaSRs/5DhV/w6zlGXb/9&#10;6icAAAD//wMAUEsDBBQABgAIAAAAIQCdqEfo4QAAAAsBAAAPAAAAZHJzL2Rvd25yZXYueG1sTI/B&#10;TsMwEETvSPyDtUhcKmqnFUkb4lQVUk9IiBakXt14SSLidYid1uXrcU5w3JnR7JtiE0zHzji41pKE&#10;ZC6AIVVWt1RL+HjfPayAOa9Iq84SSriig015e1OoXNsL7fF88DWLJeRyJaHxvs85d1WDRrm57ZGi&#10;92kHo3w8h5rrQV1iuen4QoiUG9VS/NCoHp8brL4Oo5Ew+zHV8iXbLY5vr99j2Gaz6zqMUt7fhe0T&#10;MI/B/4Vhwo/oUEamkx1JO9ZJiEN8VNNEZMAmP1mLFNhp0h6XGfCy4P83lL8AAAD//wMAUEsBAi0A&#10;FAAGAAgAAAAhALaDOJL+AAAA4QEAABMAAAAAAAAAAAAAAAAAAAAAAFtDb250ZW50X1R5cGVzXS54&#10;bWxQSwECLQAUAAYACAAAACEAOP0h/9YAAACUAQAACwAAAAAAAAAAAAAAAAAvAQAAX3JlbHMvLnJl&#10;bHNQSwECLQAUAAYACAAAACEAZvPubSMCAAA+BAAADgAAAAAAAAAAAAAAAAAuAgAAZHJzL2Uyb0Rv&#10;Yy54bWxQSwECLQAUAAYACAAAACEAnahH6OEAAAALAQAADwAAAAAAAAAAAAAAAAB9BAAAZHJzL2Rv&#10;d25yZXYueG1sUEsFBgAAAAAEAAQA8wAAAIsFAAAAAA==&#10;" o:allowincell="f" filled="f" stroked="f" strokeweight=".5pt">
              <v:textbox inset=",0,20pt,0">
                <w:txbxContent>
                  <w:p w14:paraId="19BDC4A4" w14:textId="3D01ED8A" w:rsidR="005B3F9A" w:rsidRPr="005B3F9A" w:rsidRDefault="005B3F9A" w:rsidP="005B3F9A">
                    <w:pPr>
                      <w:spacing w:after="0"/>
                      <w:jc w:val="right"/>
                      <w:rPr>
                        <w:rFonts w:ascii="Calibri" w:hAnsi="Calibri" w:cs="Calibri"/>
                        <w:color w:val="008000"/>
                        <w:sz w:val="20"/>
                      </w:rPr>
                    </w:pPr>
                    <w:r w:rsidRPr="005B3F9A">
                      <w:rPr>
                        <w:rFonts w:ascii="Calibri" w:hAnsi="Calibri" w:cs="Calibri"/>
                        <w:color w:val="008000"/>
                        <w:sz w:val="20"/>
                      </w:rPr>
                      <w:t>Informacje Jawne</w:t>
                    </w:r>
                  </w:p>
                </w:txbxContent>
              </v:textbox>
              <w10:wrap anchorx="page" anchory="page"/>
            </v:shape>
          </w:pict>
        </mc:Fallback>
      </mc:AlternateContent>
    </w:r>
    <w:sdt>
      <w:sdtPr>
        <w:rPr>
          <w:rFonts w:asciiTheme="majorHAnsi" w:eastAsiaTheme="majorEastAsia" w:hAnsiTheme="majorHAnsi" w:cstheme="majorBidi"/>
          <w:sz w:val="28"/>
          <w:szCs w:val="28"/>
        </w:rPr>
        <w:id w:val="1615706241"/>
        <w:docPartObj>
          <w:docPartGallery w:val="Page Numbers (Bottom of Page)"/>
          <w:docPartUnique/>
        </w:docPartObj>
      </w:sdtPr>
      <w:sdtContent>
        <w:r w:rsidR="00617F36">
          <w:rPr>
            <w:rFonts w:asciiTheme="majorHAnsi" w:eastAsiaTheme="majorEastAsia" w:hAnsiTheme="majorHAnsi" w:cstheme="majorBidi"/>
            <w:sz w:val="28"/>
            <w:szCs w:val="28"/>
          </w:rPr>
          <w:t xml:space="preserve">str. </w:t>
        </w:r>
        <w:r w:rsidR="00617F36">
          <w:rPr>
            <w:rFonts w:eastAsiaTheme="minorEastAsia"/>
            <w:szCs w:val="21"/>
          </w:rPr>
          <w:fldChar w:fldCharType="begin"/>
        </w:r>
        <w:r w:rsidR="00617F36">
          <w:instrText>PAGE    \* MERGEFORMAT</w:instrText>
        </w:r>
        <w:r w:rsidR="00617F36">
          <w:rPr>
            <w:rFonts w:eastAsiaTheme="minorEastAsia"/>
            <w:szCs w:val="21"/>
          </w:rPr>
          <w:fldChar w:fldCharType="separate"/>
        </w:r>
        <w:r w:rsidR="00B53FDB" w:rsidRPr="00B53FDB">
          <w:rPr>
            <w:rFonts w:asciiTheme="majorHAnsi" w:eastAsiaTheme="majorEastAsia" w:hAnsiTheme="majorHAnsi" w:cstheme="majorBidi"/>
            <w:noProof/>
            <w:sz w:val="28"/>
            <w:szCs w:val="28"/>
          </w:rPr>
          <w:t>2</w:t>
        </w:r>
        <w:r w:rsidR="00617F36">
          <w:rPr>
            <w:rFonts w:asciiTheme="majorHAnsi" w:eastAsiaTheme="majorEastAsia" w:hAnsiTheme="majorHAnsi" w:cstheme="majorBidi"/>
            <w:sz w:val="28"/>
            <w:szCs w:val="28"/>
          </w:rPr>
          <w:fldChar w:fldCharType="end"/>
        </w:r>
      </w:sdtContent>
    </w:sdt>
  </w:p>
  <w:p w14:paraId="192EE5AB" w14:textId="77777777" w:rsidR="0064656F" w:rsidRDefault="006465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F36B" w14:textId="77777777" w:rsidR="00DA312B" w:rsidRDefault="00DA312B" w:rsidP="0064656F">
      <w:pPr>
        <w:spacing w:after="0" w:line="240" w:lineRule="auto"/>
      </w:pPr>
      <w:r>
        <w:separator/>
      </w:r>
    </w:p>
  </w:footnote>
  <w:footnote w:type="continuationSeparator" w:id="0">
    <w:p w14:paraId="232A648E" w14:textId="77777777" w:rsidR="00DA312B" w:rsidRDefault="00DA312B" w:rsidP="0064656F">
      <w:pPr>
        <w:spacing w:after="0" w:line="240" w:lineRule="auto"/>
      </w:pPr>
      <w:r>
        <w:continuationSeparator/>
      </w:r>
    </w:p>
  </w:footnote>
  <w:footnote w:id="1">
    <w:p w14:paraId="7548A49C" w14:textId="3B7E2DCB" w:rsidR="00E415FC" w:rsidRPr="00E415FC" w:rsidRDefault="00E415FC" w:rsidP="00E415FC">
      <w:pPr>
        <w:pStyle w:val="Tekstprzypisudolnego"/>
        <w:jc w:val="both"/>
      </w:pPr>
      <w:r>
        <w:rPr>
          <w:rStyle w:val="Odwoanieprzypisudolnego"/>
        </w:rPr>
        <w:footnoteRef/>
      </w:r>
      <w:r>
        <w:t xml:space="preserve"> </w:t>
      </w:r>
      <w:r w:rsidRPr="00E415FC">
        <w:rPr>
          <w:sz w:val="16"/>
          <w:szCs w:val="16"/>
        </w:rPr>
        <w:t xml:space="preserve">Informacje statystyczne przedstawione w materiale wynikają z aktualnego stanu bazy danych BIK, która opiera się na danych przekazywanych BIK przez instytucje </w:t>
      </w:r>
      <w:proofErr w:type="spellStart"/>
      <w:r w:rsidRPr="00E415FC">
        <w:rPr>
          <w:sz w:val="16"/>
          <w:szCs w:val="16"/>
        </w:rPr>
        <w:t>pozabankowe</w:t>
      </w:r>
      <w:proofErr w:type="spellEnd"/>
      <w:r w:rsidRPr="00E415FC">
        <w:rPr>
          <w:sz w:val="16"/>
          <w:szCs w:val="16"/>
        </w:rPr>
        <w:t xml:space="preserve">, w tym największe firmy pożyczkowe w Polsce, raportujące do BIK, z wyłączeniem odroczonych płatności w 35-dniowym okresie </w:t>
      </w:r>
      <w:proofErr w:type="spellStart"/>
      <w:r w:rsidRPr="00E415FC">
        <w:rPr>
          <w:sz w:val="16"/>
          <w:szCs w:val="16"/>
        </w:rPr>
        <w:t>bezodsetkowym</w:t>
      </w:r>
      <w:proofErr w:type="spellEnd"/>
      <w:r w:rsidRPr="00E415FC">
        <w:rPr>
          <w:sz w:val="16"/>
          <w:szCs w:val="16"/>
        </w:rPr>
        <w:t>. Dane gromadzone w bazie BIK mogą być przedmiotem aktualizacji przez instytucje finansowe, które są ich właścicielami. BIK zastrzega, że taka aktualizacja może obejmować również dane historyczne, objęte już publikowanymi informacjami, co może spowodować zmianę wartości danych historycznych.</w:t>
      </w:r>
    </w:p>
    <w:p w14:paraId="3B3E8F0A" w14:textId="0EB640A5" w:rsidR="00E415FC" w:rsidRDefault="00E415FC">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24A"/>
    <w:multiLevelType w:val="hybridMultilevel"/>
    <w:tmpl w:val="39A27A84"/>
    <w:lvl w:ilvl="0" w:tplc="32D6AF2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F2628"/>
    <w:multiLevelType w:val="hybridMultilevel"/>
    <w:tmpl w:val="24B0B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203FAB"/>
    <w:multiLevelType w:val="hybridMultilevel"/>
    <w:tmpl w:val="74A8AC7C"/>
    <w:lvl w:ilvl="0" w:tplc="8FC60A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893E76"/>
    <w:multiLevelType w:val="hybridMultilevel"/>
    <w:tmpl w:val="5D144EE4"/>
    <w:lvl w:ilvl="0" w:tplc="610A14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8027A6"/>
    <w:multiLevelType w:val="hybridMultilevel"/>
    <w:tmpl w:val="4FCCAE10"/>
    <w:lvl w:ilvl="0" w:tplc="981E25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8DE3B9F"/>
    <w:multiLevelType w:val="hybridMultilevel"/>
    <w:tmpl w:val="988A4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5B58AB"/>
    <w:multiLevelType w:val="hybridMultilevel"/>
    <w:tmpl w:val="CC1E5690"/>
    <w:lvl w:ilvl="0" w:tplc="4504F954">
      <w:numFmt w:val="bullet"/>
      <w:lvlText w:val=""/>
      <w:lvlJc w:val="left"/>
      <w:pPr>
        <w:ind w:left="-66" w:hanging="360"/>
      </w:pPr>
      <w:rPr>
        <w:rFonts w:ascii="Symbol" w:eastAsiaTheme="minorHAnsi" w:hAnsi="Symbol" w:cstheme="minorBidi" w:hint="default"/>
      </w:rPr>
    </w:lvl>
    <w:lvl w:ilvl="1" w:tplc="04150003" w:tentative="1">
      <w:start w:val="1"/>
      <w:numFmt w:val="bullet"/>
      <w:lvlText w:val="o"/>
      <w:lvlJc w:val="left"/>
      <w:pPr>
        <w:ind w:left="654" w:hanging="360"/>
      </w:pPr>
      <w:rPr>
        <w:rFonts w:ascii="Courier New" w:hAnsi="Courier New" w:cs="Courier New" w:hint="default"/>
      </w:rPr>
    </w:lvl>
    <w:lvl w:ilvl="2" w:tplc="04150005" w:tentative="1">
      <w:start w:val="1"/>
      <w:numFmt w:val="bullet"/>
      <w:lvlText w:val=""/>
      <w:lvlJc w:val="left"/>
      <w:pPr>
        <w:ind w:left="1374" w:hanging="360"/>
      </w:pPr>
      <w:rPr>
        <w:rFonts w:ascii="Wingdings" w:hAnsi="Wingdings" w:hint="default"/>
      </w:rPr>
    </w:lvl>
    <w:lvl w:ilvl="3" w:tplc="04150001" w:tentative="1">
      <w:start w:val="1"/>
      <w:numFmt w:val="bullet"/>
      <w:lvlText w:val=""/>
      <w:lvlJc w:val="left"/>
      <w:pPr>
        <w:ind w:left="2094" w:hanging="360"/>
      </w:pPr>
      <w:rPr>
        <w:rFonts w:ascii="Symbol" w:hAnsi="Symbol" w:hint="default"/>
      </w:rPr>
    </w:lvl>
    <w:lvl w:ilvl="4" w:tplc="04150003" w:tentative="1">
      <w:start w:val="1"/>
      <w:numFmt w:val="bullet"/>
      <w:lvlText w:val="o"/>
      <w:lvlJc w:val="left"/>
      <w:pPr>
        <w:ind w:left="2814" w:hanging="360"/>
      </w:pPr>
      <w:rPr>
        <w:rFonts w:ascii="Courier New" w:hAnsi="Courier New" w:cs="Courier New" w:hint="default"/>
      </w:rPr>
    </w:lvl>
    <w:lvl w:ilvl="5" w:tplc="04150005" w:tentative="1">
      <w:start w:val="1"/>
      <w:numFmt w:val="bullet"/>
      <w:lvlText w:val=""/>
      <w:lvlJc w:val="left"/>
      <w:pPr>
        <w:ind w:left="3534" w:hanging="360"/>
      </w:pPr>
      <w:rPr>
        <w:rFonts w:ascii="Wingdings" w:hAnsi="Wingdings" w:hint="default"/>
      </w:rPr>
    </w:lvl>
    <w:lvl w:ilvl="6" w:tplc="04150001" w:tentative="1">
      <w:start w:val="1"/>
      <w:numFmt w:val="bullet"/>
      <w:lvlText w:val=""/>
      <w:lvlJc w:val="left"/>
      <w:pPr>
        <w:ind w:left="4254" w:hanging="360"/>
      </w:pPr>
      <w:rPr>
        <w:rFonts w:ascii="Symbol" w:hAnsi="Symbol" w:hint="default"/>
      </w:rPr>
    </w:lvl>
    <w:lvl w:ilvl="7" w:tplc="04150003" w:tentative="1">
      <w:start w:val="1"/>
      <w:numFmt w:val="bullet"/>
      <w:lvlText w:val="o"/>
      <w:lvlJc w:val="left"/>
      <w:pPr>
        <w:ind w:left="4974" w:hanging="360"/>
      </w:pPr>
      <w:rPr>
        <w:rFonts w:ascii="Courier New" w:hAnsi="Courier New" w:cs="Courier New" w:hint="default"/>
      </w:rPr>
    </w:lvl>
    <w:lvl w:ilvl="8" w:tplc="04150005" w:tentative="1">
      <w:start w:val="1"/>
      <w:numFmt w:val="bullet"/>
      <w:lvlText w:val=""/>
      <w:lvlJc w:val="left"/>
      <w:pPr>
        <w:ind w:left="5694" w:hanging="360"/>
      </w:pPr>
      <w:rPr>
        <w:rFonts w:ascii="Wingdings" w:hAnsi="Wingdings" w:hint="default"/>
      </w:rPr>
    </w:lvl>
  </w:abstractNum>
  <w:num w:numId="1" w16cid:durableId="1200438059">
    <w:abstractNumId w:val="1"/>
  </w:num>
  <w:num w:numId="2" w16cid:durableId="2072119656">
    <w:abstractNumId w:val="5"/>
  </w:num>
  <w:num w:numId="3" w16cid:durableId="1014382450">
    <w:abstractNumId w:val="2"/>
  </w:num>
  <w:num w:numId="4" w16cid:durableId="1791319980">
    <w:abstractNumId w:val="4"/>
  </w:num>
  <w:num w:numId="5" w16cid:durableId="1180002103">
    <w:abstractNumId w:val="3"/>
  </w:num>
  <w:num w:numId="6" w16cid:durableId="1312757975">
    <w:abstractNumId w:val="6"/>
  </w:num>
  <w:num w:numId="7" w16cid:durableId="171430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4D"/>
    <w:rsid w:val="00001521"/>
    <w:rsid w:val="00001BC4"/>
    <w:rsid w:val="00002AAD"/>
    <w:rsid w:val="00003002"/>
    <w:rsid w:val="00003DB2"/>
    <w:rsid w:val="00003EA1"/>
    <w:rsid w:val="00004AB3"/>
    <w:rsid w:val="000054C7"/>
    <w:rsid w:val="00005DCF"/>
    <w:rsid w:val="000062F8"/>
    <w:rsid w:val="000068B9"/>
    <w:rsid w:val="000069FD"/>
    <w:rsid w:val="00007ABA"/>
    <w:rsid w:val="00010CCA"/>
    <w:rsid w:val="00011A6A"/>
    <w:rsid w:val="00012461"/>
    <w:rsid w:val="000139FA"/>
    <w:rsid w:val="00014118"/>
    <w:rsid w:val="00014472"/>
    <w:rsid w:val="00014E80"/>
    <w:rsid w:val="00016085"/>
    <w:rsid w:val="000175AD"/>
    <w:rsid w:val="00017994"/>
    <w:rsid w:val="000216DE"/>
    <w:rsid w:val="00025365"/>
    <w:rsid w:val="00025FC3"/>
    <w:rsid w:val="00027AF1"/>
    <w:rsid w:val="00033E6B"/>
    <w:rsid w:val="00035F1E"/>
    <w:rsid w:val="000369A6"/>
    <w:rsid w:val="000456DC"/>
    <w:rsid w:val="00050B9B"/>
    <w:rsid w:val="00050EAA"/>
    <w:rsid w:val="000526A7"/>
    <w:rsid w:val="00056E6E"/>
    <w:rsid w:val="0006122C"/>
    <w:rsid w:val="00061DC6"/>
    <w:rsid w:val="000623C1"/>
    <w:rsid w:val="00064BA8"/>
    <w:rsid w:val="00067CC7"/>
    <w:rsid w:val="000712C0"/>
    <w:rsid w:val="00073573"/>
    <w:rsid w:val="00074988"/>
    <w:rsid w:val="000752DA"/>
    <w:rsid w:val="00075E52"/>
    <w:rsid w:val="000768E3"/>
    <w:rsid w:val="00076AC6"/>
    <w:rsid w:val="00077C9A"/>
    <w:rsid w:val="00080BE5"/>
    <w:rsid w:val="00080CE3"/>
    <w:rsid w:val="00082BBE"/>
    <w:rsid w:val="00084396"/>
    <w:rsid w:val="00087EDB"/>
    <w:rsid w:val="000920EF"/>
    <w:rsid w:val="00092993"/>
    <w:rsid w:val="00092E9C"/>
    <w:rsid w:val="00094703"/>
    <w:rsid w:val="00096183"/>
    <w:rsid w:val="0009791F"/>
    <w:rsid w:val="000A0661"/>
    <w:rsid w:val="000A1E36"/>
    <w:rsid w:val="000A2ACB"/>
    <w:rsid w:val="000A3733"/>
    <w:rsid w:val="000A486E"/>
    <w:rsid w:val="000A54CB"/>
    <w:rsid w:val="000A571D"/>
    <w:rsid w:val="000A65EC"/>
    <w:rsid w:val="000A6C6E"/>
    <w:rsid w:val="000B0262"/>
    <w:rsid w:val="000B7BCE"/>
    <w:rsid w:val="000C1551"/>
    <w:rsid w:val="000C22A5"/>
    <w:rsid w:val="000C2954"/>
    <w:rsid w:val="000C2F1B"/>
    <w:rsid w:val="000C3D8B"/>
    <w:rsid w:val="000C4BBD"/>
    <w:rsid w:val="000C54C1"/>
    <w:rsid w:val="000D1241"/>
    <w:rsid w:val="000D295B"/>
    <w:rsid w:val="000D314D"/>
    <w:rsid w:val="000D3A5F"/>
    <w:rsid w:val="000D43AA"/>
    <w:rsid w:val="000D4C2C"/>
    <w:rsid w:val="000D4D14"/>
    <w:rsid w:val="000D555E"/>
    <w:rsid w:val="000E01ED"/>
    <w:rsid w:val="000E0231"/>
    <w:rsid w:val="000E07ED"/>
    <w:rsid w:val="000E0BBD"/>
    <w:rsid w:val="000E1580"/>
    <w:rsid w:val="000E3170"/>
    <w:rsid w:val="000E3B50"/>
    <w:rsid w:val="000E3E5F"/>
    <w:rsid w:val="000E7407"/>
    <w:rsid w:val="000F0232"/>
    <w:rsid w:val="000F08C1"/>
    <w:rsid w:val="000F0C6B"/>
    <w:rsid w:val="000F29F3"/>
    <w:rsid w:val="000F2B52"/>
    <w:rsid w:val="000F2CAF"/>
    <w:rsid w:val="000F4BED"/>
    <w:rsid w:val="000F601D"/>
    <w:rsid w:val="00103CA2"/>
    <w:rsid w:val="00104A49"/>
    <w:rsid w:val="00105623"/>
    <w:rsid w:val="001061E9"/>
    <w:rsid w:val="00106545"/>
    <w:rsid w:val="00110466"/>
    <w:rsid w:val="001104BF"/>
    <w:rsid w:val="00110B07"/>
    <w:rsid w:val="00111801"/>
    <w:rsid w:val="00112DFF"/>
    <w:rsid w:val="00115C92"/>
    <w:rsid w:val="00116554"/>
    <w:rsid w:val="00117500"/>
    <w:rsid w:val="00117B9E"/>
    <w:rsid w:val="001212FE"/>
    <w:rsid w:val="001226DF"/>
    <w:rsid w:val="00124E42"/>
    <w:rsid w:val="00124EA6"/>
    <w:rsid w:val="001273BF"/>
    <w:rsid w:val="00130B5B"/>
    <w:rsid w:val="00130EFC"/>
    <w:rsid w:val="001324E4"/>
    <w:rsid w:val="0013340E"/>
    <w:rsid w:val="001344D0"/>
    <w:rsid w:val="00135D94"/>
    <w:rsid w:val="00140940"/>
    <w:rsid w:val="0014367A"/>
    <w:rsid w:val="00144784"/>
    <w:rsid w:val="00147150"/>
    <w:rsid w:val="0014739F"/>
    <w:rsid w:val="001477AF"/>
    <w:rsid w:val="00147822"/>
    <w:rsid w:val="00147FE0"/>
    <w:rsid w:val="00150710"/>
    <w:rsid w:val="0015179C"/>
    <w:rsid w:val="00151E11"/>
    <w:rsid w:val="0015301B"/>
    <w:rsid w:val="00154AA2"/>
    <w:rsid w:val="001550AC"/>
    <w:rsid w:val="00156977"/>
    <w:rsid w:val="00156BA4"/>
    <w:rsid w:val="0015720E"/>
    <w:rsid w:val="001579DF"/>
    <w:rsid w:val="001604B0"/>
    <w:rsid w:val="00161F75"/>
    <w:rsid w:val="00162BF1"/>
    <w:rsid w:val="0016310A"/>
    <w:rsid w:val="001647E4"/>
    <w:rsid w:val="00167CF1"/>
    <w:rsid w:val="00175264"/>
    <w:rsid w:val="00176ED4"/>
    <w:rsid w:val="00177415"/>
    <w:rsid w:val="00177D59"/>
    <w:rsid w:val="00180C19"/>
    <w:rsid w:val="00181CBB"/>
    <w:rsid w:val="00182A11"/>
    <w:rsid w:val="00182DD6"/>
    <w:rsid w:val="00184089"/>
    <w:rsid w:val="00184BDF"/>
    <w:rsid w:val="00190F1F"/>
    <w:rsid w:val="00191718"/>
    <w:rsid w:val="0019187B"/>
    <w:rsid w:val="001920E9"/>
    <w:rsid w:val="00192A0D"/>
    <w:rsid w:val="00192A0E"/>
    <w:rsid w:val="0019309B"/>
    <w:rsid w:val="00193FCF"/>
    <w:rsid w:val="00194AAD"/>
    <w:rsid w:val="0019561E"/>
    <w:rsid w:val="001963B1"/>
    <w:rsid w:val="00196D0F"/>
    <w:rsid w:val="00196D17"/>
    <w:rsid w:val="00196EDB"/>
    <w:rsid w:val="00197BC7"/>
    <w:rsid w:val="001A0637"/>
    <w:rsid w:val="001A1349"/>
    <w:rsid w:val="001A2208"/>
    <w:rsid w:val="001A4747"/>
    <w:rsid w:val="001A5DD8"/>
    <w:rsid w:val="001A5E4C"/>
    <w:rsid w:val="001A63E0"/>
    <w:rsid w:val="001B0632"/>
    <w:rsid w:val="001B0B44"/>
    <w:rsid w:val="001B1F83"/>
    <w:rsid w:val="001B3700"/>
    <w:rsid w:val="001B50C5"/>
    <w:rsid w:val="001B5CC1"/>
    <w:rsid w:val="001C0C0C"/>
    <w:rsid w:val="001C7E0D"/>
    <w:rsid w:val="001C7EAC"/>
    <w:rsid w:val="001D09BA"/>
    <w:rsid w:val="001D0CD9"/>
    <w:rsid w:val="001D1166"/>
    <w:rsid w:val="001D442E"/>
    <w:rsid w:val="001D4B26"/>
    <w:rsid w:val="001D4FF7"/>
    <w:rsid w:val="001D569A"/>
    <w:rsid w:val="001D729F"/>
    <w:rsid w:val="001E085A"/>
    <w:rsid w:val="001E1C3F"/>
    <w:rsid w:val="001E43FD"/>
    <w:rsid w:val="001E5F88"/>
    <w:rsid w:val="001E61D2"/>
    <w:rsid w:val="001E6410"/>
    <w:rsid w:val="001E6A2D"/>
    <w:rsid w:val="001F0605"/>
    <w:rsid w:val="001F38AA"/>
    <w:rsid w:val="001F413B"/>
    <w:rsid w:val="001F53EC"/>
    <w:rsid w:val="001F611A"/>
    <w:rsid w:val="001F637C"/>
    <w:rsid w:val="001F6F60"/>
    <w:rsid w:val="001F7A19"/>
    <w:rsid w:val="002010F1"/>
    <w:rsid w:val="00202F35"/>
    <w:rsid w:val="00205AA4"/>
    <w:rsid w:val="0020610D"/>
    <w:rsid w:val="00216662"/>
    <w:rsid w:val="00217D7A"/>
    <w:rsid w:val="00217E90"/>
    <w:rsid w:val="00217FA8"/>
    <w:rsid w:val="00220306"/>
    <w:rsid w:val="00220AF9"/>
    <w:rsid w:val="002210ED"/>
    <w:rsid w:val="00221A43"/>
    <w:rsid w:val="00222F18"/>
    <w:rsid w:val="00223311"/>
    <w:rsid w:val="00224AA7"/>
    <w:rsid w:val="00225227"/>
    <w:rsid w:val="00226871"/>
    <w:rsid w:val="00226873"/>
    <w:rsid w:val="0023089B"/>
    <w:rsid w:val="00232059"/>
    <w:rsid w:val="0023306E"/>
    <w:rsid w:val="002401EC"/>
    <w:rsid w:val="0024270D"/>
    <w:rsid w:val="002429A6"/>
    <w:rsid w:val="00242C78"/>
    <w:rsid w:val="0024362D"/>
    <w:rsid w:val="00243FDD"/>
    <w:rsid w:val="00244BDB"/>
    <w:rsid w:val="00245038"/>
    <w:rsid w:val="0025240C"/>
    <w:rsid w:val="00254FFB"/>
    <w:rsid w:val="002553EB"/>
    <w:rsid w:val="00255FED"/>
    <w:rsid w:val="00256B03"/>
    <w:rsid w:val="0025765C"/>
    <w:rsid w:val="00257FFD"/>
    <w:rsid w:val="002628DC"/>
    <w:rsid w:val="0026378B"/>
    <w:rsid w:val="002663CE"/>
    <w:rsid w:val="0026688A"/>
    <w:rsid w:val="00267254"/>
    <w:rsid w:val="002700CD"/>
    <w:rsid w:val="002703E4"/>
    <w:rsid w:val="002732CF"/>
    <w:rsid w:val="002743AD"/>
    <w:rsid w:val="00274837"/>
    <w:rsid w:val="00275689"/>
    <w:rsid w:val="00275C91"/>
    <w:rsid w:val="0027672B"/>
    <w:rsid w:val="00276B41"/>
    <w:rsid w:val="0028195E"/>
    <w:rsid w:val="0028308A"/>
    <w:rsid w:val="00285F1D"/>
    <w:rsid w:val="00286BFE"/>
    <w:rsid w:val="002874A0"/>
    <w:rsid w:val="002901E9"/>
    <w:rsid w:val="00291EF0"/>
    <w:rsid w:val="0029227C"/>
    <w:rsid w:val="00293E93"/>
    <w:rsid w:val="0029402D"/>
    <w:rsid w:val="00296BC1"/>
    <w:rsid w:val="00297B5C"/>
    <w:rsid w:val="002A1447"/>
    <w:rsid w:val="002A176F"/>
    <w:rsid w:val="002A2297"/>
    <w:rsid w:val="002A4104"/>
    <w:rsid w:val="002B181F"/>
    <w:rsid w:val="002B19B6"/>
    <w:rsid w:val="002B3F49"/>
    <w:rsid w:val="002B47DE"/>
    <w:rsid w:val="002B5801"/>
    <w:rsid w:val="002B5D43"/>
    <w:rsid w:val="002B6BFB"/>
    <w:rsid w:val="002B789B"/>
    <w:rsid w:val="002C15CC"/>
    <w:rsid w:val="002C1841"/>
    <w:rsid w:val="002C1E79"/>
    <w:rsid w:val="002C3A12"/>
    <w:rsid w:val="002C4567"/>
    <w:rsid w:val="002C58BA"/>
    <w:rsid w:val="002D3560"/>
    <w:rsid w:val="002D3F7F"/>
    <w:rsid w:val="002D3FC2"/>
    <w:rsid w:val="002D4F78"/>
    <w:rsid w:val="002D6FA6"/>
    <w:rsid w:val="002E15CA"/>
    <w:rsid w:val="002E17F1"/>
    <w:rsid w:val="002E2361"/>
    <w:rsid w:val="002E40E5"/>
    <w:rsid w:val="002E564B"/>
    <w:rsid w:val="002E6FCF"/>
    <w:rsid w:val="002E716C"/>
    <w:rsid w:val="002F0007"/>
    <w:rsid w:val="002F160C"/>
    <w:rsid w:val="002F2A44"/>
    <w:rsid w:val="002F4C0E"/>
    <w:rsid w:val="002F4D4F"/>
    <w:rsid w:val="002F5CF0"/>
    <w:rsid w:val="002F7517"/>
    <w:rsid w:val="002F7CB4"/>
    <w:rsid w:val="003003DA"/>
    <w:rsid w:val="00303857"/>
    <w:rsid w:val="003078A2"/>
    <w:rsid w:val="00307DDD"/>
    <w:rsid w:val="003101A9"/>
    <w:rsid w:val="003102B7"/>
    <w:rsid w:val="003109EE"/>
    <w:rsid w:val="00310D33"/>
    <w:rsid w:val="00311D2D"/>
    <w:rsid w:val="00314F6B"/>
    <w:rsid w:val="003157A7"/>
    <w:rsid w:val="00317551"/>
    <w:rsid w:val="0032318A"/>
    <w:rsid w:val="00331496"/>
    <w:rsid w:val="00331C8D"/>
    <w:rsid w:val="00331ED6"/>
    <w:rsid w:val="0033438F"/>
    <w:rsid w:val="003343E3"/>
    <w:rsid w:val="00335C26"/>
    <w:rsid w:val="00340467"/>
    <w:rsid w:val="00340A2E"/>
    <w:rsid w:val="00342F37"/>
    <w:rsid w:val="00344728"/>
    <w:rsid w:val="00344F87"/>
    <w:rsid w:val="003463D5"/>
    <w:rsid w:val="00346C70"/>
    <w:rsid w:val="00347963"/>
    <w:rsid w:val="003505A3"/>
    <w:rsid w:val="00351ED7"/>
    <w:rsid w:val="00353532"/>
    <w:rsid w:val="003556BA"/>
    <w:rsid w:val="00356614"/>
    <w:rsid w:val="003628F0"/>
    <w:rsid w:val="0036332B"/>
    <w:rsid w:val="0036432B"/>
    <w:rsid w:val="00364C08"/>
    <w:rsid w:val="00367ABF"/>
    <w:rsid w:val="00370E7B"/>
    <w:rsid w:val="00373275"/>
    <w:rsid w:val="00373E22"/>
    <w:rsid w:val="00375ED3"/>
    <w:rsid w:val="00380C8F"/>
    <w:rsid w:val="00382DEF"/>
    <w:rsid w:val="0038321E"/>
    <w:rsid w:val="00384AEF"/>
    <w:rsid w:val="00384DE7"/>
    <w:rsid w:val="003853EC"/>
    <w:rsid w:val="0038540F"/>
    <w:rsid w:val="0039030E"/>
    <w:rsid w:val="003917AE"/>
    <w:rsid w:val="00391ACF"/>
    <w:rsid w:val="00391E15"/>
    <w:rsid w:val="003A00ED"/>
    <w:rsid w:val="003A0390"/>
    <w:rsid w:val="003A0AE6"/>
    <w:rsid w:val="003A0BFB"/>
    <w:rsid w:val="003A1217"/>
    <w:rsid w:val="003A20F9"/>
    <w:rsid w:val="003A25BD"/>
    <w:rsid w:val="003A2EA6"/>
    <w:rsid w:val="003A4DBC"/>
    <w:rsid w:val="003A4E73"/>
    <w:rsid w:val="003A5C41"/>
    <w:rsid w:val="003A7A9D"/>
    <w:rsid w:val="003B1DA3"/>
    <w:rsid w:val="003B3B17"/>
    <w:rsid w:val="003B5FA0"/>
    <w:rsid w:val="003B7A2D"/>
    <w:rsid w:val="003C1171"/>
    <w:rsid w:val="003C3468"/>
    <w:rsid w:val="003D4622"/>
    <w:rsid w:val="003D6804"/>
    <w:rsid w:val="003D69F7"/>
    <w:rsid w:val="003D7330"/>
    <w:rsid w:val="003D73B7"/>
    <w:rsid w:val="003E06C5"/>
    <w:rsid w:val="003E20F0"/>
    <w:rsid w:val="003E42D5"/>
    <w:rsid w:val="003E43CD"/>
    <w:rsid w:val="003E5012"/>
    <w:rsid w:val="003E5214"/>
    <w:rsid w:val="003E55F0"/>
    <w:rsid w:val="003E5D04"/>
    <w:rsid w:val="003E70BC"/>
    <w:rsid w:val="003F06EC"/>
    <w:rsid w:val="003F4465"/>
    <w:rsid w:val="003F5F20"/>
    <w:rsid w:val="003F62F1"/>
    <w:rsid w:val="003F7C54"/>
    <w:rsid w:val="0040338B"/>
    <w:rsid w:val="00403DE9"/>
    <w:rsid w:val="00403FFA"/>
    <w:rsid w:val="00406664"/>
    <w:rsid w:val="004102A3"/>
    <w:rsid w:val="00412F8C"/>
    <w:rsid w:val="00414C83"/>
    <w:rsid w:val="004153F5"/>
    <w:rsid w:val="00415D40"/>
    <w:rsid w:val="0041654F"/>
    <w:rsid w:val="00422EEB"/>
    <w:rsid w:val="004236DE"/>
    <w:rsid w:val="004267CC"/>
    <w:rsid w:val="00427E8F"/>
    <w:rsid w:val="0043172E"/>
    <w:rsid w:val="00431DAA"/>
    <w:rsid w:val="00432CEE"/>
    <w:rsid w:val="004332AD"/>
    <w:rsid w:val="00435BFF"/>
    <w:rsid w:val="00435DC5"/>
    <w:rsid w:val="004371A4"/>
    <w:rsid w:val="00437BAE"/>
    <w:rsid w:val="00441D1D"/>
    <w:rsid w:val="0044211E"/>
    <w:rsid w:val="00443CA3"/>
    <w:rsid w:val="00445DE2"/>
    <w:rsid w:val="004471A7"/>
    <w:rsid w:val="00447204"/>
    <w:rsid w:val="004478FA"/>
    <w:rsid w:val="00447D6A"/>
    <w:rsid w:val="0045182D"/>
    <w:rsid w:val="0045232D"/>
    <w:rsid w:val="00457A6B"/>
    <w:rsid w:val="0046082F"/>
    <w:rsid w:val="00460AE7"/>
    <w:rsid w:val="004614F8"/>
    <w:rsid w:val="004649A2"/>
    <w:rsid w:val="00466508"/>
    <w:rsid w:val="00467DFB"/>
    <w:rsid w:val="004734E2"/>
    <w:rsid w:val="00473845"/>
    <w:rsid w:val="00473DA6"/>
    <w:rsid w:val="00473E25"/>
    <w:rsid w:val="00474D70"/>
    <w:rsid w:val="004758BE"/>
    <w:rsid w:val="00475B2F"/>
    <w:rsid w:val="004770F8"/>
    <w:rsid w:val="004803F9"/>
    <w:rsid w:val="00481018"/>
    <w:rsid w:val="00490F80"/>
    <w:rsid w:val="004913B9"/>
    <w:rsid w:val="0049177E"/>
    <w:rsid w:val="00493358"/>
    <w:rsid w:val="00493641"/>
    <w:rsid w:val="00494D18"/>
    <w:rsid w:val="004955D7"/>
    <w:rsid w:val="004A269C"/>
    <w:rsid w:val="004A60EF"/>
    <w:rsid w:val="004A687E"/>
    <w:rsid w:val="004A77F7"/>
    <w:rsid w:val="004B0732"/>
    <w:rsid w:val="004B0E0D"/>
    <w:rsid w:val="004B2850"/>
    <w:rsid w:val="004B42D4"/>
    <w:rsid w:val="004B5CF6"/>
    <w:rsid w:val="004B6933"/>
    <w:rsid w:val="004B7DFB"/>
    <w:rsid w:val="004C0373"/>
    <w:rsid w:val="004C18D0"/>
    <w:rsid w:val="004C1CC6"/>
    <w:rsid w:val="004C1E31"/>
    <w:rsid w:val="004C3BC8"/>
    <w:rsid w:val="004C4B34"/>
    <w:rsid w:val="004C54D9"/>
    <w:rsid w:val="004C5546"/>
    <w:rsid w:val="004C6033"/>
    <w:rsid w:val="004C6966"/>
    <w:rsid w:val="004C6DA5"/>
    <w:rsid w:val="004D26D0"/>
    <w:rsid w:val="004D30E6"/>
    <w:rsid w:val="004D362E"/>
    <w:rsid w:val="004D45D6"/>
    <w:rsid w:val="004E0113"/>
    <w:rsid w:val="004E09EA"/>
    <w:rsid w:val="004E1129"/>
    <w:rsid w:val="004E11DC"/>
    <w:rsid w:val="004E120C"/>
    <w:rsid w:val="004E1F0A"/>
    <w:rsid w:val="004E2362"/>
    <w:rsid w:val="004E2A86"/>
    <w:rsid w:val="004E2C1C"/>
    <w:rsid w:val="004E3D25"/>
    <w:rsid w:val="004E5890"/>
    <w:rsid w:val="004E5999"/>
    <w:rsid w:val="004E5DFF"/>
    <w:rsid w:val="004E7916"/>
    <w:rsid w:val="004F151F"/>
    <w:rsid w:val="004F2746"/>
    <w:rsid w:val="004F3088"/>
    <w:rsid w:val="004F47E8"/>
    <w:rsid w:val="004F58EC"/>
    <w:rsid w:val="004F616E"/>
    <w:rsid w:val="004F645A"/>
    <w:rsid w:val="00501AEA"/>
    <w:rsid w:val="00502E10"/>
    <w:rsid w:val="00503239"/>
    <w:rsid w:val="005036FF"/>
    <w:rsid w:val="00505207"/>
    <w:rsid w:val="0050706B"/>
    <w:rsid w:val="00507600"/>
    <w:rsid w:val="00510ED5"/>
    <w:rsid w:val="00512A9E"/>
    <w:rsid w:val="00521167"/>
    <w:rsid w:val="00521487"/>
    <w:rsid w:val="005218F5"/>
    <w:rsid w:val="00522934"/>
    <w:rsid w:val="005229CD"/>
    <w:rsid w:val="00523D2E"/>
    <w:rsid w:val="005273CF"/>
    <w:rsid w:val="00527CDF"/>
    <w:rsid w:val="00527F49"/>
    <w:rsid w:val="00530732"/>
    <w:rsid w:val="00531887"/>
    <w:rsid w:val="005328B1"/>
    <w:rsid w:val="00532CCC"/>
    <w:rsid w:val="00535053"/>
    <w:rsid w:val="005361E4"/>
    <w:rsid w:val="00536618"/>
    <w:rsid w:val="005377CE"/>
    <w:rsid w:val="0054098D"/>
    <w:rsid w:val="00542950"/>
    <w:rsid w:val="005450F1"/>
    <w:rsid w:val="0054669C"/>
    <w:rsid w:val="00546FDD"/>
    <w:rsid w:val="005510ED"/>
    <w:rsid w:val="00551D86"/>
    <w:rsid w:val="00551F76"/>
    <w:rsid w:val="00552339"/>
    <w:rsid w:val="0055241A"/>
    <w:rsid w:val="00552B95"/>
    <w:rsid w:val="00552C1D"/>
    <w:rsid w:val="005544F2"/>
    <w:rsid w:val="00554509"/>
    <w:rsid w:val="00555716"/>
    <w:rsid w:val="00555738"/>
    <w:rsid w:val="00555E29"/>
    <w:rsid w:val="0055796B"/>
    <w:rsid w:val="0056012C"/>
    <w:rsid w:val="0056204F"/>
    <w:rsid w:val="00562575"/>
    <w:rsid w:val="00564939"/>
    <w:rsid w:val="005669BF"/>
    <w:rsid w:val="0056709F"/>
    <w:rsid w:val="00571839"/>
    <w:rsid w:val="00573465"/>
    <w:rsid w:val="005736AD"/>
    <w:rsid w:val="00573FE9"/>
    <w:rsid w:val="00574224"/>
    <w:rsid w:val="00575D6C"/>
    <w:rsid w:val="00575F40"/>
    <w:rsid w:val="005763C5"/>
    <w:rsid w:val="0057657F"/>
    <w:rsid w:val="005766FC"/>
    <w:rsid w:val="00576B2A"/>
    <w:rsid w:val="00576B34"/>
    <w:rsid w:val="005779F3"/>
    <w:rsid w:val="005800C7"/>
    <w:rsid w:val="005819D8"/>
    <w:rsid w:val="00582AF3"/>
    <w:rsid w:val="00583A0A"/>
    <w:rsid w:val="00583DEC"/>
    <w:rsid w:val="00584E64"/>
    <w:rsid w:val="00584FE2"/>
    <w:rsid w:val="00585BF4"/>
    <w:rsid w:val="0058732E"/>
    <w:rsid w:val="00587D1B"/>
    <w:rsid w:val="00591EC2"/>
    <w:rsid w:val="00592773"/>
    <w:rsid w:val="00593EF8"/>
    <w:rsid w:val="005968A2"/>
    <w:rsid w:val="005A1FF0"/>
    <w:rsid w:val="005A2A86"/>
    <w:rsid w:val="005A2B05"/>
    <w:rsid w:val="005A553A"/>
    <w:rsid w:val="005A6448"/>
    <w:rsid w:val="005A6B9D"/>
    <w:rsid w:val="005A6CE6"/>
    <w:rsid w:val="005B0517"/>
    <w:rsid w:val="005B3914"/>
    <w:rsid w:val="005B3F9A"/>
    <w:rsid w:val="005B4498"/>
    <w:rsid w:val="005B5558"/>
    <w:rsid w:val="005B7109"/>
    <w:rsid w:val="005C1216"/>
    <w:rsid w:val="005C23AD"/>
    <w:rsid w:val="005D0B57"/>
    <w:rsid w:val="005D0EFC"/>
    <w:rsid w:val="005D31D3"/>
    <w:rsid w:val="005D4DA2"/>
    <w:rsid w:val="005D5EB9"/>
    <w:rsid w:val="005D65BD"/>
    <w:rsid w:val="005D6A3C"/>
    <w:rsid w:val="005D6B35"/>
    <w:rsid w:val="005D6B87"/>
    <w:rsid w:val="005E18B3"/>
    <w:rsid w:val="005E1C64"/>
    <w:rsid w:val="005E2702"/>
    <w:rsid w:val="005E38FA"/>
    <w:rsid w:val="005E68E7"/>
    <w:rsid w:val="005E6B61"/>
    <w:rsid w:val="005F250B"/>
    <w:rsid w:val="005F79C8"/>
    <w:rsid w:val="00601CDC"/>
    <w:rsid w:val="00602035"/>
    <w:rsid w:val="00602733"/>
    <w:rsid w:val="00605105"/>
    <w:rsid w:val="006056EF"/>
    <w:rsid w:val="00605B08"/>
    <w:rsid w:val="0060601E"/>
    <w:rsid w:val="006064EA"/>
    <w:rsid w:val="00607191"/>
    <w:rsid w:val="006104E7"/>
    <w:rsid w:val="00611551"/>
    <w:rsid w:val="0061163E"/>
    <w:rsid w:val="00611949"/>
    <w:rsid w:val="006124B3"/>
    <w:rsid w:val="00613609"/>
    <w:rsid w:val="0061741F"/>
    <w:rsid w:val="00617F36"/>
    <w:rsid w:val="00621EB4"/>
    <w:rsid w:val="00622B3E"/>
    <w:rsid w:val="006234DC"/>
    <w:rsid w:val="00623631"/>
    <w:rsid w:val="0062632B"/>
    <w:rsid w:val="00626B70"/>
    <w:rsid w:val="00627932"/>
    <w:rsid w:val="00630642"/>
    <w:rsid w:val="006308BC"/>
    <w:rsid w:val="00630FE1"/>
    <w:rsid w:val="00631FAE"/>
    <w:rsid w:val="00632E9A"/>
    <w:rsid w:val="00633931"/>
    <w:rsid w:val="006339AC"/>
    <w:rsid w:val="00634067"/>
    <w:rsid w:val="00634695"/>
    <w:rsid w:val="00635A7D"/>
    <w:rsid w:val="00636D92"/>
    <w:rsid w:val="006370E5"/>
    <w:rsid w:val="0064330E"/>
    <w:rsid w:val="0064397B"/>
    <w:rsid w:val="0064656F"/>
    <w:rsid w:val="00647DC5"/>
    <w:rsid w:val="00651946"/>
    <w:rsid w:val="00652028"/>
    <w:rsid w:val="00653819"/>
    <w:rsid w:val="00654374"/>
    <w:rsid w:val="006561C2"/>
    <w:rsid w:val="00656F73"/>
    <w:rsid w:val="00657484"/>
    <w:rsid w:val="00661DAA"/>
    <w:rsid w:val="00663AF9"/>
    <w:rsid w:val="00664D99"/>
    <w:rsid w:val="006658F2"/>
    <w:rsid w:val="00665AE7"/>
    <w:rsid w:val="006666D3"/>
    <w:rsid w:val="0066697F"/>
    <w:rsid w:val="00671EA2"/>
    <w:rsid w:val="006738DE"/>
    <w:rsid w:val="00673A60"/>
    <w:rsid w:val="006753FC"/>
    <w:rsid w:val="00675744"/>
    <w:rsid w:val="00681F0B"/>
    <w:rsid w:val="006828C0"/>
    <w:rsid w:val="00683882"/>
    <w:rsid w:val="00691AEC"/>
    <w:rsid w:val="00693191"/>
    <w:rsid w:val="00693220"/>
    <w:rsid w:val="00693C4F"/>
    <w:rsid w:val="00693EBF"/>
    <w:rsid w:val="0069501C"/>
    <w:rsid w:val="006973B5"/>
    <w:rsid w:val="006A126D"/>
    <w:rsid w:val="006A15FE"/>
    <w:rsid w:val="006A3122"/>
    <w:rsid w:val="006A31D8"/>
    <w:rsid w:val="006A3371"/>
    <w:rsid w:val="006A39EF"/>
    <w:rsid w:val="006A7ED3"/>
    <w:rsid w:val="006B099E"/>
    <w:rsid w:val="006B3335"/>
    <w:rsid w:val="006B3B7E"/>
    <w:rsid w:val="006B4156"/>
    <w:rsid w:val="006B5015"/>
    <w:rsid w:val="006B54AD"/>
    <w:rsid w:val="006B71CE"/>
    <w:rsid w:val="006B7D17"/>
    <w:rsid w:val="006B7E75"/>
    <w:rsid w:val="006C00C0"/>
    <w:rsid w:val="006C0FF6"/>
    <w:rsid w:val="006C1F78"/>
    <w:rsid w:val="006C2137"/>
    <w:rsid w:val="006C426A"/>
    <w:rsid w:val="006C494F"/>
    <w:rsid w:val="006C4A9B"/>
    <w:rsid w:val="006C5B0D"/>
    <w:rsid w:val="006C7BE8"/>
    <w:rsid w:val="006D2766"/>
    <w:rsid w:val="006D4548"/>
    <w:rsid w:val="006D5FF4"/>
    <w:rsid w:val="006D724C"/>
    <w:rsid w:val="006D77D8"/>
    <w:rsid w:val="006E0C2F"/>
    <w:rsid w:val="006E218B"/>
    <w:rsid w:val="006E321E"/>
    <w:rsid w:val="006E4449"/>
    <w:rsid w:val="006E556B"/>
    <w:rsid w:val="006E66EB"/>
    <w:rsid w:val="006E7983"/>
    <w:rsid w:val="006E7C7B"/>
    <w:rsid w:val="006F05AC"/>
    <w:rsid w:val="006F217B"/>
    <w:rsid w:val="006F3B4E"/>
    <w:rsid w:val="006F442A"/>
    <w:rsid w:val="006F4C92"/>
    <w:rsid w:val="006F63BC"/>
    <w:rsid w:val="007008B9"/>
    <w:rsid w:val="00701156"/>
    <w:rsid w:val="00702963"/>
    <w:rsid w:val="007033F0"/>
    <w:rsid w:val="00703E68"/>
    <w:rsid w:val="00704920"/>
    <w:rsid w:val="00704E96"/>
    <w:rsid w:val="00706C6C"/>
    <w:rsid w:val="00707F88"/>
    <w:rsid w:val="00710C3E"/>
    <w:rsid w:val="00711FA5"/>
    <w:rsid w:val="007126BA"/>
    <w:rsid w:val="00712F53"/>
    <w:rsid w:val="00713BEC"/>
    <w:rsid w:val="00715D54"/>
    <w:rsid w:val="00715EE9"/>
    <w:rsid w:val="00720878"/>
    <w:rsid w:val="00720988"/>
    <w:rsid w:val="00723532"/>
    <w:rsid w:val="00723849"/>
    <w:rsid w:val="00723AF6"/>
    <w:rsid w:val="00726793"/>
    <w:rsid w:val="00726864"/>
    <w:rsid w:val="007303E9"/>
    <w:rsid w:val="007314EA"/>
    <w:rsid w:val="00732D07"/>
    <w:rsid w:val="00735AF8"/>
    <w:rsid w:val="00736FCF"/>
    <w:rsid w:val="0074428C"/>
    <w:rsid w:val="00745684"/>
    <w:rsid w:val="0074589C"/>
    <w:rsid w:val="00745925"/>
    <w:rsid w:val="00745A4B"/>
    <w:rsid w:val="00750249"/>
    <w:rsid w:val="00750F2E"/>
    <w:rsid w:val="007511E4"/>
    <w:rsid w:val="00751624"/>
    <w:rsid w:val="00752EC8"/>
    <w:rsid w:val="007539B9"/>
    <w:rsid w:val="007542D3"/>
    <w:rsid w:val="00754D3B"/>
    <w:rsid w:val="007563C9"/>
    <w:rsid w:val="00757C55"/>
    <w:rsid w:val="0076370B"/>
    <w:rsid w:val="00765906"/>
    <w:rsid w:val="007661B0"/>
    <w:rsid w:val="0076741B"/>
    <w:rsid w:val="00767621"/>
    <w:rsid w:val="0077008D"/>
    <w:rsid w:val="00770CFB"/>
    <w:rsid w:val="00770F6B"/>
    <w:rsid w:val="007714FE"/>
    <w:rsid w:val="00771858"/>
    <w:rsid w:val="0077551B"/>
    <w:rsid w:val="00775D6A"/>
    <w:rsid w:val="007770FD"/>
    <w:rsid w:val="007803EF"/>
    <w:rsid w:val="00780DBD"/>
    <w:rsid w:val="007829AF"/>
    <w:rsid w:val="00783A19"/>
    <w:rsid w:val="007860AC"/>
    <w:rsid w:val="007862C9"/>
    <w:rsid w:val="00786CB3"/>
    <w:rsid w:val="00787EBA"/>
    <w:rsid w:val="00793A78"/>
    <w:rsid w:val="00795271"/>
    <w:rsid w:val="007961DC"/>
    <w:rsid w:val="00796850"/>
    <w:rsid w:val="007A1868"/>
    <w:rsid w:val="007A2278"/>
    <w:rsid w:val="007A2593"/>
    <w:rsid w:val="007A29D9"/>
    <w:rsid w:val="007A549A"/>
    <w:rsid w:val="007A6702"/>
    <w:rsid w:val="007A7C7A"/>
    <w:rsid w:val="007B0415"/>
    <w:rsid w:val="007B1E63"/>
    <w:rsid w:val="007B2C3E"/>
    <w:rsid w:val="007B2FF9"/>
    <w:rsid w:val="007B3FC4"/>
    <w:rsid w:val="007B465E"/>
    <w:rsid w:val="007B5821"/>
    <w:rsid w:val="007B5864"/>
    <w:rsid w:val="007B5F94"/>
    <w:rsid w:val="007C0AFA"/>
    <w:rsid w:val="007C0CC4"/>
    <w:rsid w:val="007C2BD7"/>
    <w:rsid w:val="007C3636"/>
    <w:rsid w:val="007C4FE3"/>
    <w:rsid w:val="007D1CA0"/>
    <w:rsid w:val="007D28AD"/>
    <w:rsid w:val="007D38C0"/>
    <w:rsid w:val="007D3C6E"/>
    <w:rsid w:val="007D52B6"/>
    <w:rsid w:val="007D5586"/>
    <w:rsid w:val="007D5868"/>
    <w:rsid w:val="007D691A"/>
    <w:rsid w:val="007E0682"/>
    <w:rsid w:val="007E1446"/>
    <w:rsid w:val="007E14CB"/>
    <w:rsid w:val="007E2050"/>
    <w:rsid w:val="007E3D94"/>
    <w:rsid w:val="007E4291"/>
    <w:rsid w:val="007E5641"/>
    <w:rsid w:val="007F2327"/>
    <w:rsid w:val="007F4E5C"/>
    <w:rsid w:val="007F571C"/>
    <w:rsid w:val="007F585D"/>
    <w:rsid w:val="007F5DA8"/>
    <w:rsid w:val="007F74D5"/>
    <w:rsid w:val="007F7E15"/>
    <w:rsid w:val="00800FD9"/>
    <w:rsid w:val="00801546"/>
    <w:rsid w:val="00801A2D"/>
    <w:rsid w:val="00802285"/>
    <w:rsid w:val="0080317F"/>
    <w:rsid w:val="00803B73"/>
    <w:rsid w:val="00803C0D"/>
    <w:rsid w:val="00804D50"/>
    <w:rsid w:val="008062B3"/>
    <w:rsid w:val="00806541"/>
    <w:rsid w:val="00807826"/>
    <w:rsid w:val="00807846"/>
    <w:rsid w:val="00807B28"/>
    <w:rsid w:val="00810879"/>
    <w:rsid w:val="008118CD"/>
    <w:rsid w:val="00813817"/>
    <w:rsid w:val="00816AED"/>
    <w:rsid w:val="00820440"/>
    <w:rsid w:val="00824104"/>
    <w:rsid w:val="008242CF"/>
    <w:rsid w:val="00826030"/>
    <w:rsid w:val="008262D7"/>
    <w:rsid w:val="00827182"/>
    <w:rsid w:val="008276A1"/>
    <w:rsid w:val="00830AB4"/>
    <w:rsid w:val="00830ECE"/>
    <w:rsid w:val="00831DA2"/>
    <w:rsid w:val="0083252C"/>
    <w:rsid w:val="00833193"/>
    <w:rsid w:val="008332E9"/>
    <w:rsid w:val="00835AB4"/>
    <w:rsid w:val="00846891"/>
    <w:rsid w:val="008503D8"/>
    <w:rsid w:val="00850931"/>
    <w:rsid w:val="00851179"/>
    <w:rsid w:val="00853790"/>
    <w:rsid w:val="0085555A"/>
    <w:rsid w:val="008557F4"/>
    <w:rsid w:val="00860A34"/>
    <w:rsid w:val="00860FD1"/>
    <w:rsid w:val="008631FA"/>
    <w:rsid w:val="00863B5E"/>
    <w:rsid w:val="0086413F"/>
    <w:rsid w:val="00864851"/>
    <w:rsid w:val="008670C1"/>
    <w:rsid w:val="00867B42"/>
    <w:rsid w:val="00867C79"/>
    <w:rsid w:val="00871133"/>
    <w:rsid w:val="0087234C"/>
    <w:rsid w:val="008729D0"/>
    <w:rsid w:val="008735A7"/>
    <w:rsid w:val="008753D4"/>
    <w:rsid w:val="00877F26"/>
    <w:rsid w:val="0088065F"/>
    <w:rsid w:val="008811F3"/>
    <w:rsid w:val="00883CB0"/>
    <w:rsid w:val="00891BC6"/>
    <w:rsid w:val="00891D48"/>
    <w:rsid w:val="00893141"/>
    <w:rsid w:val="008937C7"/>
    <w:rsid w:val="00893A31"/>
    <w:rsid w:val="00894306"/>
    <w:rsid w:val="00895833"/>
    <w:rsid w:val="00895C61"/>
    <w:rsid w:val="0089689F"/>
    <w:rsid w:val="00896D5E"/>
    <w:rsid w:val="0089767B"/>
    <w:rsid w:val="00897793"/>
    <w:rsid w:val="008A05CF"/>
    <w:rsid w:val="008A0925"/>
    <w:rsid w:val="008A1388"/>
    <w:rsid w:val="008A1927"/>
    <w:rsid w:val="008A1BE5"/>
    <w:rsid w:val="008A246A"/>
    <w:rsid w:val="008A2BEA"/>
    <w:rsid w:val="008A3476"/>
    <w:rsid w:val="008A6ED0"/>
    <w:rsid w:val="008B0D01"/>
    <w:rsid w:val="008B0E5A"/>
    <w:rsid w:val="008B1304"/>
    <w:rsid w:val="008B2FB0"/>
    <w:rsid w:val="008B3F2D"/>
    <w:rsid w:val="008B48B3"/>
    <w:rsid w:val="008B5A1F"/>
    <w:rsid w:val="008B5CF4"/>
    <w:rsid w:val="008B5E0B"/>
    <w:rsid w:val="008C0433"/>
    <w:rsid w:val="008C1B92"/>
    <w:rsid w:val="008C4080"/>
    <w:rsid w:val="008C6A8A"/>
    <w:rsid w:val="008C6D3A"/>
    <w:rsid w:val="008C76EF"/>
    <w:rsid w:val="008D01BC"/>
    <w:rsid w:val="008D04D4"/>
    <w:rsid w:val="008D0C00"/>
    <w:rsid w:val="008D115F"/>
    <w:rsid w:val="008D29E6"/>
    <w:rsid w:val="008D476B"/>
    <w:rsid w:val="008D582B"/>
    <w:rsid w:val="008D5DD3"/>
    <w:rsid w:val="008D63E6"/>
    <w:rsid w:val="008D6954"/>
    <w:rsid w:val="008D7F13"/>
    <w:rsid w:val="008E00E8"/>
    <w:rsid w:val="008E2011"/>
    <w:rsid w:val="008E2BD0"/>
    <w:rsid w:val="008E6C2D"/>
    <w:rsid w:val="008E7E4E"/>
    <w:rsid w:val="008F1EF2"/>
    <w:rsid w:val="008F2C73"/>
    <w:rsid w:val="008F3368"/>
    <w:rsid w:val="008F39B5"/>
    <w:rsid w:val="008F4CE7"/>
    <w:rsid w:val="008F5077"/>
    <w:rsid w:val="008F67CB"/>
    <w:rsid w:val="008F7728"/>
    <w:rsid w:val="009018E9"/>
    <w:rsid w:val="00903618"/>
    <w:rsid w:val="00904709"/>
    <w:rsid w:val="00905E88"/>
    <w:rsid w:val="0090641E"/>
    <w:rsid w:val="00910806"/>
    <w:rsid w:val="009115F7"/>
    <w:rsid w:val="009121A9"/>
    <w:rsid w:val="00913523"/>
    <w:rsid w:val="00913F74"/>
    <w:rsid w:val="0091629F"/>
    <w:rsid w:val="00916F6A"/>
    <w:rsid w:val="00920DAF"/>
    <w:rsid w:val="009212D6"/>
    <w:rsid w:val="00922A53"/>
    <w:rsid w:val="0092377F"/>
    <w:rsid w:val="00923B10"/>
    <w:rsid w:val="00924B7F"/>
    <w:rsid w:val="00925096"/>
    <w:rsid w:val="009260C0"/>
    <w:rsid w:val="00927C97"/>
    <w:rsid w:val="00927ECC"/>
    <w:rsid w:val="009314BC"/>
    <w:rsid w:val="00932010"/>
    <w:rsid w:val="00932773"/>
    <w:rsid w:val="00935BD1"/>
    <w:rsid w:val="009411D9"/>
    <w:rsid w:val="009415A6"/>
    <w:rsid w:val="0094540A"/>
    <w:rsid w:val="00950539"/>
    <w:rsid w:val="00954066"/>
    <w:rsid w:val="00955611"/>
    <w:rsid w:val="009565FE"/>
    <w:rsid w:val="0096077C"/>
    <w:rsid w:val="009617BF"/>
    <w:rsid w:val="00962BD1"/>
    <w:rsid w:val="00966D7D"/>
    <w:rsid w:val="0096753E"/>
    <w:rsid w:val="00967661"/>
    <w:rsid w:val="00967FDE"/>
    <w:rsid w:val="009713BB"/>
    <w:rsid w:val="0097148D"/>
    <w:rsid w:val="00971B03"/>
    <w:rsid w:val="00971C6E"/>
    <w:rsid w:val="00971FD5"/>
    <w:rsid w:val="009729B5"/>
    <w:rsid w:val="009729E6"/>
    <w:rsid w:val="0097702A"/>
    <w:rsid w:val="009818A4"/>
    <w:rsid w:val="009847D4"/>
    <w:rsid w:val="00984CAD"/>
    <w:rsid w:val="00987B55"/>
    <w:rsid w:val="0099204C"/>
    <w:rsid w:val="00994A78"/>
    <w:rsid w:val="00994BF6"/>
    <w:rsid w:val="00995AD3"/>
    <w:rsid w:val="00995BA3"/>
    <w:rsid w:val="00996674"/>
    <w:rsid w:val="00996D5C"/>
    <w:rsid w:val="009A19CE"/>
    <w:rsid w:val="009A33C5"/>
    <w:rsid w:val="009A4330"/>
    <w:rsid w:val="009A63B6"/>
    <w:rsid w:val="009A6AF8"/>
    <w:rsid w:val="009B4034"/>
    <w:rsid w:val="009B412A"/>
    <w:rsid w:val="009C0943"/>
    <w:rsid w:val="009C11E3"/>
    <w:rsid w:val="009C3018"/>
    <w:rsid w:val="009C51F3"/>
    <w:rsid w:val="009C572F"/>
    <w:rsid w:val="009C5C65"/>
    <w:rsid w:val="009C5F71"/>
    <w:rsid w:val="009C63B3"/>
    <w:rsid w:val="009C781A"/>
    <w:rsid w:val="009C7F65"/>
    <w:rsid w:val="009D0541"/>
    <w:rsid w:val="009D056D"/>
    <w:rsid w:val="009D0C4C"/>
    <w:rsid w:val="009D2141"/>
    <w:rsid w:val="009D34D4"/>
    <w:rsid w:val="009D5026"/>
    <w:rsid w:val="009D5B01"/>
    <w:rsid w:val="009D677A"/>
    <w:rsid w:val="009D7283"/>
    <w:rsid w:val="009E080A"/>
    <w:rsid w:val="009E1391"/>
    <w:rsid w:val="009E1424"/>
    <w:rsid w:val="009E1EA4"/>
    <w:rsid w:val="009E45DA"/>
    <w:rsid w:val="009E66DA"/>
    <w:rsid w:val="009E7EE3"/>
    <w:rsid w:val="009F045D"/>
    <w:rsid w:val="009F06E5"/>
    <w:rsid w:val="009F1C0C"/>
    <w:rsid w:val="009F288E"/>
    <w:rsid w:val="009F5506"/>
    <w:rsid w:val="009F55C5"/>
    <w:rsid w:val="009F5E13"/>
    <w:rsid w:val="00A01958"/>
    <w:rsid w:val="00A03C49"/>
    <w:rsid w:val="00A045E9"/>
    <w:rsid w:val="00A100BD"/>
    <w:rsid w:val="00A10531"/>
    <w:rsid w:val="00A137A4"/>
    <w:rsid w:val="00A1455E"/>
    <w:rsid w:val="00A15298"/>
    <w:rsid w:val="00A17595"/>
    <w:rsid w:val="00A2131A"/>
    <w:rsid w:val="00A2151F"/>
    <w:rsid w:val="00A21533"/>
    <w:rsid w:val="00A21D7F"/>
    <w:rsid w:val="00A229AB"/>
    <w:rsid w:val="00A234FE"/>
    <w:rsid w:val="00A23B39"/>
    <w:rsid w:val="00A24451"/>
    <w:rsid w:val="00A27026"/>
    <w:rsid w:val="00A27611"/>
    <w:rsid w:val="00A31C15"/>
    <w:rsid w:val="00A31DB2"/>
    <w:rsid w:val="00A327C2"/>
    <w:rsid w:val="00A32A70"/>
    <w:rsid w:val="00A34210"/>
    <w:rsid w:val="00A343EB"/>
    <w:rsid w:val="00A34B06"/>
    <w:rsid w:val="00A352D5"/>
    <w:rsid w:val="00A3559C"/>
    <w:rsid w:val="00A4109D"/>
    <w:rsid w:val="00A4149D"/>
    <w:rsid w:val="00A43CED"/>
    <w:rsid w:val="00A44F2F"/>
    <w:rsid w:val="00A45321"/>
    <w:rsid w:val="00A4590B"/>
    <w:rsid w:val="00A464FC"/>
    <w:rsid w:val="00A46F5D"/>
    <w:rsid w:val="00A47748"/>
    <w:rsid w:val="00A50102"/>
    <w:rsid w:val="00A50D6C"/>
    <w:rsid w:val="00A51C2B"/>
    <w:rsid w:val="00A51C6F"/>
    <w:rsid w:val="00A53B0D"/>
    <w:rsid w:val="00A548B8"/>
    <w:rsid w:val="00A5529C"/>
    <w:rsid w:val="00A56510"/>
    <w:rsid w:val="00A57162"/>
    <w:rsid w:val="00A572EB"/>
    <w:rsid w:val="00A576D8"/>
    <w:rsid w:val="00A57E25"/>
    <w:rsid w:val="00A600C4"/>
    <w:rsid w:val="00A600F9"/>
    <w:rsid w:val="00A60A44"/>
    <w:rsid w:val="00A61140"/>
    <w:rsid w:val="00A63355"/>
    <w:rsid w:val="00A634A8"/>
    <w:rsid w:val="00A642A6"/>
    <w:rsid w:val="00A64325"/>
    <w:rsid w:val="00A64BDA"/>
    <w:rsid w:val="00A654AB"/>
    <w:rsid w:val="00A654B8"/>
    <w:rsid w:val="00A66308"/>
    <w:rsid w:val="00A72633"/>
    <w:rsid w:val="00A72FD5"/>
    <w:rsid w:val="00A752EE"/>
    <w:rsid w:val="00A76519"/>
    <w:rsid w:val="00A76F89"/>
    <w:rsid w:val="00A77DD8"/>
    <w:rsid w:val="00A8248F"/>
    <w:rsid w:val="00A8266A"/>
    <w:rsid w:val="00A83C86"/>
    <w:rsid w:val="00A84E4D"/>
    <w:rsid w:val="00A866C5"/>
    <w:rsid w:val="00A86ABC"/>
    <w:rsid w:val="00A90663"/>
    <w:rsid w:val="00A91538"/>
    <w:rsid w:val="00A92637"/>
    <w:rsid w:val="00A931A7"/>
    <w:rsid w:val="00A933E9"/>
    <w:rsid w:val="00A94F1B"/>
    <w:rsid w:val="00A9513B"/>
    <w:rsid w:val="00A954D0"/>
    <w:rsid w:val="00A955E2"/>
    <w:rsid w:val="00A95749"/>
    <w:rsid w:val="00A9577F"/>
    <w:rsid w:val="00AA06B3"/>
    <w:rsid w:val="00AA1C96"/>
    <w:rsid w:val="00AA4CC6"/>
    <w:rsid w:val="00AB11E7"/>
    <w:rsid w:val="00AB1719"/>
    <w:rsid w:val="00AB3499"/>
    <w:rsid w:val="00AB47B0"/>
    <w:rsid w:val="00AB48E8"/>
    <w:rsid w:val="00AB5814"/>
    <w:rsid w:val="00AB6AAB"/>
    <w:rsid w:val="00AC47BD"/>
    <w:rsid w:val="00AC4A51"/>
    <w:rsid w:val="00AD19AA"/>
    <w:rsid w:val="00AD1B0A"/>
    <w:rsid w:val="00AD1F01"/>
    <w:rsid w:val="00AD43EF"/>
    <w:rsid w:val="00AD613F"/>
    <w:rsid w:val="00AD6198"/>
    <w:rsid w:val="00AD634F"/>
    <w:rsid w:val="00AD661C"/>
    <w:rsid w:val="00AE0412"/>
    <w:rsid w:val="00AE0617"/>
    <w:rsid w:val="00AE10AE"/>
    <w:rsid w:val="00AE14D1"/>
    <w:rsid w:val="00AE1CD8"/>
    <w:rsid w:val="00AE338B"/>
    <w:rsid w:val="00AE3E1F"/>
    <w:rsid w:val="00AE43AA"/>
    <w:rsid w:val="00AE4D2F"/>
    <w:rsid w:val="00AE69E5"/>
    <w:rsid w:val="00AF01EF"/>
    <w:rsid w:val="00AF02D3"/>
    <w:rsid w:val="00AF1CB5"/>
    <w:rsid w:val="00AF3A49"/>
    <w:rsid w:val="00AF520E"/>
    <w:rsid w:val="00AF6508"/>
    <w:rsid w:val="00AF6AE7"/>
    <w:rsid w:val="00AF742F"/>
    <w:rsid w:val="00B03A1A"/>
    <w:rsid w:val="00B03F54"/>
    <w:rsid w:val="00B04E20"/>
    <w:rsid w:val="00B0561F"/>
    <w:rsid w:val="00B070A0"/>
    <w:rsid w:val="00B10B23"/>
    <w:rsid w:val="00B10E58"/>
    <w:rsid w:val="00B115CB"/>
    <w:rsid w:val="00B1620C"/>
    <w:rsid w:val="00B16233"/>
    <w:rsid w:val="00B21C37"/>
    <w:rsid w:val="00B21CC3"/>
    <w:rsid w:val="00B2321B"/>
    <w:rsid w:val="00B23328"/>
    <w:rsid w:val="00B237E1"/>
    <w:rsid w:val="00B27083"/>
    <w:rsid w:val="00B2763C"/>
    <w:rsid w:val="00B3581C"/>
    <w:rsid w:val="00B35C0F"/>
    <w:rsid w:val="00B42E9A"/>
    <w:rsid w:val="00B44B00"/>
    <w:rsid w:val="00B4642A"/>
    <w:rsid w:val="00B473BD"/>
    <w:rsid w:val="00B51678"/>
    <w:rsid w:val="00B53FDB"/>
    <w:rsid w:val="00B55716"/>
    <w:rsid w:val="00B573CC"/>
    <w:rsid w:val="00B61334"/>
    <w:rsid w:val="00B62AC8"/>
    <w:rsid w:val="00B6427F"/>
    <w:rsid w:val="00B6658C"/>
    <w:rsid w:val="00B676BF"/>
    <w:rsid w:val="00B678C6"/>
    <w:rsid w:val="00B702DC"/>
    <w:rsid w:val="00B7114D"/>
    <w:rsid w:val="00B73B44"/>
    <w:rsid w:val="00B7406D"/>
    <w:rsid w:val="00B74E79"/>
    <w:rsid w:val="00B75A0F"/>
    <w:rsid w:val="00B75AD0"/>
    <w:rsid w:val="00B7622D"/>
    <w:rsid w:val="00B77EC2"/>
    <w:rsid w:val="00B80546"/>
    <w:rsid w:val="00B80F0B"/>
    <w:rsid w:val="00B81184"/>
    <w:rsid w:val="00B82DAD"/>
    <w:rsid w:val="00B83ED2"/>
    <w:rsid w:val="00B843C7"/>
    <w:rsid w:val="00B85146"/>
    <w:rsid w:val="00B85ACD"/>
    <w:rsid w:val="00B903F4"/>
    <w:rsid w:val="00B93441"/>
    <w:rsid w:val="00B955EA"/>
    <w:rsid w:val="00B96BC5"/>
    <w:rsid w:val="00B97AB0"/>
    <w:rsid w:val="00BA06DC"/>
    <w:rsid w:val="00BA0DCF"/>
    <w:rsid w:val="00BA5312"/>
    <w:rsid w:val="00BA5BD2"/>
    <w:rsid w:val="00BA61F0"/>
    <w:rsid w:val="00BB0043"/>
    <w:rsid w:val="00BB0745"/>
    <w:rsid w:val="00BB1B4F"/>
    <w:rsid w:val="00BB29DF"/>
    <w:rsid w:val="00BB368A"/>
    <w:rsid w:val="00BB454A"/>
    <w:rsid w:val="00BB4FB2"/>
    <w:rsid w:val="00BB74F9"/>
    <w:rsid w:val="00BC05FA"/>
    <w:rsid w:val="00BC244B"/>
    <w:rsid w:val="00BC26D7"/>
    <w:rsid w:val="00BC276C"/>
    <w:rsid w:val="00BC37F6"/>
    <w:rsid w:val="00BC3BFB"/>
    <w:rsid w:val="00BC63E3"/>
    <w:rsid w:val="00BC7E65"/>
    <w:rsid w:val="00BD0C25"/>
    <w:rsid w:val="00BD2605"/>
    <w:rsid w:val="00BD2D0C"/>
    <w:rsid w:val="00BD5ABC"/>
    <w:rsid w:val="00BE14FE"/>
    <w:rsid w:val="00BE1D81"/>
    <w:rsid w:val="00BE3ECE"/>
    <w:rsid w:val="00BE59D0"/>
    <w:rsid w:val="00BE7507"/>
    <w:rsid w:val="00BF09B8"/>
    <w:rsid w:val="00BF1385"/>
    <w:rsid w:val="00BF15D6"/>
    <w:rsid w:val="00BF1B57"/>
    <w:rsid w:val="00BF2B06"/>
    <w:rsid w:val="00BF2D2B"/>
    <w:rsid w:val="00BF37A3"/>
    <w:rsid w:val="00BF59A9"/>
    <w:rsid w:val="00C01DB0"/>
    <w:rsid w:val="00C023B0"/>
    <w:rsid w:val="00C044F1"/>
    <w:rsid w:val="00C04783"/>
    <w:rsid w:val="00C05327"/>
    <w:rsid w:val="00C06A2B"/>
    <w:rsid w:val="00C074E0"/>
    <w:rsid w:val="00C07B10"/>
    <w:rsid w:val="00C10C6D"/>
    <w:rsid w:val="00C11CF3"/>
    <w:rsid w:val="00C1207C"/>
    <w:rsid w:val="00C13A1F"/>
    <w:rsid w:val="00C13EEB"/>
    <w:rsid w:val="00C1570F"/>
    <w:rsid w:val="00C20160"/>
    <w:rsid w:val="00C2026B"/>
    <w:rsid w:val="00C22953"/>
    <w:rsid w:val="00C22E22"/>
    <w:rsid w:val="00C22F1F"/>
    <w:rsid w:val="00C24C80"/>
    <w:rsid w:val="00C251A3"/>
    <w:rsid w:val="00C26E6A"/>
    <w:rsid w:val="00C27C8E"/>
    <w:rsid w:val="00C314A4"/>
    <w:rsid w:val="00C32438"/>
    <w:rsid w:val="00C32A81"/>
    <w:rsid w:val="00C332D0"/>
    <w:rsid w:val="00C35071"/>
    <w:rsid w:val="00C367C6"/>
    <w:rsid w:val="00C378ED"/>
    <w:rsid w:val="00C41035"/>
    <w:rsid w:val="00C47F8A"/>
    <w:rsid w:val="00C547AD"/>
    <w:rsid w:val="00C612F1"/>
    <w:rsid w:val="00C627D5"/>
    <w:rsid w:val="00C64BCE"/>
    <w:rsid w:val="00C64FD6"/>
    <w:rsid w:val="00C66181"/>
    <w:rsid w:val="00C67ED0"/>
    <w:rsid w:val="00C71EC1"/>
    <w:rsid w:val="00C749C3"/>
    <w:rsid w:val="00C75B23"/>
    <w:rsid w:val="00C808EC"/>
    <w:rsid w:val="00C84115"/>
    <w:rsid w:val="00C84A8E"/>
    <w:rsid w:val="00C84D62"/>
    <w:rsid w:val="00C856C3"/>
    <w:rsid w:val="00C8596F"/>
    <w:rsid w:val="00C85AC0"/>
    <w:rsid w:val="00C877AF"/>
    <w:rsid w:val="00C8792A"/>
    <w:rsid w:val="00C915BF"/>
    <w:rsid w:val="00C92598"/>
    <w:rsid w:val="00C934B7"/>
    <w:rsid w:val="00C94BD2"/>
    <w:rsid w:val="00C9570B"/>
    <w:rsid w:val="00C95C72"/>
    <w:rsid w:val="00CA1CFA"/>
    <w:rsid w:val="00CA2506"/>
    <w:rsid w:val="00CA2881"/>
    <w:rsid w:val="00CA5D1C"/>
    <w:rsid w:val="00CA7532"/>
    <w:rsid w:val="00CB0155"/>
    <w:rsid w:val="00CB0477"/>
    <w:rsid w:val="00CB7C7A"/>
    <w:rsid w:val="00CC2AF8"/>
    <w:rsid w:val="00CC3E10"/>
    <w:rsid w:val="00CC5A79"/>
    <w:rsid w:val="00CC6D84"/>
    <w:rsid w:val="00CC75CE"/>
    <w:rsid w:val="00CD1491"/>
    <w:rsid w:val="00CD44E3"/>
    <w:rsid w:val="00CD4C13"/>
    <w:rsid w:val="00CD5311"/>
    <w:rsid w:val="00CD576C"/>
    <w:rsid w:val="00CD7796"/>
    <w:rsid w:val="00CE0644"/>
    <w:rsid w:val="00CE0F6F"/>
    <w:rsid w:val="00CE111D"/>
    <w:rsid w:val="00CE3731"/>
    <w:rsid w:val="00CF06DC"/>
    <w:rsid w:val="00CF06E8"/>
    <w:rsid w:val="00CF31E4"/>
    <w:rsid w:val="00CF450E"/>
    <w:rsid w:val="00D00B43"/>
    <w:rsid w:val="00D00D43"/>
    <w:rsid w:val="00D032A2"/>
    <w:rsid w:val="00D04D9F"/>
    <w:rsid w:val="00D05365"/>
    <w:rsid w:val="00D059A8"/>
    <w:rsid w:val="00D10757"/>
    <w:rsid w:val="00D11C72"/>
    <w:rsid w:val="00D12813"/>
    <w:rsid w:val="00D12C2B"/>
    <w:rsid w:val="00D136C9"/>
    <w:rsid w:val="00D14FB1"/>
    <w:rsid w:val="00D15C8F"/>
    <w:rsid w:val="00D16441"/>
    <w:rsid w:val="00D169CC"/>
    <w:rsid w:val="00D2186E"/>
    <w:rsid w:val="00D22092"/>
    <w:rsid w:val="00D22659"/>
    <w:rsid w:val="00D23553"/>
    <w:rsid w:val="00D23A6A"/>
    <w:rsid w:val="00D250E0"/>
    <w:rsid w:val="00D2559D"/>
    <w:rsid w:val="00D25855"/>
    <w:rsid w:val="00D2607B"/>
    <w:rsid w:val="00D26084"/>
    <w:rsid w:val="00D3108C"/>
    <w:rsid w:val="00D32604"/>
    <w:rsid w:val="00D32D33"/>
    <w:rsid w:val="00D3358A"/>
    <w:rsid w:val="00D338D7"/>
    <w:rsid w:val="00D33B2C"/>
    <w:rsid w:val="00D36AED"/>
    <w:rsid w:val="00D37052"/>
    <w:rsid w:val="00D37D4B"/>
    <w:rsid w:val="00D43871"/>
    <w:rsid w:val="00D441DE"/>
    <w:rsid w:val="00D4447E"/>
    <w:rsid w:val="00D44CAA"/>
    <w:rsid w:val="00D46A94"/>
    <w:rsid w:val="00D511F9"/>
    <w:rsid w:val="00D52461"/>
    <w:rsid w:val="00D54248"/>
    <w:rsid w:val="00D5434D"/>
    <w:rsid w:val="00D5467B"/>
    <w:rsid w:val="00D552EC"/>
    <w:rsid w:val="00D65BB1"/>
    <w:rsid w:val="00D6676A"/>
    <w:rsid w:val="00D6758A"/>
    <w:rsid w:val="00D70422"/>
    <w:rsid w:val="00D706BB"/>
    <w:rsid w:val="00D725DB"/>
    <w:rsid w:val="00D7290C"/>
    <w:rsid w:val="00D767F5"/>
    <w:rsid w:val="00D76A54"/>
    <w:rsid w:val="00D800E9"/>
    <w:rsid w:val="00D82B74"/>
    <w:rsid w:val="00D82C2C"/>
    <w:rsid w:val="00D830D8"/>
    <w:rsid w:val="00D87B24"/>
    <w:rsid w:val="00D917F9"/>
    <w:rsid w:val="00D91CFE"/>
    <w:rsid w:val="00D92B0C"/>
    <w:rsid w:val="00D92B59"/>
    <w:rsid w:val="00D94587"/>
    <w:rsid w:val="00D96154"/>
    <w:rsid w:val="00D96786"/>
    <w:rsid w:val="00D969FB"/>
    <w:rsid w:val="00DA0891"/>
    <w:rsid w:val="00DA08C9"/>
    <w:rsid w:val="00DA1A2F"/>
    <w:rsid w:val="00DA2D1D"/>
    <w:rsid w:val="00DA312B"/>
    <w:rsid w:val="00DA3372"/>
    <w:rsid w:val="00DA36E4"/>
    <w:rsid w:val="00DA4394"/>
    <w:rsid w:val="00DA5267"/>
    <w:rsid w:val="00DB0015"/>
    <w:rsid w:val="00DB10E4"/>
    <w:rsid w:val="00DB27D2"/>
    <w:rsid w:val="00DB5077"/>
    <w:rsid w:val="00DB63E6"/>
    <w:rsid w:val="00DB643F"/>
    <w:rsid w:val="00DB73D3"/>
    <w:rsid w:val="00DC1ACC"/>
    <w:rsid w:val="00DC431D"/>
    <w:rsid w:val="00DC48C5"/>
    <w:rsid w:val="00DD0132"/>
    <w:rsid w:val="00DD09BD"/>
    <w:rsid w:val="00DD0E71"/>
    <w:rsid w:val="00DD1C02"/>
    <w:rsid w:val="00DD2B19"/>
    <w:rsid w:val="00DD34D6"/>
    <w:rsid w:val="00DD45E7"/>
    <w:rsid w:val="00DE10B5"/>
    <w:rsid w:val="00DE324F"/>
    <w:rsid w:val="00DE3D66"/>
    <w:rsid w:val="00DE74EB"/>
    <w:rsid w:val="00DF1D77"/>
    <w:rsid w:val="00DF6000"/>
    <w:rsid w:val="00E0088E"/>
    <w:rsid w:val="00E00992"/>
    <w:rsid w:val="00E041FC"/>
    <w:rsid w:val="00E04236"/>
    <w:rsid w:val="00E05113"/>
    <w:rsid w:val="00E0602C"/>
    <w:rsid w:val="00E06EB7"/>
    <w:rsid w:val="00E0744F"/>
    <w:rsid w:val="00E07496"/>
    <w:rsid w:val="00E07D0A"/>
    <w:rsid w:val="00E07F5D"/>
    <w:rsid w:val="00E10D4A"/>
    <w:rsid w:val="00E121DD"/>
    <w:rsid w:val="00E16BAC"/>
    <w:rsid w:val="00E1778C"/>
    <w:rsid w:val="00E214E9"/>
    <w:rsid w:val="00E22083"/>
    <w:rsid w:val="00E22C79"/>
    <w:rsid w:val="00E25A53"/>
    <w:rsid w:val="00E26110"/>
    <w:rsid w:val="00E26A8E"/>
    <w:rsid w:val="00E26B63"/>
    <w:rsid w:val="00E27257"/>
    <w:rsid w:val="00E27939"/>
    <w:rsid w:val="00E27E65"/>
    <w:rsid w:val="00E3084E"/>
    <w:rsid w:val="00E34CD7"/>
    <w:rsid w:val="00E366F5"/>
    <w:rsid w:val="00E36755"/>
    <w:rsid w:val="00E40528"/>
    <w:rsid w:val="00E40CF6"/>
    <w:rsid w:val="00E41596"/>
    <w:rsid w:val="00E415FC"/>
    <w:rsid w:val="00E41C38"/>
    <w:rsid w:val="00E44B77"/>
    <w:rsid w:val="00E450C7"/>
    <w:rsid w:val="00E4783C"/>
    <w:rsid w:val="00E47C66"/>
    <w:rsid w:val="00E5144F"/>
    <w:rsid w:val="00E558AF"/>
    <w:rsid w:val="00E575C2"/>
    <w:rsid w:val="00E61BC3"/>
    <w:rsid w:val="00E63B5B"/>
    <w:rsid w:val="00E64090"/>
    <w:rsid w:val="00E6414B"/>
    <w:rsid w:val="00E64710"/>
    <w:rsid w:val="00E64EA5"/>
    <w:rsid w:val="00E65726"/>
    <w:rsid w:val="00E6606B"/>
    <w:rsid w:val="00E66903"/>
    <w:rsid w:val="00E66F13"/>
    <w:rsid w:val="00E73825"/>
    <w:rsid w:val="00E73F9C"/>
    <w:rsid w:val="00E74BF0"/>
    <w:rsid w:val="00E763CF"/>
    <w:rsid w:val="00E80818"/>
    <w:rsid w:val="00E81753"/>
    <w:rsid w:val="00E81B56"/>
    <w:rsid w:val="00E841CF"/>
    <w:rsid w:val="00E845BD"/>
    <w:rsid w:val="00E847D0"/>
    <w:rsid w:val="00E9089C"/>
    <w:rsid w:val="00E91056"/>
    <w:rsid w:val="00E91D5C"/>
    <w:rsid w:val="00E91E70"/>
    <w:rsid w:val="00E9364A"/>
    <w:rsid w:val="00E93C75"/>
    <w:rsid w:val="00E9438A"/>
    <w:rsid w:val="00E94654"/>
    <w:rsid w:val="00E95001"/>
    <w:rsid w:val="00E964B1"/>
    <w:rsid w:val="00E976AC"/>
    <w:rsid w:val="00EA3438"/>
    <w:rsid w:val="00EA3A59"/>
    <w:rsid w:val="00EA4BED"/>
    <w:rsid w:val="00EA5802"/>
    <w:rsid w:val="00EA79BD"/>
    <w:rsid w:val="00EB409F"/>
    <w:rsid w:val="00EB5D56"/>
    <w:rsid w:val="00EB614D"/>
    <w:rsid w:val="00EB7D59"/>
    <w:rsid w:val="00EC1557"/>
    <w:rsid w:val="00EC23E0"/>
    <w:rsid w:val="00EC258F"/>
    <w:rsid w:val="00EC2EDF"/>
    <w:rsid w:val="00EC3871"/>
    <w:rsid w:val="00EC3F72"/>
    <w:rsid w:val="00EC4E0D"/>
    <w:rsid w:val="00ED0073"/>
    <w:rsid w:val="00ED15A0"/>
    <w:rsid w:val="00ED1FA5"/>
    <w:rsid w:val="00ED3C28"/>
    <w:rsid w:val="00ED3C43"/>
    <w:rsid w:val="00ED6022"/>
    <w:rsid w:val="00ED79EA"/>
    <w:rsid w:val="00EE0166"/>
    <w:rsid w:val="00EE074D"/>
    <w:rsid w:val="00EE1759"/>
    <w:rsid w:val="00EE25A4"/>
    <w:rsid w:val="00EE3C4C"/>
    <w:rsid w:val="00EE452C"/>
    <w:rsid w:val="00EE5333"/>
    <w:rsid w:val="00EE5891"/>
    <w:rsid w:val="00EF0CAD"/>
    <w:rsid w:val="00EF0DE3"/>
    <w:rsid w:val="00EF19A5"/>
    <w:rsid w:val="00EF3A51"/>
    <w:rsid w:val="00EF4452"/>
    <w:rsid w:val="00EF4D6F"/>
    <w:rsid w:val="00EF5584"/>
    <w:rsid w:val="00EF7D6D"/>
    <w:rsid w:val="00F00425"/>
    <w:rsid w:val="00F00E37"/>
    <w:rsid w:val="00F01E70"/>
    <w:rsid w:val="00F030EC"/>
    <w:rsid w:val="00F0418E"/>
    <w:rsid w:val="00F04579"/>
    <w:rsid w:val="00F04F25"/>
    <w:rsid w:val="00F05621"/>
    <w:rsid w:val="00F05A34"/>
    <w:rsid w:val="00F06BB6"/>
    <w:rsid w:val="00F074BA"/>
    <w:rsid w:val="00F108CF"/>
    <w:rsid w:val="00F109E0"/>
    <w:rsid w:val="00F10A7C"/>
    <w:rsid w:val="00F11D41"/>
    <w:rsid w:val="00F13286"/>
    <w:rsid w:val="00F1545E"/>
    <w:rsid w:val="00F20FEF"/>
    <w:rsid w:val="00F21385"/>
    <w:rsid w:val="00F2527C"/>
    <w:rsid w:val="00F26954"/>
    <w:rsid w:val="00F26CD2"/>
    <w:rsid w:val="00F26E3A"/>
    <w:rsid w:val="00F3084F"/>
    <w:rsid w:val="00F32CDF"/>
    <w:rsid w:val="00F336AF"/>
    <w:rsid w:val="00F350CA"/>
    <w:rsid w:val="00F35582"/>
    <w:rsid w:val="00F36AEE"/>
    <w:rsid w:val="00F37B8E"/>
    <w:rsid w:val="00F412E4"/>
    <w:rsid w:val="00F413D8"/>
    <w:rsid w:val="00F41446"/>
    <w:rsid w:val="00F4196D"/>
    <w:rsid w:val="00F41A1B"/>
    <w:rsid w:val="00F42A0D"/>
    <w:rsid w:val="00F43298"/>
    <w:rsid w:val="00F45B8B"/>
    <w:rsid w:val="00F45DB5"/>
    <w:rsid w:val="00F46839"/>
    <w:rsid w:val="00F46F9F"/>
    <w:rsid w:val="00F47FA7"/>
    <w:rsid w:val="00F5294B"/>
    <w:rsid w:val="00F5568A"/>
    <w:rsid w:val="00F57C21"/>
    <w:rsid w:val="00F57F16"/>
    <w:rsid w:val="00F653C6"/>
    <w:rsid w:val="00F659CA"/>
    <w:rsid w:val="00F66726"/>
    <w:rsid w:val="00F6734C"/>
    <w:rsid w:val="00F707CA"/>
    <w:rsid w:val="00F71CC1"/>
    <w:rsid w:val="00F71DD3"/>
    <w:rsid w:val="00F73206"/>
    <w:rsid w:val="00F74202"/>
    <w:rsid w:val="00F7425A"/>
    <w:rsid w:val="00F7572F"/>
    <w:rsid w:val="00F75F92"/>
    <w:rsid w:val="00F770CA"/>
    <w:rsid w:val="00F773BA"/>
    <w:rsid w:val="00F774A4"/>
    <w:rsid w:val="00F77A39"/>
    <w:rsid w:val="00F80AF5"/>
    <w:rsid w:val="00F8110F"/>
    <w:rsid w:val="00F8121A"/>
    <w:rsid w:val="00F814EC"/>
    <w:rsid w:val="00F826E0"/>
    <w:rsid w:val="00F83C71"/>
    <w:rsid w:val="00F84FAD"/>
    <w:rsid w:val="00F8711E"/>
    <w:rsid w:val="00F87886"/>
    <w:rsid w:val="00F90423"/>
    <w:rsid w:val="00F90627"/>
    <w:rsid w:val="00F907D5"/>
    <w:rsid w:val="00F9200E"/>
    <w:rsid w:val="00F95E0B"/>
    <w:rsid w:val="00F96634"/>
    <w:rsid w:val="00FA09AA"/>
    <w:rsid w:val="00FA14ED"/>
    <w:rsid w:val="00FA1F5C"/>
    <w:rsid w:val="00FA21BA"/>
    <w:rsid w:val="00FA2BC5"/>
    <w:rsid w:val="00FA4B81"/>
    <w:rsid w:val="00FA4FC0"/>
    <w:rsid w:val="00FA5FF6"/>
    <w:rsid w:val="00FA6E20"/>
    <w:rsid w:val="00FB1A6B"/>
    <w:rsid w:val="00FB215E"/>
    <w:rsid w:val="00FB38BD"/>
    <w:rsid w:val="00FB47EE"/>
    <w:rsid w:val="00FB4FE8"/>
    <w:rsid w:val="00FB5EA5"/>
    <w:rsid w:val="00FB6330"/>
    <w:rsid w:val="00FC18B0"/>
    <w:rsid w:val="00FC1C7A"/>
    <w:rsid w:val="00FC247C"/>
    <w:rsid w:val="00FC2D05"/>
    <w:rsid w:val="00FC347B"/>
    <w:rsid w:val="00FC4881"/>
    <w:rsid w:val="00FC61AD"/>
    <w:rsid w:val="00FC72AF"/>
    <w:rsid w:val="00FC7CFA"/>
    <w:rsid w:val="00FD2A70"/>
    <w:rsid w:val="00FD2EFC"/>
    <w:rsid w:val="00FD3477"/>
    <w:rsid w:val="00FD5498"/>
    <w:rsid w:val="00FD647B"/>
    <w:rsid w:val="00FD6B4A"/>
    <w:rsid w:val="00FE42AB"/>
    <w:rsid w:val="00FE4351"/>
    <w:rsid w:val="00FE63A2"/>
    <w:rsid w:val="00FE71BE"/>
    <w:rsid w:val="00FF0111"/>
    <w:rsid w:val="00FF0469"/>
    <w:rsid w:val="00FF66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2C6B9"/>
  <w15:docId w15:val="{67AC4C3D-C12E-48C9-85E7-5E4B3B92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7238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54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543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434D"/>
    <w:rPr>
      <w:rFonts w:ascii="Tahoma" w:hAnsi="Tahoma" w:cs="Tahoma"/>
      <w:sz w:val="16"/>
      <w:szCs w:val="16"/>
    </w:rPr>
  </w:style>
  <w:style w:type="paragraph" w:styleId="Akapitzlist">
    <w:name w:val="List Paragraph"/>
    <w:basedOn w:val="Normalny"/>
    <w:uiPriority w:val="34"/>
    <w:qFormat/>
    <w:rsid w:val="002628DC"/>
    <w:pPr>
      <w:ind w:left="720"/>
      <w:contextualSpacing/>
    </w:pPr>
  </w:style>
  <w:style w:type="character" w:styleId="Tekstzastpczy">
    <w:name w:val="Placeholder Text"/>
    <w:basedOn w:val="Domylnaczcionkaakapitu"/>
    <w:uiPriority w:val="99"/>
    <w:semiHidden/>
    <w:rsid w:val="0020610D"/>
    <w:rPr>
      <w:color w:val="808080"/>
    </w:rPr>
  </w:style>
  <w:style w:type="paragraph" w:styleId="Nagwek">
    <w:name w:val="header"/>
    <w:basedOn w:val="Normalny"/>
    <w:link w:val="NagwekZnak"/>
    <w:uiPriority w:val="99"/>
    <w:unhideWhenUsed/>
    <w:rsid w:val="006465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656F"/>
  </w:style>
  <w:style w:type="paragraph" w:styleId="Stopka">
    <w:name w:val="footer"/>
    <w:basedOn w:val="Normalny"/>
    <w:link w:val="StopkaZnak"/>
    <w:uiPriority w:val="99"/>
    <w:unhideWhenUsed/>
    <w:rsid w:val="006465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656F"/>
  </w:style>
  <w:style w:type="paragraph" w:styleId="Tekstprzypisukocowego">
    <w:name w:val="endnote text"/>
    <w:basedOn w:val="Normalny"/>
    <w:link w:val="TekstprzypisukocowegoZnak"/>
    <w:uiPriority w:val="99"/>
    <w:semiHidden/>
    <w:unhideWhenUsed/>
    <w:rsid w:val="00A32A7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2A70"/>
    <w:rPr>
      <w:sz w:val="20"/>
      <w:szCs w:val="20"/>
    </w:rPr>
  </w:style>
  <w:style w:type="character" w:styleId="Odwoanieprzypisukocowego">
    <w:name w:val="endnote reference"/>
    <w:basedOn w:val="Domylnaczcionkaakapitu"/>
    <w:uiPriority w:val="99"/>
    <w:semiHidden/>
    <w:unhideWhenUsed/>
    <w:rsid w:val="00A32A70"/>
    <w:rPr>
      <w:vertAlign w:val="superscript"/>
    </w:rPr>
  </w:style>
  <w:style w:type="character" w:styleId="Odwoaniedokomentarza">
    <w:name w:val="annotation reference"/>
    <w:basedOn w:val="Domylnaczcionkaakapitu"/>
    <w:uiPriority w:val="99"/>
    <w:semiHidden/>
    <w:unhideWhenUsed/>
    <w:rsid w:val="00A84E4D"/>
    <w:rPr>
      <w:sz w:val="16"/>
      <w:szCs w:val="16"/>
    </w:rPr>
  </w:style>
  <w:style w:type="paragraph" w:styleId="Tekstkomentarza">
    <w:name w:val="annotation text"/>
    <w:basedOn w:val="Normalny"/>
    <w:link w:val="TekstkomentarzaZnak"/>
    <w:uiPriority w:val="99"/>
    <w:unhideWhenUsed/>
    <w:rsid w:val="00A84E4D"/>
    <w:pPr>
      <w:spacing w:line="240" w:lineRule="auto"/>
    </w:pPr>
    <w:rPr>
      <w:sz w:val="20"/>
      <w:szCs w:val="20"/>
    </w:rPr>
  </w:style>
  <w:style w:type="character" w:customStyle="1" w:styleId="TekstkomentarzaZnak">
    <w:name w:val="Tekst komentarza Znak"/>
    <w:basedOn w:val="Domylnaczcionkaakapitu"/>
    <w:link w:val="Tekstkomentarza"/>
    <w:uiPriority w:val="99"/>
    <w:rsid w:val="00A84E4D"/>
    <w:rPr>
      <w:sz w:val="20"/>
      <w:szCs w:val="20"/>
    </w:rPr>
  </w:style>
  <w:style w:type="paragraph" w:styleId="Tematkomentarza">
    <w:name w:val="annotation subject"/>
    <w:basedOn w:val="Tekstkomentarza"/>
    <w:next w:val="Tekstkomentarza"/>
    <w:link w:val="TematkomentarzaZnak"/>
    <w:uiPriority w:val="99"/>
    <w:semiHidden/>
    <w:unhideWhenUsed/>
    <w:rsid w:val="00A84E4D"/>
    <w:rPr>
      <w:b/>
      <w:bCs/>
    </w:rPr>
  </w:style>
  <w:style w:type="character" w:customStyle="1" w:styleId="TematkomentarzaZnak">
    <w:name w:val="Temat komentarza Znak"/>
    <w:basedOn w:val="TekstkomentarzaZnak"/>
    <w:link w:val="Tematkomentarza"/>
    <w:uiPriority w:val="99"/>
    <w:semiHidden/>
    <w:rsid w:val="00A84E4D"/>
    <w:rPr>
      <w:b/>
      <w:bCs/>
      <w:sz w:val="20"/>
      <w:szCs w:val="20"/>
    </w:rPr>
  </w:style>
  <w:style w:type="paragraph" w:styleId="Poprawka">
    <w:name w:val="Revision"/>
    <w:hidden/>
    <w:uiPriority w:val="99"/>
    <w:semiHidden/>
    <w:rsid w:val="00521167"/>
    <w:pPr>
      <w:spacing w:after="0" w:line="240" w:lineRule="auto"/>
    </w:pPr>
  </w:style>
  <w:style w:type="character" w:customStyle="1" w:styleId="Nagwek3Znak">
    <w:name w:val="Nagłówek 3 Znak"/>
    <w:basedOn w:val="Domylnaczcionkaakapitu"/>
    <w:link w:val="Nagwek3"/>
    <w:uiPriority w:val="9"/>
    <w:rsid w:val="00723849"/>
    <w:rPr>
      <w:rFonts w:asciiTheme="majorHAnsi" w:eastAsiaTheme="majorEastAsia" w:hAnsiTheme="majorHAnsi" w:cstheme="majorBidi"/>
      <w:color w:val="243F60" w:themeColor="accent1" w:themeShade="7F"/>
      <w:sz w:val="24"/>
      <w:szCs w:val="24"/>
    </w:rPr>
  </w:style>
  <w:style w:type="paragraph" w:styleId="Tekstprzypisudolnego">
    <w:name w:val="footnote text"/>
    <w:basedOn w:val="Normalny"/>
    <w:link w:val="TekstprzypisudolnegoZnak"/>
    <w:uiPriority w:val="99"/>
    <w:semiHidden/>
    <w:unhideWhenUsed/>
    <w:rsid w:val="00E415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15FC"/>
    <w:rPr>
      <w:sz w:val="20"/>
      <w:szCs w:val="20"/>
    </w:rPr>
  </w:style>
  <w:style w:type="character" w:styleId="Odwoanieprzypisudolnego">
    <w:name w:val="footnote reference"/>
    <w:basedOn w:val="Domylnaczcionkaakapitu"/>
    <w:uiPriority w:val="99"/>
    <w:semiHidden/>
    <w:unhideWhenUsed/>
    <w:rsid w:val="00E415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6847">
      <w:bodyDiv w:val="1"/>
      <w:marLeft w:val="0"/>
      <w:marRight w:val="0"/>
      <w:marTop w:val="0"/>
      <w:marBottom w:val="0"/>
      <w:divBdr>
        <w:top w:val="none" w:sz="0" w:space="0" w:color="auto"/>
        <w:left w:val="none" w:sz="0" w:space="0" w:color="auto"/>
        <w:bottom w:val="none" w:sz="0" w:space="0" w:color="auto"/>
        <w:right w:val="none" w:sz="0" w:space="0" w:color="auto"/>
      </w:divBdr>
    </w:div>
    <w:div w:id="169368796">
      <w:bodyDiv w:val="1"/>
      <w:marLeft w:val="0"/>
      <w:marRight w:val="0"/>
      <w:marTop w:val="0"/>
      <w:marBottom w:val="0"/>
      <w:divBdr>
        <w:top w:val="none" w:sz="0" w:space="0" w:color="auto"/>
        <w:left w:val="none" w:sz="0" w:space="0" w:color="auto"/>
        <w:bottom w:val="none" w:sz="0" w:space="0" w:color="auto"/>
        <w:right w:val="none" w:sz="0" w:space="0" w:color="auto"/>
      </w:divBdr>
    </w:div>
    <w:div w:id="345253736">
      <w:bodyDiv w:val="1"/>
      <w:marLeft w:val="0"/>
      <w:marRight w:val="0"/>
      <w:marTop w:val="0"/>
      <w:marBottom w:val="0"/>
      <w:divBdr>
        <w:top w:val="none" w:sz="0" w:space="0" w:color="auto"/>
        <w:left w:val="none" w:sz="0" w:space="0" w:color="auto"/>
        <w:bottom w:val="none" w:sz="0" w:space="0" w:color="auto"/>
        <w:right w:val="none" w:sz="0" w:space="0" w:color="auto"/>
      </w:divBdr>
    </w:div>
    <w:div w:id="377240376">
      <w:bodyDiv w:val="1"/>
      <w:marLeft w:val="0"/>
      <w:marRight w:val="0"/>
      <w:marTop w:val="0"/>
      <w:marBottom w:val="0"/>
      <w:divBdr>
        <w:top w:val="none" w:sz="0" w:space="0" w:color="auto"/>
        <w:left w:val="none" w:sz="0" w:space="0" w:color="auto"/>
        <w:bottom w:val="none" w:sz="0" w:space="0" w:color="auto"/>
        <w:right w:val="none" w:sz="0" w:space="0" w:color="auto"/>
      </w:divBdr>
    </w:div>
    <w:div w:id="756248297">
      <w:bodyDiv w:val="1"/>
      <w:marLeft w:val="0"/>
      <w:marRight w:val="0"/>
      <w:marTop w:val="0"/>
      <w:marBottom w:val="0"/>
      <w:divBdr>
        <w:top w:val="none" w:sz="0" w:space="0" w:color="auto"/>
        <w:left w:val="none" w:sz="0" w:space="0" w:color="auto"/>
        <w:bottom w:val="none" w:sz="0" w:space="0" w:color="auto"/>
        <w:right w:val="none" w:sz="0" w:space="0" w:color="auto"/>
      </w:divBdr>
    </w:div>
    <w:div w:id="965814948">
      <w:bodyDiv w:val="1"/>
      <w:marLeft w:val="0"/>
      <w:marRight w:val="0"/>
      <w:marTop w:val="0"/>
      <w:marBottom w:val="0"/>
      <w:divBdr>
        <w:top w:val="none" w:sz="0" w:space="0" w:color="auto"/>
        <w:left w:val="none" w:sz="0" w:space="0" w:color="auto"/>
        <w:bottom w:val="none" w:sz="0" w:space="0" w:color="auto"/>
        <w:right w:val="none" w:sz="0" w:space="0" w:color="auto"/>
      </w:divBdr>
    </w:div>
    <w:div w:id="1000960727">
      <w:bodyDiv w:val="1"/>
      <w:marLeft w:val="0"/>
      <w:marRight w:val="0"/>
      <w:marTop w:val="0"/>
      <w:marBottom w:val="0"/>
      <w:divBdr>
        <w:top w:val="none" w:sz="0" w:space="0" w:color="auto"/>
        <w:left w:val="none" w:sz="0" w:space="0" w:color="auto"/>
        <w:bottom w:val="none" w:sz="0" w:space="0" w:color="auto"/>
        <w:right w:val="none" w:sz="0" w:space="0" w:color="auto"/>
      </w:divBdr>
    </w:div>
    <w:div w:id="1557273815">
      <w:bodyDiv w:val="1"/>
      <w:marLeft w:val="0"/>
      <w:marRight w:val="0"/>
      <w:marTop w:val="0"/>
      <w:marBottom w:val="0"/>
      <w:divBdr>
        <w:top w:val="none" w:sz="0" w:space="0" w:color="auto"/>
        <w:left w:val="none" w:sz="0" w:space="0" w:color="auto"/>
        <w:bottom w:val="none" w:sz="0" w:space="0" w:color="auto"/>
        <w:right w:val="none" w:sz="0" w:space="0" w:color="auto"/>
      </w:divBdr>
    </w:div>
    <w:div w:id="2112847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8413b39-65eb-4ae7-a910-008744c3d581" origin="userSelected">
  <element uid="id_classification_nonbusiness" value=""/>
</sisl>
</file>

<file path=customXml/itemProps1.xml><?xml version="1.0" encoding="utf-8"?>
<ds:datastoreItem xmlns:ds="http://schemas.openxmlformats.org/officeDocument/2006/customXml" ds:itemID="{62ADB132-DAAD-4025-B6F8-06FF7F428989}">
  <ds:schemaRefs>
    <ds:schemaRef ds:uri="http://schemas.openxmlformats.org/officeDocument/2006/bibliography"/>
  </ds:schemaRefs>
</ds:datastoreItem>
</file>

<file path=customXml/itemProps2.xml><?xml version="1.0" encoding="utf-8"?>
<ds:datastoreItem xmlns:ds="http://schemas.openxmlformats.org/officeDocument/2006/customXml" ds:itemID="{DB38F55A-C88E-48BF-AE58-57686A77520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589</Words>
  <Characters>3537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BIK S.A.</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slawomir.grzybek</dc:creator>
  <cp:keywords/>
  <dc:description/>
  <cp:lastModifiedBy>Stankiewicz-Billewicz Aleksandra</cp:lastModifiedBy>
  <cp:revision>2</cp:revision>
  <cp:lastPrinted>2019-08-13T07:56:00Z</cp:lastPrinted>
  <dcterms:created xsi:type="dcterms:W3CDTF">2026-06-24T10:11:00Z</dcterms:created>
  <dcterms:modified xsi:type="dcterms:W3CDTF">2026-06-24T10:11:00Z</dcterms:modified>
  <cp:category>.Informacje Jawne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41afe716-87f8-473a-9d42-c1a27ec631fb</vt:lpwstr>
  </property>
  <property fmtid="{D5CDD505-2E9C-101B-9397-08002B2CF9AE}" pid="3" name="bjSaver">
    <vt:lpwstr>az8GXnyp5HWkFKVO6rr2fHPEYyVLGlkI</vt:lpwstr>
  </property>
  <property fmtid="{D5CDD505-2E9C-101B-9397-08002B2CF9AE}" pid="4" name="bjDocumentLabelXML">
    <vt:lpwstr>&lt;?xml version="1.0" encoding="us-ascii"?&gt;&lt;sisl xmlns:xsi="http://www.w3.org/2001/XMLSchema-instance" xmlns:xsd="http://www.w3.org/2001/XMLSchema" sislVersion="0" policy="88413b39-65eb-4ae7-a910-008744c3d581"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Jawne</vt:lpwstr>
  </property>
  <property fmtid="{D5CDD505-2E9C-101B-9397-08002B2CF9AE}" pid="7" name="MSIP_Label_1391a466-f120-4668-a5e5-7af4d8a99d82_Enabled">
    <vt:lpwstr>true</vt:lpwstr>
  </property>
  <property fmtid="{D5CDD505-2E9C-101B-9397-08002B2CF9AE}" pid="8" name="MSIP_Label_1391a466-f120-4668-a5e5-7af4d8a99d82_SetDate">
    <vt:lpwstr>2023-05-16T16:00:34Z</vt:lpwstr>
  </property>
  <property fmtid="{D5CDD505-2E9C-101B-9397-08002B2CF9AE}" pid="9" name="MSIP_Label_1391a466-f120-4668-a5e5-7af4d8a99d82_Method">
    <vt:lpwstr>Privileged</vt:lpwstr>
  </property>
  <property fmtid="{D5CDD505-2E9C-101B-9397-08002B2CF9AE}" pid="10" name="MSIP_Label_1391a466-f120-4668-a5e5-7af4d8a99d82_Name">
    <vt:lpwstr>Grupa BIK-Jawne</vt:lpwstr>
  </property>
  <property fmtid="{D5CDD505-2E9C-101B-9397-08002B2CF9AE}" pid="11" name="MSIP_Label_1391a466-f120-4668-a5e5-7af4d8a99d82_SiteId">
    <vt:lpwstr>f2871815-01ea-45c0-a64b-82e189df602c</vt:lpwstr>
  </property>
  <property fmtid="{D5CDD505-2E9C-101B-9397-08002B2CF9AE}" pid="12" name="MSIP_Label_1391a466-f120-4668-a5e5-7af4d8a99d82_ActionId">
    <vt:lpwstr>d69adfe5-62ce-454e-872f-31b6a7833a21</vt:lpwstr>
  </property>
  <property fmtid="{D5CDD505-2E9C-101B-9397-08002B2CF9AE}" pid="13" name="MSIP_Label_1391a466-f120-4668-a5e5-7af4d8a99d82_ContentBits">
    <vt:lpwstr>2</vt:lpwstr>
  </property>
</Properties>
</file>