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A988" w14:textId="77777777" w:rsidR="00820740" w:rsidRPr="00820740" w:rsidRDefault="00820740" w:rsidP="00820740">
      <w:pPr>
        <w:rPr>
          <w:b/>
          <w:bCs/>
          <w:sz w:val="28"/>
          <w:szCs w:val="28"/>
        </w:rPr>
      </w:pPr>
      <w:r w:rsidRPr="00820740">
        <w:rPr>
          <w:b/>
          <w:bCs/>
          <w:sz w:val="28"/>
          <w:szCs w:val="28"/>
        </w:rPr>
        <w:t>Kilkanaście minut nawałnicy, kilkadziesiąt zniszczeń. Anatomia jednej szkody.</w:t>
      </w:r>
    </w:p>
    <w:p w14:paraId="322EE368" w14:textId="0EA85F2B" w:rsidR="00DB4C47" w:rsidRPr="009B3032" w:rsidRDefault="00F06161" w:rsidP="00DB4C4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B3032">
        <w:rPr>
          <w:b/>
          <w:bCs/>
          <w:sz w:val="24"/>
          <w:szCs w:val="24"/>
        </w:rPr>
        <w:t xml:space="preserve">Nad Polską utrzymuje się groźna aura </w:t>
      </w:r>
      <w:r w:rsidRPr="009B3032">
        <w:rPr>
          <w:b/>
          <w:bCs/>
          <w:sz w:val="24"/>
          <w:szCs w:val="24"/>
        </w:rPr>
        <w:t>–</w:t>
      </w:r>
      <w:r w:rsidRPr="009B3032">
        <w:rPr>
          <w:b/>
          <w:bCs/>
          <w:sz w:val="24"/>
          <w:szCs w:val="24"/>
        </w:rPr>
        <w:t xml:space="preserve"> IMGW</w:t>
      </w:r>
      <w:r w:rsidRPr="009B3032">
        <w:rPr>
          <w:b/>
          <w:bCs/>
          <w:sz w:val="24"/>
          <w:szCs w:val="24"/>
        </w:rPr>
        <w:t xml:space="preserve"> </w:t>
      </w:r>
      <w:r w:rsidRPr="009B3032">
        <w:rPr>
          <w:b/>
          <w:bCs/>
          <w:sz w:val="24"/>
          <w:szCs w:val="24"/>
        </w:rPr>
        <w:t>aktualizuje ostrzeżenia</w:t>
      </w:r>
      <w:r w:rsidR="009A0232">
        <w:rPr>
          <w:b/>
          <w:bCs/>
          <w:sz w:val="24"/>
          <w:szCs w:val="24"/>
        </w:rPr>
        <w:t xml:space="preserve"> </w:t>
      </w:r>
      <w:r w:rsidR="001674CB">
        <w:rPr>
          <w:b/>
          <w:bCs/>
          <w:sz w:val="24"/>
          <w:szCs w:val="24"/>
        </w:rPr>
        <w:t xml:space="preserve">przed gwałtownymi burzami, gradem i nawalnymi opadami. </w:t>
      </w:r>
      <w:r w:rsidR="00A23013" w:rsidRPr="009B3032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DD2B0D" w14:textId="40E9E7AE" w:rsidR="00A26B24" w:rsidRPr="00AD3FD5" w:rsidRDefault="00373083" w:rsidP="00DB4C4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b/>
          <w:bCs/>
          <w:sz w:val="24"/>
          <w:szCs w:val="24"/>
          <w:shd w:val="clear" w:color="auto" w:fill="FFFFFF"/>
        </w:rPr>
        <w:t xml:space="preserve">Tylko </w:t>
      </w:r>
      <w:r w:rsidR="009B3032">
        <w:rPr>
          <w:b/>
          <w:bCs/>
          <w:sz w:val="24"/>
          <w:szCs w:val="24"/>
          <w:shd w:val="clear" w:color="auto" w:fill="FFFFFF"/>
        </w:rPr>
        <w:t xml:space="preserve">w ciągu 3 dni </w:t>
      </w:r>
      <w:r w:rsidR="0095716D">
        <w:rPr>
          <w:b/>
          <w:bCs/>
          <w:sz w:val="24"/>
          <w:szCs w:val="24"/>
          <w:shd w:val="clear" w:color="auto" w:fill="FFFFFF"/>
        </w:rPr>
        <w:t>czerwcowych dni (21-23.06)</w:t>
      </w:r>
      <w:r w:rsidR="00A26B24" w:rsidRPr="00A26B24">
        <w:rPr>
          <w:b/>
          <w:bCs/>
          <w:sz w:val="24"/>
          <w:szCs w:val="24"/>
          <w:shd w:val="clear" w:color="auto" w:fill="FFFFFF"/>
        </w:rPr>
        <w:t xml:space="preserve"> </w:t>
      </w:r>
      <w:r w:rsidR="00A81114" w:rsidRPr="00A26B24">
        <w:rPr>
          <w:b/>
          <w:bCs/>
          <w:sz w:val="24"/>
          <w:szCs w:val="24"/>
          <w:shd w:val="clear" w:color="auto" w:fill="FFFFFF"/>
        </w:rPr>
        <w:t>Państwow</w:t>
      </w:r>
      <w:r w:rsidR="00A81114">
        <w:rPr>
          <w:b/>
          <w:bCs/>
          <w:sz w:val="24"/>
          <w:szCs w:val="24"/>
          <w:shd w:val="clear" w:color="auto" w:fill="FFFFFF"/>
        </w:rPr>
        <w:t>a</w:t>
      </w:r>
      <w:r w:rsidR="00A81114" w:rsidRPr="00A26B24">
        <w:rPr>
          <w:b/>
          <w:bCs/>
          <w:sz w:val="24"/>
          <w:szCs w:val="24"/>
          <w:shd w:val="clear" w:color="auto" w:fill="FFFFFF"/>
        </w:rPr>
        <w:t xml:space="preserve"> Straż Pożarn</w:t>
      </w:r>
      <w:r w:rsidR="00A81114">
        <w:rPr>
          <w:b/>
          <w:bCs/>
          <w:sz w:val="24"/>
          <w:szCs w:val="24"/>
          <w:shd w:val="clear" w:color="auto" w:fill="FFFFFF"/>
        </w:rPr>
        <w:t xml:space="preserve">a interweniowała </w:t>
      </w:r>
      <w:r w:rsidR="00487C23">
        <w:rPr>
          <w:b/>
          <w:bCs/>
          <w:sz w:val="24"/>
          <w:szCs w:val="24"/>
          <w:shd w:val="clear" w:color="auto" w:fill="FFFFFF"/>
        </w:rPr>
        <w:t>3653 razy</w:t>
      </w:r>
      <w:r w:rsidR="00AD3FD5">
        <w:rPr>
          <w:b/>
          <w:bCs/>
          <w:sz w:val="24"/>
          <w:szCs w:val="24"/>
          <w:shd w:val="clear" w:color="auto" w:fill="FFFFFF"/>
        </w:rPr>
        <w:t xml:space="preserve"> – zdecydowana większość akcji dotyczyła </w:t>
      </w:r>
      <w:r w:rsidR="00AD3FD5" w:rsidRPr="00AD3FD5">
        <w:rPr>
          <w:rFonts w:cs="Open Sans"/>
          <w:b/>
          <w:bCs/>
          <w:color w:val="1B1B1B"/>
          <w:sz w:val="24"/>
          <w:szCs w:val="24"/>
          <w:shd w:val="clear" w:color="auto" w:fill="FFFFFF"/>
        </w:rPr>
        <w:t xml:space="preserve">gwałtownych zjawisk atmosferycznych. </w:t>
      </w:r>
    </w:p>
    <w:p w14:paraId="4BD6C833" w14:textId="1B40DF16" w:rsidR="00DB4C47" w:rsidRPr="008440F0" w:rsidRDefault="00DB4C47" w:rsidP="00DB4C4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B739B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To typowy początek sezonu, który rok temu zostawił po sobie najwyższe nominalnie wypłaty z ubezpieczeń szkód </w:t>
      </w:r>
      <w:r w:rsidR="00B75C7E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majątkowych (w tym </w:t>
      </w:r>
      <w:r w:rsidRPr="00B739B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żywiołowych</w:t>
      </w:r>
      <w:r w:rsidR="00B75C7E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B739B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historii polskiego rynku</w:t>
      </w:r>
      <w:r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6,2 mld złotych</w:t>
      </w:r>
      <w:r w:rsidRPr="00B739B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9CB27F2" w14:textId="1454539C" w:rsidR="00DB4C47" w:rsidRPr="002D28A6" w:rsidRDefault="00F50F21" w:rsidP="00DB4C4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Firmy</w:t>
      </w:r>
      <w:r w:rsidR="00DB4C47" w:rsidRPr="00B739B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wyciąga</w:t>
      </w:r>
      <w:r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ją</w:t>
      </w:r>
      <w:r w:rsidR="00DB4C47" w:rsidRPr="00B739B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 tego wnioski – coraz większą część rachunku za pogodę </w:t>
      </w:r>
      <w:r w:rsidR="00DB4C4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powoduje </w:t>
      </w:r>
      <w:r w:rsidR="00DB4C47" w:rsidRPr="00B739B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przestój, który następuje po szkodzie majątkowej.</w:t>
      </w:r>
    </w:p>
    <w:p w14:paraId="09DAFFB3" w14:textId="4DC40282" w:rsidR="00DB4C47" w:rsidRPr="00FE0562" w:rsidRDefault="005157D3" w:rsidP="00DB4C47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5157D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Według danych </w:t>
      </w:r>
      <w:r w:rsidR="00BD226B" w:rsidRPr="005157D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Polskiej Izby Ubezpieczeń</w:t>
      </w:r>
      <w:r w:rsidR="00B75C7E" w:rsidRPr="005157D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2D2F7E" w:rsidRPr="00FE0562">
        <w:rPr>
          <w:rStyle w:val="cf01"/>
          <w:rFonts w:ascii="Aptos" w:hAnsi="Aptos"/>
          <w:sz w:val="24"/>
          <w:szCs w:val="24"/>
        </w:rPr>
        <w:t xml:space="preserve">o IV kwartale 2025 r. wypłaty odszkodowań z ubezpieczeń majątkowych </w:t>
      </w:r>
      <w:r w:rsidR="00BB5EFA">
        <w:rPr>
          <w:rStyle w:val="cf01"/>
          <w:rFonts w:ascii="Aptos" w:hAnsi="Aptos"/>
          <w:sz w:val="24"/>
          <w:szCs w:val="24"/>
        </w:rPr>
        <w:t xml:space="preserve">firm i gospodarstw domowych </w:t>
      </w:r>
      <w:r w:rsidR="002D2F7E" w:rsidRPr="00FE0562">
        <w:rPr>
          <w:rStyle w:val="cf01"/>
          <w:rFonts w:ascii="Aptos" w:hAnsi="Aptos"/>
          <w:sz w:val="24"/>
          <w:szCs w:val="24"/>
        </w:rPr>
        <w:t xml:space="preserve">wyniosły 6,2 mld zł, co oznacza ich wzrost o 0,9% </w:t>
      </w:r>
      <w:r w:rsidR="002D2F7E">
        <w:rPr>
          <w:rStyle w:val="cf01"/>
          <w:rFonts w:ascii="Aptos" w:hAnsi="Aptos"/>
          <w:sz w:val="24"/>
          <w:szCs w:val="24"/>
        </w:rPr>
        <w:t>r/r</w:t>
      </w:r>
      <w:r w:rsidR="002D2F7E" w:rsidRPr="00FE0562">
        <w:rPr>
          <w:rStyle w:val="cf01"/>
          <w:rFonts w:ascii="Aptos" w:hAnsi="Aptos"/>
          <w:sz w:val="24"/>
          <w:szCs w:val="24"/>
        </w:rPr>
        <w:t>. Na wynik ten wpłynęły m.in. wypłaty związane z ubezpieczeniami rolnymi wiosną 2025 r.</w:t>
      </w:r>
      <w:r w:rsidR="00BB5EFA">
        <w:rPr>
          <w:sz w:val="24"/>
          <w:szCs w:val="24"/>
        </w:rPr>
        <w:t xml:space="preserve"> </w:t>
      </w:r>
      <w:r w:rsidR="00DB4C47"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Według Swiss Re tzw. zagrożenia wtórne – w tym gwałtowne burze i powodzie – odpowiadały w 2025 r. za 92</w:t>
      </w:r>
      <w:r w:rsidR="005A481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%</w:t>
      </w:r>
      <w:r w:rsidR="00DB4C47"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strat ubezpieczonych na świecie. Same burze kosztowały ubezpieczycieli 51 mld dolarów, co czyni miniony rok trzecim najdroższym w historii pomiarów tego ryzyka.</w:t>
      </w:r>
    </w:p>
    <w:p w14:paraId="452688BF" w14:textId="2E020B35" w:rsidR="001C7038" w:rsidRPr="00B739B7" w:rsidRDefault="001C7038" w:rsidP="00DB4C4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FE056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Lato 2026 zapowiada się dynamicznie. Prognoza długoterminowa IMGW wskazuje temperatury powyżej normy wieloletniej przy opadach w normie. Taki układ – upał napędzający gwałtowne burze, przerywany lokalnymi nawałnicami – to scenariusz, w którym ryzyko gradobicia i podtopień rośnie z każdym ciepłym dniem. W branży ubezpieczeniowej przygotowujemy się więc na dużą liczbę szkód </w:t>
      </w:r>
      <w:r w:rsidR="00DC0544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o </w:t>
      </w:r>
      <w:r w:rsidR="00024D8D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nieznanych </w:t>
      </w:r>
      <w:r w:rsidRPr="00FE056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rozmiar</w:t>
      </w:r>
      <w:r w:rsidR="00DC0544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ach</w:t>
      </w:r>
      <w:r w:rsidRPr="00FE056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. Trzeba pamiętać, </w:t>
      </w:r>
      <w:r w:rsidR="00DC0544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że </w:t>
      </w:r>
      <w:r w:rsidRPr="00FE0562">
        <w:rPr>
          <w:i/>
          <w:iCs/>
          <w:sz w:val="24"/>
          <w:szCs w:val="24"/>
        </w:rPr>
        <w:t>szkody pogodowe mogą bez trudu sięgać setek tysięcy czy nawet milionów złotych, a jedno zdarzenie może składać się nawet z kilkudziesięciu mniejszych</w:t>
      </w:r>
      <w:r w:rsidRPr="00FE0562">
        <w:rPr>
          <w:sz w:val="24"/>
          <w:szCs w:val="24"/>
        </w:rPr>
        <w:t xml:space="preserve"> – mówi Agata Kozieł, </w:t>
      </w:r>
      <w:r w:rsidR="00FE0562" w:rsidRPr="00FE0562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Dyrektor </w:t>
      </w:r>
      <w:r w:rsidR="00024D8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Zarządzająca ds. </w:t>
      </w:r>
      <w:r w:rsidR="005A481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="00024D8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iznesu korporacyjnego i </w:t>
      </w:r>
      <w:r w:rsidR="005A481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024D8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roduktów </w:t>
      </w:r>
      <w:r w:rsidR="00FE0562" w:rsidRPr="00FE0562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SALTUS Ubezpieczenia</w:t>
      </w:r>
      <w:r w:rsidRPr="00FE0562">
        <w:rPr>
          <w:sz w:val="24"/>
          <w:szCs w:val="24"/>
        </w:rPr>
        <w:t>.</w:t>
      </w:r>
    </w:p>
    <w:p w14:paraId="20E51E03" w14:textId="6C88B05E" w:rsidR="00FC3D5D" w:rsidRPr="00FC3D5D" w:rsidRDefault="001C7038" w:rsidP="00FC3D5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Style w:val="cf01"/>
          <w:rFonts w:ascii="Aptos" w:hAnsi="Aptos"/>
          <w:b/>
          <w:bCs/>
          <w:sz w:val="28"/>
          <w:szCs w:val="28"/>
        </w:rPr>
        <w:t>Przykład szkody złożonej z</w:t>
      </w:r>
      <w:r w:rsidR="00FC3D5D" w:rsidRPr="00FC3D5D">
        <w:rPr>
          <w:rStyle w:val="cf01"/>
          <w:rFonts w:ascii="Aptos" w:hAnsi="Aptos"/>
          <w:b/>
          <w:bCs/>
          <w:sz w:val="28"/>
          <w:szCs w:val="28"/>
        </w:rPr>
        <w:t xml:space="preserve"> kilkudziesięciu zdarzeń</w:t>
      </w:r>
    </w:p>
    <w:p w14:paraId="6E56C5C7" w14:textId="23A092EE" w:rsidR="001C7038" w:rsidRDefault="001C7038" w:rsidP="001C7038">
      <w:pPr>
        <w:jc w:val="both"/>
        <w:rPr>
          <w:sz w:val="24"/>
          <w:szCs w:val="24"/>
        </w:rPr>
      </w:pPr>
      <w:r>
        <w:rPr>
          <w:sz w:val="24"/>
          <w:szCs w:val="24"/>
        </w:rPr>
        <w:t>Eksperci S</w:t>
      </w:r>
      <w:r w:rsidR="004F56F7">
        <w:rPr>
          <w:sz w:val="24"/>
          <w:szCs w:val="24"/>
        </w:rPr>
        <w:t>ALTUS</w:t>
      </w:r>
      <w:r>
        <w:rPr>
          <w:sz w:val="24"/>
          <w:szCs w:val="24"/>
        </w:rPr>
        <w:t xml:space="preserve"> Ubezpieczenia podają przykład tego rodzaju szkody. Doszło do niej w woj. lubuskim, w czasie pierwszej fali czerwcowych burz, przed którymi ostrzegały alerty RCB. Wskutek wichury i ulewnych deszczów szkody w mieniu firmy przemysłowej objęły prawie </w:t>
      </w:r>
      <w:r w:rsidR="008A6CD3" w:rsidRPr="00FE0562">
        <w:rPr>
          <w:sz w:val="24"/>
          <w:szCs w:val="24"/>
        </w:rPr>
        <w:t>30 różnych kategorii zniszczeń</w:t>
      </w:r>
      <w:r>
        <w:rPr>
          <w:sz w:val="24"/>
          <w:szCs w:val="24"/>
        </w:rPr>
        <w:t xml:space="preserve"> –</w:t>
      </w:r>
      <w:r w:rsidR="008A6CD3" w:rsidRPr="00FE0562">
        <w:rPr>
          <w:sz w:val="24"/>
          <w:szCs w:val="24"/>
        </w:rPr>
        <w:t xml:space="preserve"> m.in. zalanie hal</w:t>
      </w:r>
      <w:r w:rsidR="00AF2B55">
        <w:rPr>
          <w:sz w:val="24"/>
          <w:szCs w:val="24"/>
        </w:rPr>
        <w:t xml:space="preserve"> produkcyjnych, magazynów</w:t>
      </w:r>
      <w:r w:rsidR="008A6CD3" w:rsidRPr="00FE0562">
        <w:rPr>
          <w:sz w:val="24"/>
          <w:szCs w:val="24"/>
        </w:rPr>
        <w:t>, zerwanie dachu, przewrócenie drzew (w tym na budynki), uszkodzenie ogrodze</w:t>
      </w:r>
      <w:r w:rsidR="00AF2B55">
        <w:rPr>
          <w:sz w:val="24"/>
          <w:szCs w:val="24"/>
        </w:rPr>
        <w:t>nia</w:t>
      </w:r>
      <w:r w:rsidR="008A6CD3" w:rsidRPr="00FE0562">
        <w:rPr>
          <w:sz w:val="24"/>
          <w:szCs w:val="24"/>
        </w:rPr>
        <w:t xml:space="preserve"> czy wyrwanie bram</w:t>
      </w:r>
      <w:r w:rsidR="00AF2B55">
        <w:rPr>
          <w:sz w:val="24"/>
          <w:szCs w:val="24"/>
        </w:rPr>
        <w:t>y</w:t>
      </w:r>
      <w:r w:rsidR="008A6CD3" w:rsidRPr="00FE05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1901E31" w14:textId="608E7573" w:rsidR="00DB4C47" w:rsidRPr="00FE0562" w:rsidRDefault="001C7038" w:rsidP="001C7038">
      <w:pPr>
        <w:jc w:val="both"/>
        <w:rPr>
          <w:i/>
          <w:iCs/>
          <w:sz w:val="24"/>
          <w:szCs w:val="24"/>
          <w:lang w:eastAsia="pl-PL"/>
        </w:rPr>
      </w:pPr>
      <w:r>
        <w:rPr>
          <w:sz w:val="24"/>
          <w:szCs w:val="24"/>
        </w:rPr>
        <w:t xml:space="preserve">- </w:t>
      </w:r>
      <w:r w:rsidR="00E206E8" w:rsidRPr="00DC0544">
        <w:rPr>
          <w:i/>
          <w:iCs/>
          <w:sz w:val="24"/>
          <w:szCs w:val="24"/>
        </w:rPr>
        <w:t>T</w:t>
      </w:r>
      <w:r w:rsidR="00DC0544">
        <w:rPr>
          <w:i/>
          <w:iCs/>
          <w:sz w:val="24"/>
          <w:szCs w:val="24"/>
        </w:rPr>
        <w:t>o świeży, ale nie</w:t>
      </w:r>
      <w:r w:rsidR="00952472" w:rsidRPr="00DC0544">
        <w:rPr>
          <w:i/>
          <w:iCs/>
          <w:sz w:val="24"/>
          <w:szCs w:val="24"/>
        </w:rPr>
        <w:t xml:space="preserve"> odosobniony</w:t>
      </w:r>
      <w:r w:rsidR="00E206E8" w:rsidRPr="00DC0544">
        <w:rPr>
          <w:i/>
          <w:iCs/>
          <w:sz w:val="24"/>
          <w:szCs w:val="24"/>
        </w:rPr>
        <w:t xml:space="preserve"> </w:t>
      </w:r>
      <w:r w:rsidR="00DC0544">
        <w:rPr>
          <w:i/>
          <w:iCs/>
          <w:sz w:val="24"/>
          <w:szCs w:val="24"/>
        </w:rPr>
        <w:t xml:space="preserve">przykład, bo </w:t>
      </w:r>
      <w:r w:rsidR="00E206E8" w:rsidRPr="00DC0544">
        <w:rPr>
          <w:i/>
          <w:iCs/>
          <w:sz w:val="24"/>
          <w:szCs w:val="24"/>
        </w:rPr>
        <w:t xml:space="preserve">taki </w:t>
      </w:r>
      <w:r w:rsidR="00952472" w:rsidRPr="00DC0544">
        <w:rPr>
          <w:i/>
          <w:iCs/>
          <w:sz w:val="24"/>
          <w:szCs w:val="24"/>
        </w:rPr>
        <w:t>scenariusz</w:t>
      </w:r>
      <w:r w:rsidR="00E206E8" w:rsidRPr="00DC0544">
        <w:rPr>
          <w:i/>
          <w:iCs/>
          <w:sz w:val="24"/>
          <w:szCs w:val="24"/>
        </w:rPr>
        <w:t xml:space="preserve"> </w:t>
      </w:r>
      <w:r w:rsidR="005825F4">
        <w:rPr>
          <w:i/>
          <w:iCs/>
          <w:sz w:val="24"/>
          <w:szCs w:val="24"/>
        </w:rPr>
        <w:t>zdarza się coraz częściej</w:t>
      </w:r>
      <w:r w:rsidR="00952472" w:rsidRPr="00DC0544">
        <w:rPr>
          <w:i/>
          <w:iCs/>
          <w:sz w:val="24"/>
          <w:szCs w:val="24"/>
        </w:rPr>
        <w:t xml:space="preserve">. </w:t>
      </w:r>
      <w:r w:rsidR="00DC0544">
        <w:rPr>
          <w:i/>
          <w:iCs/>
          <w:sz w:val="24"/>
          <w:szCs w:val="24"/>
        </w:rPr>
        <w:t xml:space="preserve">Zauważamy, że </w:t>
      </w:r>
      <w:r w:rsidR="00DC0544">
        <w:rPr>
          <w:i/>
          <w:iCs/>
          <w:sz w:val="24"/>
          <w:szCs w:val="24"/>
          <w:lang w:eastAsia="pl-PL"/>
        </w:rPr>
        <w:t>p</w:t>
      </w:r>
      <w:r w:rsidR="00DB4C47" w:rsidRPr="00DC0544">
        <w:rPr>
          <w:i/>
          <w:iCs/>
          <w:sz w:val="24"/>
          <w:szCs w:val="24"/>
          <w:lang w:eastAsia="pl-PL"/>
        </w:rPr>
        <w:t xml:space="preserve">o doświadczeniach ostatnich dwóch lat </w:t>
      </w:r>
      <w:r w:rsidR="00024D8D">
        <w:rPr>
          <w:i/>
          <w:iCs/>
          <w:sz w:val="24"/>
          <w:szCs w:val="24"/>
          <w:lang w:eastAsia="pl-PL"/>
        </w:rPr>
        <w:t xml:space="preserve">przedsiębiorstwa </w:t>
      </w:r>
      <w:r w:rsidR="00DB4C47" w:rsidRPr="00DC0544">
        <w:rPr>
          <w:i/>
          <w:iCs/>
          <w:sz w:val="24"/>
          <w:szCs w:val="24"/>
          <w:lang w:eastAsia="pl-PL"/>
        </w:rPr>
        <w:t>przesta</w:t>
      </w:r>
      <w:r w:rsidR="00024D8D">
        <w:rPr>
          <w:i/>
          <w:iCs/>
          <w:sz w:val="24"/>
          <w:szCs w:val="24"/>
          <w:lang w:eastAsia="pl-PL"/>
        </w:rPr>
        <w:t>ły</w:t>
      </w:r>
      <w:r w:rsidR="00DB4C47" w:rsidRPr="00DC0544">
        <w:rPr>
          <w:i/>
          <w:iCs/>
          <w:sz w:val="24"/>
          <w:szCs w:val="24"/>
          <w:lang w:eastAsia="pl-PL"/>
        </w:rPr>
        <w:t xml:space="preserve"> traktować ryzyka pogodowe jako coś mniej ważnego</w:t>
      </w:r>
      <w:r w:rsidR="00024D8D">
        <w:rPr>
          <w:i/>
          <w:iCs/>
          <w:sz w:val="24"/>
          <w:szCs w:val="24"/>
          <w:lang w:eastAsia="pl-PL"/>
        </w:rPr>
        <w:t xml:space="preserve"> w kontekście innych </w:t>
      </w:r>
      <w:proofErr w:type="spellStart"/>
      <w:r w:rsidR="00024D8D">
        <w:rPr>
          <w:i/>
          <w:iCs/>
          <w:sz w:val="24"/>
          <w:szCs w:val="24"/>
          <w:lang w:eastAsia="pl-PL"/>
        </w:rPr>
        <w:t>ryzyk</w:t>
      </w:r>
      <w:proofErr w:type="spellEnd"/>
      <w:r w:rsidR="00024D8D">
        <w:rPr>
          <w:i/>
          <w:iCs/>
          <w:sz w:val="24"/>
          <w:szCs w:val="24"/>
          <w:lang w:eastAsia="pl-PL"/>
        </w:rPr>
        <w:t xml:space="preserve"> wynikających wprost z prowadzonej działalności gospodarczej, jak na przykład pożar czy wybuch</w:t>
      </w:r>
      <w:r w:rsidR="00DB4C47" w:rsidRPr="00DC0544">
        <w:rPr>
          <w:i/>
          <w:iCs/>
          <w:sz w:val="24"/>
          <w:szCs w:val="24"/>
          <w:lang w:eastAsia="pl-PL"/>
        </w:rPr>
        <w:t xml:space="preserve">. </w:t>
      </w:r>
      <w:r w:rsidR="00024D8D">
        <w:rPr>
          <w:i/>
          <w:iCs/>
          <w:sz w:val="24"/>
          <w:szCs w:val="24"/>
          <w:lang w:eastAsia="pl-PL"/>
        </w:rPr>
        <w:t>Wnioskują o konkretne definicje zdarzeń, p</w:t>
      </w:r>
      <w:r w:rsidR="00DB4C47" w:rsidRPr="00DC0544">
        <w:rPr>
          <w:i/>
          <w:iCs/>
          <w:sz w:val="24"/>
          <w:szCs w:val="24"/>
          <w:lang w:eastAsia="pl-PL"/>
        </w:rPr>
        <w:t>ytają o limity</w:t>
      </w:r>
      <w:r w:rsidR="00024D8D">
        <w:rPr>
          <w:i/>
          <w:iCs/>
          <w:sz w:val="24"/>
          <w:szCs w:val="24"/>
          <w:lang w:eastAsia="pl-PL"/>
        </w:rPr>
        <w:t xml:space="preserve"> i </w:t>
      </w:r>
      <w:r w:rsidR="00DB4C47" w:rsidRPr="00DC0544">
        <w:rPr>
          <w:i/>
          <w:iCs/>
          <w:sz w:val="24"/>
          <w:szCs w:val="24"/>
          <w:lang w:eastAsia="pl-PL"/>
        </w:rPr>
        <w:t>franszyzy</w:t>
      </w:r>
      <w:r w:rsidR="00296C25" w:rsidRPr="00DC0544">
        <w:rPr>
          <w:i/>
          <w:iCs/>
          <w:sz w:val="24"/>
          <w:szCs w:val="24"/>
          <w:lang w:eastAsia="pl-PL"/>
        </w:rPr>
        <w:t xml:space="preserve">, </w:t>
      </w:r>
      <w:r w:rsidR="00DB4C47" w:rsidRPr="00DC0544">
        <w:rPr>
          <w:i/>
          <w:iCs/>
          <w:sz w:val="24"/>
          <w:szCs w:val="24"/>
          <w:lang w:eastAsia="pl-PL"/>
        </w:rPr>
        <w:t xml:space="preserve">to zupełnie inna rozmowa niż jeszcze </w:t>
      </w:r>
      <w:r w:rsidR="00024D8D">
        <w:rPr>
          <w:i/>
          <w:iCs/>
          <w:sz w:val="24"/>
          <w:szCs w:val="24"/>
          <w:lang w:eastAsia="pl-PL"/>
        </w:rPr>
        <w:t xml:space="preserve">dekadę </w:t>
      </w:r>
      <w:r w:rsidR="00DB4C47" w:rsidRPr="00DC0544">
        <w:rPr>
          <w:i/>
          <w:iCs/>
          <w:sz w:val="24"/>
          <w:szCs w:val="24"/>
          <w:lang w:eastAsia="pl-PL"/>
        </w:rPr>
        <w:t>temu</w:t>
      </w:r>
      <w:r w:rsidR="00DC0544">
        <w:rPr>
          <w:i/>
          <w:iCs/>
          <w:sz w:val="24"/>
          <w:szCs w:val="24"/>
          <w:lang w:eastAsia="pl-PL"/>
        </w:rPr>
        <w:t xml:space="preserve"> </w:t>
      </w:r>
      <w:r w:rsidR="00DC0544">
        <w:rPr>
          <w:sz w:val="24"/>
          <w:szCs w:val="24"/>
          <w:lang w:eastAsia="pl-PL"/>
        </w:rPr>
        <w:t>– dodaje Agata Kozieł.</w:t>
      </w:r>
    </w:p>
    <w:p w14:paraId="00E2FF11" w14:textId="77777777" w:rsidR="00DB4C47" w:rsidRPr="00903E60" w:rsidRDefault="00DB4C47" w:rsidP="00DB4C4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903E60">
        <w:rPr>
          <w:rFonts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Place składowe i instalacje pod lupą</w:t>
      </w:r>
    </w:p>
    <w:p w14:paraId="1F5FEAAC" w14:textId="3B2C5D2C" w:rsidR="00DB4C47" w:rsidRPr="00B739B7" w:rsidRDefault="00DB4C47" w:rsidP="00DB4C4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Zmiana podejścia widoczna jest przede wszystkim w polityce zabezpieczania mienia. Firmy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robią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przegląd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tego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, co przez lata </w:t>
      </w:r>
      <w:r w:rsidR="006B276F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często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pozostawało poza </w:t>
      </w:r>
      <w:r w:rsidR="004C4FF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głównym </w:t>
      </w:r>
      <w:r w:rsidR="00A7588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obszarem ich zainteresowania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024D8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przeglądy obiektów budowlanych, instalacji elektrycznej i piorunochronnej, </w:t>
      </w:r>
      <w:r w:rsidR="00DF645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namiotów i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towar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na placach składowych, instalacj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fotowoltaiczn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ych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na dachach. Powód </w:t>
      </w:r>
      <w:r w:rsidR="006B276F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tych działań </w:t>
      </w:r>
      <w:r w:rsidR="00024D8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wynika </w:t>
      </w:r>
      <w:r w:rsidR="00B064EF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z praktyki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– mienie przechowywane </w:t>
      </w:r>
      <w:r w:rsidR="00DF645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pod tzw. chmurką albo w namiotach znajdujących się na placu zazwyczaj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wymaga odrębnego uzgodnienia w umowie ubezpieczenia, a niedopilnowanie tego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faktu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wychodzi na jaw dopiero po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zdarzeniu w postaci np.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gradobici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DF645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czy huraganu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DBA8481" w14:textId="0BE96EF3" w:rsidR="00DB4C47" w:rsidRPr="00B739B7" w:rsidRDefault="00DB4C47" w:rsidP="00DB4C4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Ubezpieczyciel</w:t>
      </w:r>
      <w:r w:rsidR="001D7F4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DF645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z którym klient wiąże się na lata</w:t>
      </w:r>
      <w:r w:rsidR="001D7F4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coraz częściej premiuj</w:t>
      </w:r>
      <w:r w:rsidR="00DF645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konkretne działania prewencyjne</w:t>
      </w:r>
      <w:r w:rsidR="00DF6451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w postaci dofinansowania z funduszu prewencyjnego.</w:t>
      </w:r>
    </w:p>
    <w:p w14:paraId="377A1ACC" w14:textId="77777777" w:rsidR="00DB4C47" w:rsidRPr="00443012" w:rsidRDefault="00DB4C47" w:rsidP="00DB4C4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43012">
        <w:rPr>
          <w:rFonts w:eastAsia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Przestój kosztuje więcej niż dach</w:t>
      </w:r>
    </w:p>
    <w:p w14:paraId="6262E2AB" w14:textId="3F8A7E57" w:rsidR="00DB4C47" w:rsidRPr="00B739B7" w:rsidRDefault="00DB4C47" w:rsidP="00DB4C4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Drugą lekcją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, jaką f</w:t>
      </w:r>
      <w:r w:rsidR="0088060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i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rmy wyciągnęły z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ostatnich sezonów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jest rosnąca świadomość ryzyka przerwy w działalności. Zerwany dach hali produkcyjnej to wydatek policzalny w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kosztorysie. Trudniej </w:t>
      </w:r>
      <w:r w:rsidR="003B5D99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policzyć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tygodnie postoju linii, kary za niezrealizowane kontrakty i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 straconych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klientów, którzy w tym czasie odeszli do konkurencji.</w:t>
      </w:r>
    </w:p>
    <w:p w14:paraId="069E9CCE" w14:textId="2B72D1FA" w:rsidR="00DB4C47" w:rsidRPr="00B739B7" w:rsidRDefault="00DB4C47" w:rsidP="00DB4C4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6157C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– W rozmowach z brokerami obserwujemy wyraźny wzrost zainteresowania ubezpieczeniem utraty zysku</w:t>
      </w:r>
      <w:r w:rsidR="00DF6451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wynikającego z przerwy w prowadzonej działalności</w:t>
      </w:r>
      <w:r w:rsidRPr="006157C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. Przedsiębiorcy zrozumieli, że odszkodowanie za mienie odbudowuje halę, ale nie odbudowuje </w:t>
      </w:r>
      <w:r w:rsidR="00DF6451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utraconego przychodu ani stałych kosztów działalności, które firma ponosi mimo przerwy</w:t>
      </w:r>
      <w:r w:rsidRPr="006157C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. Polisa business </w:t>
      </w:r>
      <w:proofErr w:type="spellStart"/>
      <w:r w:rsidRPr="006157C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interruption</w:t>
      </w:r>
      <w:proofErr w:type="spellEnd"/>
      <w:r w:rsidRPr="006157C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domyka ten rachunek – chroni przewidywany zysk brutto i </w:t>
      </w:r>
      <w:r w:rsidR="00DF6451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coraz częściej </w:t>
      </w:r>
      <w:r w:rsidRPr="006157C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pokrywa zwiększone koszty działalności w </w:t>
      </w:r>
      <w:r w:rsidR="00DF6451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ustalonym </w:t>
      </w:r>
      <w:r w:rsidRPr="006157C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okresie odtwarzania firmy po szkodzie</w:t>
      </w:r>
      <w:r w:rsidR="005749F5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B739B7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– dodaje Agata Kozieł.</w:t>
      </w:r>
    </w:p>
    <w:p w14:paraId="466AC3F0" w14:textId="714F6CBE" w:rsidR="00032035" w:rsidRPr="00805BDE" w:rsidRDefault="00032035" w:rsidP="00032035">
      <w:pPr>
        <w:rPr>
          <w:sz w:val="24"/>
          <w:szCs w:val="24"/>
        </w:rPr>
      </w:pPr>
    </w:p>
    <w:sectPr w:rsidR="00032035" w:rsidRPr="00805BDE" w:rsidSect="0018506A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6717"/>
    <w:multiLevelType w:val="hybridMultilevel"/>
    <w:tmpl w:val="3E0A5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47"/>
    <w:rsid w:val="00000B1D"/>
    <w:rsid w:val="00014632"/>
    <w:rsid w:val="00024D8D"/>
    <w:rsid w:val="00032035"/>
    <w:rsid w:val="00043036"/>
    <w:rsid w:val="00075F64"/>
    <w:rsid w:val="00090B36"/>
    <w:rsid w:val="000A414C"/>
    <w:rsid w:val="000A468C"/>
    <w:rsid w:val="000C57CC"/>
    <w:rsid w:val="000D34BA"/>
    <w:rsid w:val="001230FA"/>
    <w:rsid w:val="0016344B"/>
    <w:rsid w:val="001674CB"/>
    <w:rsid w:val="0018506A"/>
    <w:rsid w:val="001C7038"/>
    <w:rsid w:val="001D7F44"/>
    <w:rsid w:val="001E3F97"/>
    <w:rsid w:val="00231FD9"/>
    <w:rsid w:val="00287BBB"/>
    <w:rsid w:val="00296C25"/>
    <w:rsid w:val="002A2B18"/>
    <w:rsid w:val="002D2F7E"/>
    <w:rsid w:val="002E0E4C"/>
    <w:rsid w:val="002F0F92"/>
    <w:rsid w:val="003153FD"/>
    <w:rsid w:val="00321F2B"/>
    <w:rsid w:val="003463F3"/>
    <w:rsid w:val="00373083"/>
    <w:rsid w:val="003A251B"/>
    <w:rsid w:val="003B5D99"/>
    <w:rsid w:val="00487C23"/>
    <w:rsid w:val="004C4FFD"/>
    <w:rsid w:val="004C7A95"/>
    <w:rsid w:val="004E314F"/>
    <w:rsid w:val="004F1A6A"/>
    <w:rsid w:val="004F56F7"/>
    <w:rsid w:val="00513758"/>
    <w:rsid w:val="005157D3"/>
    <w:rsid w:val="00573B77"/>
    <w:rsid w:val="005749F5"/>
    <w:rsid w:val="005825F4"/>
    <w:rsid w:val="005A4815"/>
    <w:rsid w:val="00666D14"/>
    <w:rsid w:val="00673D9E"/>
    <w:rsid w:val="0069288A"/>
    <w:rsid w:val="006B276F"/>
    <w:rsid w:val="006C0BD9"/>
    <w:rsid w:val="00735BA2"/>
    <w:rsid w:val="00761D69"/>
    <w:rsid w:val="007A1C70"/>
    <w:rsid w:val="007B25C9"/>
    <w:rsid w:val="007C02A4"/>
    <w:rsid w:val="007D32B6"/>
    <w:rsid w:val="00805BDE"/>
    <w:rsid w:val="00820740"/>
    <w:rsid w:val="00844072"/>
    <w:rsid w:val="00876232"/>
    <w:rsid w:val="00876F10"/>
    <w:rsid w:val="00880606"/>
    <w:rsid w:val="008A6CD3"/>
    <w:rsid w:val="008B701C"/>
    <w:rsid w:val="008C4FE2"/>
    <w:rsid w:val="008D0386"/>
    <w:rsid w:val="00900A01"/>
    <w:rsid w:val="009142F6"/>
    <w:rsid w:val="00934EB8"/>
    <w:rsid w:val="00952472"/>
    <w:rsid w:val="0095716D"/>
    <w:rsid w:val="00975FAE"/>
    <w:rsid w:val="009A0232"/>
    <w:rsid w:val="009B3032"/>
    <w:rsid w:val="009E03AF"/>
    <w:rsid w:val="00A13544"/>
    <w:rsid w:val="00A23013"/>
    <w:rsid w:val="00A26B24"/>
    <w:rsid w:val="00A407F2"/>
    <w:rsid w:val="00A43E78"/>
    <w:rsid w:val="00A5521C"/>
    <w:rsid w:val="00A75887"/>
    <w:rsid w:val="00A81114"/>
    <w:rsid w:val="00A85805"/>
    <w:rsid w:val="00AC3DC9"/>
    <w:rsid w:val="00AD3FD5"/>
    <w:rsid w:val="00AE0284"/>
    <w:rsid w:val="00AF19FB"/>
    <w:rsid w:val="00AF2B55"/>
    <w:rsid w:val="00B064EF"/>
    <w:rsid w:val="00B728E2"/>
    <w:rsid w:val="00B75C7E"/>
    <w:rsid w:val="00B85675"/>
    <w:rsid w:val="00B90793"/>
    <w:rsid w:val="00BB5EFA"/>
    <w:rsid w:val="00BD226B"/>
    <w:rsid w:val="00C57604"/>
    <w:rsid w:val="00C64B97"/>
    <w:rsid w:val="00CE3E22"/>
    <w:rsid w:val="00D26170"/>
    <w:rsid w:val="00D44BAE"/>
    <w:rsid w:val="00D62700"/>
    <w:rsid w:val="00D63978"/>
    <w:rsid w:val="00D70BB5"/>
    <w:rsid w:val="00DB4C47"/>
    <w:rsid w:val="00DC0544"/>
    <w:rsid w:val="00DF6451"/>
    <w:rsid w:val="00E049EB"/>
    <w:rsid w:val="00E206E8"/>
    <w:rsid w:val="00E37B3D"/>
    <w:rsid w:val="00ED48F9"/>
    <w:rsid w:val="00F04CA1"/>
    <w:rsid w:val="00F06161"/>
    <w:rsid w:val="00F50F21"/>
    <w:rsid w:val="00F72860"/>
    <w:rsid w:val="00F83F06"/>
    <w:rsid w:val="00FC3C8D"/>
    <w:rsid w:val="00FC3D5D"/>
    <w:rsid w:val="00FE0562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51C4"/>
  <w15:chartTrackingRefBased/>
  <w15:docId w15:val="{7B2D2CE0-D127-4905-9175-BCB029A9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ahoma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autoRedefine/>
    <w:uiPriority w:val="9"/>
    <w:qFormat/>
    <w:rsid w:val="000C57CC"/>
    <w:pPr>
      <w:spacing w:before="100" w:beforeAutospacing="1" w:after="100" w:afterAutospacing="1" w:line="240" w:lineRule="auto"/>
      <w:outlineLvl w:val="1"/>
    </w:pPr>
    <w:rPr>
      <w:rFonts w:ascii="Roboto" w:eastAsia="Times New Roman" w:hAnsi="Roboto" w:cs="Segoe UI"/>
      <w:bCs/>
      <w:color w:val="156082" w:themeColor="accent1"/>
      <w:sz w:val="2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A2B18"/>
    <w:pPr>
      <w:spacing w:before="100" w:beforeAutospacing="1" w:after="100" w:afterAutospacing="1" w:line="240" w:lineRule="auto"/>
      <w:outlineLvl w:val="2"/>
    </w:pPr>
    <w:rPr>
      <w:rFonts w:ascii="Roboto" w:eastAsia="Times New Roman" w:hAnsi="Roboto" w:cs="Times New Roman"/>
      <w:bCs/>
      <w:color w:val="156082" w:themeColor="accent1"/>
      <w:kern w:val="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C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C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C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C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C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C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A2B18"/>
    <w:rPr>
      <w:rFonts w:ascii="Roboto" w:eastAsia="Times New Roman" w:hAnsi="Roboto" w:cs="Times New Roman"/>
      <w:bCs/>
      <w:color w:val="156082" w:themeColor="accent1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C57CC"/>
    <w:rPr>
      <w:rFonts w:ascii="Roboto" w:eastAsia="Times New Roman" w:hAnsi="Roboto" w:cs="Segoe UI"/>
      <w:bCs/>
      <w:color w:val="156082" w:themeColor="accent1"/>
      <w:sz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C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C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C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C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C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C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C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C47"/>
    <w:rPr>
      <w:b/>
      <w:bCs/>
      <w:smallCaps/>
      <w:color w:val="0F4761" w:themeColor="accent1" w:themeShade="BF"/>
      <w:spacing w:val="5"/>
    </w:rPr>
  </w:style>
  <w:style w:type="character" w:styleId="HTML-cytat">
    <w:name w:val="HTML Cite"/>
    <w:basedOn w:val="Domylnaczcionkaakapitu"/>
    <w:uiPriority w:val="99"/>
    <w:semiHidden/>
    <w:unhideWhenUsed/>
    <w:rsid w:val="00805BD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4E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4E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EB8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231F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0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1C7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453B-0975-4730-8D55-B770367D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24</cp:revision>
  <dcterms:created xsi:type="dcterms:W3CDTF">2026-06-26T12:12:00Z</dcterms:created>
  <dcterms:modified xsi:type="dcterms:W3CDTF">2026-07-01T08:11:00Z</dcterms:modified>
</cp:coreProperties>
</file>