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5C8B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1BE139A8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2A6DB0DC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4D269EB2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5DA2E409" w14:textId="77777777" w:rsidR="0014706A" w:rsidRPr="00097188" w:rsidRDefault="0014706A" w:rsidP="00097188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24"/>
          <w:szCs w:val="24"/>
        </w:rPr>
      </w:pPr>
    </w:p>
    <w:p w14:paraId="3E63287D" w14:textId="1203B7FD" w:rsidR="006E20C2" w:rsidRDefault="006E20C2" w:rsidP="00097188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24"/>
          <w:szCs w:val="24"/>
        </w:rPr>
      </w:pPr>
      <w:r w:rsidRPr="00097188">
        <w:rPr>
          <w:rFonts w:ascii="MMC OFFICE" w:hAnsi="MMC OFFICE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F7F26C8" wp14:editId="1EF84A7A">
                <wp:simplePos x="0" y="0"/>
                <wp:positionH relativeFrom="column">
                  <wp:posOffset>4445</wp:posOffset>
                </wp:positionH>
                <wp:positionV relativeFrom="paragraph">
                  <wp:posOffset>355600</wp:posOffset>
                </wp:positionV>
                <wp:extent cx="5581650" cy="27305"/>
                <wp:effectExtent l="0" t="0" r="635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7305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30BA57" w14:textId="77777777" w:rsidR="0014706A" w:rsidRDefault="0014706A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-17640" bIns="-176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F26C8" id="shape_0" o:spid="_x0000_s1026" style="position:absolute;left:0;text-align:left;margin-left:.35pt;margin-top:28pt;width:439.5pt;height:2.1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" fillcolor="#ed0000" stroked="f" strokeweight="0">
                <v:textbox inset=",-.49mm,,-.49mm">
                  <w:txbxContent>
                    <w:p w14:paraId="6F30BA57" w14:textId="77777777" w:rsidR="0014706A" w:rsidRDefault="0014706A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97188" w:rsidRPr="00097188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 xml:space="preserve">MITSUBISHI GRANDIS ZASILA FLOTĘ WYPOŻYCZALNI ONE RENT – </w:t>
      </w:r>
      <w:r w:rsidR="0057303F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>25</w:t>
      </w:r>
      <w:r w:rsidR="00097188" w:rsidRPr="00097188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 xml:space="preserve"> NOWYCH SUV-ÓW DLA KLIENTÓW SIECI</w:t>
      </w:r>
    </w:p>
    <w:p w14:paraId="5E0B4AE1" w14:textId="73C5BBED" w:rsidR="00BE2546" w:rsidRDefault="00BE2546" w:rsidP="00BE2546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18"/>
          <w:szCs w:val="18"/>
        </w:rPr>
      </w:pPr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Astara, oficjalny przedstawiciel Mitsubishi Motors w Polsce,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zrealizował wspólnie ze swoim autoryzowanym dealerem </w:t>
      </w:r>
      <w:r w:rsidR="006F68B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Mitsubishi </w:t>
      </w:r>
      <w:r w:rsidR="006B7129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PGD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</w:t>
      </w:r>
      <w:r w:rsidR="006F68B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Toruńska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kolejne </w:t>
      </w:r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duże zamówieni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e</w:t>
      </w:r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flotowe dla branży rent-a-car. Po niedawnym zakupie modeli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ASX</w:t>
      </w:r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przez wypożyczalnię </w:t>
      </w:r>
      <w:proofErr w:type="spellStart"/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Sixt</w:t>
      </w:r>
      <w:proofErr w:type="spellEnd"/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, na współpracę z marką Mitsubishi zdecydowała się również firma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One Rent</w:t>
      </w:r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. Do floty wypożyczalni trafiło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25</w:t>
      </w:r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egzemplarzy Mitsubishi </w:t>
      </w:r>
      <w:proofErr w:type="spellStart"/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Grandis</w:t>
      </w:r>
      <w:proofErr w:type="spellEnd"/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w wersji 1.3T DCT7 </w:t>
      </w:r>
      <w:proofErr w:type="spellStart"/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Intense</w:t>
      </w:r>
      <w:proofErr w:type="spellEnd"/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z pakietami Style i </w:t>
      </w:r>
      <w:proofErr w:type="spellStart"/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Cold</w:t>
      </w:r>
      <w:proofErr w:type="spellEnd"/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. P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ojazdy zasiliły flotę wypożyczalni, poszerzając ofertę nowoczesnych i przestronnych SUV-ów dostępnych dla klientów indywidualnych oraz biznesowych.</w:t>
      </w:r>
    </w:p>
    <w:p w14:paraId="108E9684" w14:textId="2F810DE2" w:rsidR="00097188" w:rsidRPr="00097188" w:rsidRDefault="00097188" w:rsidP="00097188">
      <w:pPr>
        <w:spacing w:after="240"/>
        <w:jc w:val="both"/>
        <w:rPr>
          <w:rFonts w:ascii="MMC OFFICE" w:hAnsi="MMC OFFICE"/>
          <w:color w:val="000000"/>
          <w:sz w:val="18"/>
          <w:szCs w:val="18"/>
        </w:rPr>
      </w:pPr>
      <w:r w:rsidRPr="00097188">
        <w:rPr>
          <w:rFonts w:ascii="MMC OFFICE" w:hAnsi="MMC OFFICE"/>
          <w:color w:val="000000"/>
          <w:sz w:val="18"/>
          <w:szCs w:val="18"/>
        </w:rPr>
        <w:t xml:space="preserve">Zakup nowego Mitsubishi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Grandis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przez One Rent potwierdza rosnące zainteresowanie klientów flotowych modelami marki Mitsubishi Motors. W przypadku firm zajmujących się wynajmem samochodów szczególne znaczenie mają niezawodność, </w:t>
      </w:r>
      <w:r w:rsidR="00FC25DF">
        <w:rPr>
          <w:rFonts w:ascii="MMC OFFICE" w:hAnsi="MMC OFFICE"/>
          <w:color w:val="000000"/>
          <w:sz w:val="18"/>
          <w:szCs w:val="18"/>
        </w:rPr>
        <w:t xml:space="preserve">wartość rezydualna, </w:t>
      </w:r>
      <w:r w:rsidRPr="00097188">
        <w:rPr>
          <w:rFonts w:ascii="MMC OFFICE" w:hAnsi="MMC OFFICE"/>
          <w:color w:val="000000"/>
          <w:sz w:val="18"/>
          <w:szCs w:val="18"/>
        </w:rPr>
        <w:t xml:space="preserve">komfort użytkowania, nowoczesne wyposażenie oraz atrakcyjne koszty eksploatacji – cechy, które nowy </w:t>
      </w:r>
      <w:r w:rsidR="00356504">
        <w:rPr>
          <w:rFonts w:ascii="MMC OFFICE" w:hAnsi="MMC OFFICE"/>
          <w:color w:val="000000"/>
          <w:sz w:val="18"/>
          <w:szCs w:val="18"/>
        </w:rPr>
        <w:t xml:space="preserve">Mitsubishi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Grandis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łączy w jednym modelu.</w:t>
      </w:r>
    </w:p>
    <w:p w14:paraId="4930F276" w14:textId="77777777" w:rsidR="00097188" w:rsidRPr="00097188" w:rsidRDefault="00097188" w:rsidP="00097188">
      <w:pPr>
        <w:spacing w:after="240"/>
        <w:jc w:val="both"/>
        <w:rPr>
          <w:rFonts w:ascii="MMC OFFICE" w:hAnsi="MMC OFFICE"/>
          <w:color w:val="000000"/>
          <w:sz w:val="18"/>
          <w:szCs w:val="18"/>
        </w:rPr>
      </w:pPr>
      <w:r w:rsidRPr="00097188">
        <w:rPr>
          <w:rFonts w:ascii="MMC OFFICE" w:hAnsi="MMC OFFICE"/>
          <w:color w:val="000000"/>
          <w:sz w:val="18"/>
          <w:szCs w:val="18"/>
        </w:rPr>
        <w:t>Transakcja została zrealizowana w ramach programu sprzedaży flotowej Mitsubishi Motors, który oferuje klientom biznesowym indywidualnie kalkulowane warunki handlowe, w tym atrakcyjne rabaty flotowe oraz dedykowane rozwiązania finansowe.</w:t>
      </w:r>
    </w:p>
    <w:p w14:paraId="75D26EA8" w14:textId="2ED65AC2" w:rsidR="00097188" w:rsidRPr="00097188" w:rsidRDefault="001B2329" w:rsidP="00097188">
      <w:pPr>
        <w:spacing w:after="240"/>
        <w:jc w:val="both"/>
        <w:rPr>
          <w:rFonts w:ascii="MMC OFFICE" w:hAnsi="MMC OFFICE"/>
          <w:color w:val="000000"/>
          <w:sz w:val="18"/>
          <w:szCs w:val="18"/>
        </w:rPr>
      </w:pPr>
      <w:r>
        <w:rPr>
          <w:rFonts w:ascii="MMC OFFICE" w:hAnsi="MMC OFFICE"/>
          <w:i/>
          <w:iCs/>
          <w:color w:val="000000"/>
          <w:sz w:val="18"/>
          <w:szCs w:val="18"/>
        </w:rPr>
        <w:t xml:space="preserve">- </w:t>
      </w:r>
      <w:r w:rsidRPr="00C038BE">
        <w:rPr>
          <w:rFonts w:ascii="MMC OFFICE" w:hAnsi="MMC OFFICE"/>
          <w:i/>
          <w:iCs/>
          <w:color w:val="000000"/>
          <w:sz w:val="18"/>
          <w:szCs w:val="18"/>
        </w:rPr>
        <w:t xml:space="preserve">Bardzo cieszy nas fakt, że po </w:t>
      </w:r>
      <w:proofErr w:type="spellStart"/>
      <w:r w:rsidRPr="00C038BE">
        <w:rPr>
          <w:rFonts w:ascii="MMC OFFICE" w:hAnsi="MMC OFFICE"/>
          <w:i/>
          <w:iCs/>
          <w:color w:val="000000"/>
          <w:sz w:val="18"/>
          <w:szCs w:val="18"/>
        </w:rPr>
        <w:t>Sixt</w:t>
      </w:r>
      <w:proofErr w:type="spellEnd"/>
      <w:r w:rsidRPr="00C038BE">
        <w:rPr>
          <w:rFonts w:ascii="MMC OFFICE" w:hAnsi="MMC OFFICE"/>
          <w:i/>
          <w:iCs/>
          <w:color w:val="000000"/>
          <w:sz w:val="18"/>
          <w:szCs w:val="18"/>
        </w:rPr>
        <w:t xml:space="preserve"> również One Rent zdecydował się na włączenie modeli Mitsubishi do swojej floty</w:t>
      </w:r>
      <w:r>
        <w:rPr>
          <w:rFonts w:ascii="MMC OFFICE" w:hAnsi="MMC OFFICE"/>
          <w:i/>
          <w:iCs/>
          <w:color w:val="000000"/>
          <w:sz w:val="18"/>
          <w:szCs w:val="18"/>
        </w:rPr>
        <w:t xml:space="preserve">. Nowe </w:t>
      </w:r>
      <w:r w:rsidR="00097188" w:rsidRPr="00FC25DF">
        <w:rPr>
          <w:rFonts w:ascii="MMC OFFICE" w:hAnsi="MMC OFFICE"/>
          <w:i/>
          <w:iCs/>
          <w:color w:val="000000"/>
          <w:sz w:val="18"/>
          <w:szCs w:val="18"/>
        </w:rPr>
        <w:t xml:space="preserve">Mitsubishi </w:t>
      </w:r>
      <w:proofErr w:type="spellStart"/>
      <w:r w:rsidR="00097188" w:rsidRPr="00FC25DF">
        <w:rPr>
          <w:rFonts w:ascii="MMC OFFICE" w:hAnsi="MMC OFFICE"/>
          <w:i/>
          <w:iCs/>
          <w:color w:val="000000"/>
          <w:sz w:val="18"/>
          <w:szCs w:val="18"/>
        </w:rPr>
        <w:t>Grandis</w:t>
      </w:r>
      <w:proofErr w:type="spellEnd"/>
      <w:r>
        <w:rPr>
          <w:rFonts w:ascii="MMC OFFICE" w:hAnsi="MMC OFFICE"/>
          <w:i/>
          <w:iCs/>
          <w:color w:val="000000"/>
          <w:sz w:val="18"/>
          <w:szCs w:val="18"/>
        </w:rPr>
        <w:t xml:space="preserve"> t</w:t>
      </w:r>
      <w:r w:rsidR="00097188" w:rsidRPr="00FC25DF">
        <w:rPr>
          <w:rFonts w:ascii="MMC OFFICE" w:hAnsi="MMC OFFICE"/>
          <w:i/>
          <w:iCs/>
          <w:color w:val="000000"/>
          <w:sz w:val="18"/>
          <w:szCs w:val="18"/>
        </w:rPr>
        <w:t xml:space="preserve">o model, który doskonale odpowiada na potrzeby współczesnych klientów wypożyczalni – oferuje przestronne wnętrze, wysoki poziom bezpieczeństwa, nowoczesne technologie i ekonomiczne jednostki napędowe. Tego typu decyzje zakupowe pokazują, że nowy </w:t>
      </w:r>
      <w:proofErr w:type="spellStart"/>
      <w:r w:rsidR="00097188" w:rsidRPr="00FC25DF">
        <w:rPr>
          <w:rFonts w:ascii="MMC OFFICE" w:hAnsi="MMC OFFICE"/>
          <w:i/>
          <w:iCs/>
          <w:color w:val="000000"/>
          <w:sz w:val="18"/>
          <w:szCs w:val="18"/>
        </w:rPr>
        <w:t>Grandis</w:t>
      </w:r>
      <w:proofErr w:type="spellEnd"/>
      <w:r w:rsidR="00097188" w:rsidRPr="00FC25DF">
        <w:rPr>
          <w:rFonts w:ascii="MMC OFFICE" w:hAnsi="MMC OFFICE"/>
          <w:i/>
          <w:iCs/>
          <w:color w:val="000000"/>
          <w:sz w:val="18"/>
          <w:szCs w:val="18"/>
        </w:rPr>
        <w:t xml:space="preserve"> już na starcie zdobywa zaufanie rynku flotowego. Klienci biznesowi coraz częściej dostrzegają również korzyści wynikające z naszej konkurencyjnej oferty flotowej, obejmującej atrakcyjne warunki zakupu i finansowania</w:t>
      </w:r>
      <w:r w:rsidR="00097188" w:rsidRPr="00097188">
        <w:rPr>
          <w:rFonts w:ascii="MMC OFFICE" w:hAnsi="MMC OFFICE"/>
          <w:color w:val="000000"/>
          <w:sz w:val="18"/>
          <w:szCs w:val="18"/>
        </w:rPr>
        <w:t xml:space="preserve"> – mówi Piotr Szewczyk, Dyrektor Marki Mitsubishi w Polsce.</w:t>
      </w:r>
    </w:p>
    <w:p w14:paraId="56A60038" w14:textId="77777777" w:rsidR="00097188" w:rsidRPr="00097188" w:rsidRDefault="00097188" w:rsidP="00097188">
      <w:pPr>
        <w:spacing w:after="240"/>
        <w:jc w:val="both"/>
        <w:rPr>
          <w:rFonts w:ascii="MMC OFFICE" w:hAnsi="MMC OFFICE"/>
          <w:b/>
          <w:bCs/>
          <w:color w:val="000000"/>
          <w:sz w:val="18"/>
          <w:szCs w:val="18"/>
        </w:rPr>
      </w:pPr>
      <w:r w:rsidRPr="00097188">
        <w:rPr>
          <w:rFonts w:ascii="MMC OFFICE" w:hAnsi="MMC OFFICE"/>
          <w:b/>
          <w:bCs/>
          <w:color w:val="000000"/>
          <w:sz w:val="18"/>
          <w:szCs w:val="18"/>
        </w:rPr>
        <w:t>SUV gotowy na intensywną eksploatację</w:t>
      </w:r>
    </w:p>
    <w:p w14:paraId="61FCF62F" w14:textId="16F8080C" w:rsidR="00097188" w:rsidRPr="00097188" w:rsidRDefault="00097188" w:rsidP="00097188">
      <w:pPr>
        <w:spacing w:after="240"/>
        <w:jc w:val="both"/>
        <w:rPr>
          <w:rFonts w:ascii="MMC OFFICE" w:hAnsi="MMC OFFICE"/>
          <w:b/>
          <w:bCs/>
          <w:color w:val="000000"/>
          <w:sz w:val="18"/>
          <w:szCs w:val="18"/>
        </w:rPr>
      </w:pPr>
      <w:r w:rsidRPr="00097188">
        <w:rPr>
          <w:rFonts w:ascii="MMC OFFICE" w:hAnsi="MMC OFFICE"/>
          <w:color w:val="000000"/>
          <w:sz w:val="18"/>
          <w:szCs w:val="18"/>
        </w:rPr>
        <w:t xml:space="preserve">Nowe Mitsubishi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Grandis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to przestronny, bezpieczny i oszczędny SUV segmentu C stworzony z myślą o aktywnych użytkownikach oczekujących wysokiej funkcjonalności. Model łączy nowoczesne technologie z komfortem codziennego użytkowania i dużą wszechstronnością.</w:t>
      </w:r>
      <w:r w:rsidRPr="00097188">
        <w:rPr>
          <w:rFonts w:ascii="MMC OFFICE" w:hAnsi="MMC OFFICE"/>
          <w:b/>
          <w:bCs/>
          <w:color w:val="000000"/>
          <w:sz w:val="18"/>
          <w:szCs w:val="18"/>
        </w:rPr>
        <w:t xml:space="preserve"> </w:t>
      </w:r>
      <w:r w:rsidRPr="00097188">
        <w:rPr>
          <w:rFonts w:ascii="MMC OFFICE" w:hAnsi="MMC OFFICE"/>
          <w:color w:val="000000"/>
          <w:sz w:val="18"/>
          <w:szCs w:val="18"/>
        </w:rPr>
        <w:t xml:space="preserve">Charakterystyczny design podkreślają elementy stylistyczne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Dynamic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Shield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z przodu oraz motyw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Sculptural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Hexagon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z tyłu pojazdu. Pełne reflektory LED i 19-calowe felgi aluminiowe nadają modelowi nowoczesny i dynamiczny charakter.</w:t>
      </w:r>
    </w:p>
    <w:p w14:paraId="407D598B" w14:textId="77777777" w:rsidR="00097188" w:rsidRPr="00097188" w:rsidRDefault="00097188" w:rsidP="00097188">
      <w:pPr>
        <w:spacing w:after="240"/>
        <w:jc w:val="both"/>
        <w:rPr>
          <w:rFonts w:ascii="MMC OFFICE" w:hAnsi="MMC OFFICE"/>
          <w:color w:val="000000"/>
          <w:sz w:val="18"/>
          <w:szCs w:val="18"/>
        </w:rPr>
      </w:pPr>
      <w:r w:rsidRPr="00097188">
        <w:rPr>
          <w:rFonts w:ascii="MMC OFFICE" w:hAnsi="MMC OFFICE"/>
          <w:color w:val="000000"/>
          <w:sz w:val="18"/>
          <w:szCs w:val="18"/>
        </w:rPr>
        <w:t xml:space="preserve">Do floty One Rent trafiła wersja wyposażona w silnik benzynowy M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Hybrid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1.3T o mocy 140 KM współpracujący z automatyczną, dwusprzęgłową skrzynią biegów DCT7. Jednostka napędowa zapewnia odpowiednie osiągi przy zachowaniu wysokiej efektywności paliwowej, co ma szczególne znaczenie w codziennej eksploatacji flotowej.</w:t>
      </w:r>
    </w:p>
    <w:p w14:paraId="07140145" w14:textId="1575FFDC" w:rsidR="00097188" w:rsidRPr="00097188" w:rsidRDefault="00097188" w:rsidP="00097188">
      <w:pPr>
        <w:spacing w:after="240"/>
        <w:jc w:val="both"/>
        <w:rPr>
          <w:rFonts w:ascii="MMC OFFICE" w:hAnsi="MMC OFFICE"/>
          <w:color w:val="000000"/>
          <w:sz w:val="18"/>
          <w:szCs w:val="18"/>
        </w:rPr>
      </w:pPr>
      <w:r w:rsidRPr="00097188">
        <w:rPr>
          <w:rFonts w:ascii="MMC OFFICE" w:hAnsi="MMC OFFICE"/>
          <w:color w:val="000000"/>
          <w:sz w:val="18"/>
          <w:szCs w:val="18"/>
        </w:rPr>
        <w:t xml:space="preserve">Nowe Mitsubishi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Grandis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dostępne jest z trzema układami napędowymi: silnikiem benzynowym M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Hybrid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1.3T o mocy 140 KM współpracującym z manualną lub automatyczną, dwusprzęgłową skrzynią biegów oraz układem pełnej hybrydy (HEV) z silnikiem 1.8 o mocy 157 KM i automatyczną skrzynią biegów. Niezależnie od wybranej wersji napędowej model oferuje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dynamicznąi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ekonomiczną jazdę, a liczne inteligentne technologie wspierają kierowcę, zwiększając bezpieczeństwo i komfort podróżowania. Klienci zainteresowani nowym Mitsubishi </w:t>
      </w:r>
      <w:proofErr w:type="spellStart"/>
      <w:r w:rsidRPr="00097188">
        <w:rPr>
          <w:rFonts w:ascii="MMC OFFICE" w:hAnsi="MMC OFFICE"/>
          <w:color w:val="000000"/>
          <w:sz w:val="18"/>
          <w:szCs w:val="18"/>
        </w:rPr>
        <w:t>Grandis</w:t>
      </w:r>
      <w:proofErr w:type="spellEnd"/>
      <w:r w:rsidRPr="00097188">
        <w:rPr>
          <w:rFonts w:ascii="MMC OFFICE" w:hAnsi="MMC OFFICE"/>
          <w:color w:val="000000"/>
          <w:sz w:val="18"/>
          <w:szCs w:val="18"/>
        </w:rPr>
        <w:t xml:space="preserve"> mogą obecnie skorzystać z korzyści sięgających nawet 11 000 zł. Marka przygotowała również atrakcyjne formy finansowania, w tym program „Niska rata” z ratą 1123 zł miesięcznie, </w:t>
      </w:r>
      <w:r w:rsidR="00C614AA">
        <w:rPr>
          <w:rFonts w:ascii="MMC OFFICE" w:hAnsi="MMC OFFICE"/>
          <w:color w:val="000000"/>
          <w:sz w:val="18"/>
          <w:szCs w:val="18"/>
        </w:rPr>
        <w:t xml:space="preserve">kredyt </w:t>
      </w:r>
      <w:r w:rsidRPr="00097188">
        <w:rPr>
          <w:rFonts w:ascii="MMC OFFICE" w:hAnsi="MMC OFFICE"/>
          <w:color w:val="000000"/>
          <w:sz w:val="18"/>
          <w:szCs w:val="18"/>
        </w:rPr>
        <w:t xml:space="preserve">50/50 </w:t>
      </w:r>
      <w:r w:rsidR="00C614AA">
        <w:rPr>
          <w:rFonts w:ascii="MMC OFFICE" w:hAnsi="MMC OFFICE"/>
          <w:color w:val="000000"/>
          <w:sz w:val="18"/>
          <w:szCs w:val="18"/>
        </w:rPr>
        <w:t xml:space="preserve">z RRSO </w:t>
      </w:r>
      <w:r w:rsidR="00C614AA">
        <w:rPr>
          <w:rFonts w:ascii="MMC OFFICE" w:hAnsi="MMC OFFICE"/>
          <w:color w:val="000000"/>
          <w:sz w:val="18"/>
          <w:szCs w:val="18"/>
        </w:rPr>
        <w:lastRenderedPageBreak/>
        <w:t xml:space="preserve">0%, </w:t>
      </w:r>
      <w:r w:rsidRPr="00097188">
        <w:rPr>
          <w:rFonts w:ascii="MMC OFFICE" w:hAnsi="MMC OFFICE"/>
          <w:color w:val="000000"/>
          <w:sz w:val="18"/>
          <w:szCs w:val="18"/>
        </w:rPr>
        <w:t>finansowanie 0% na 24 miesiące</w:t>
      </w:r>
      <w:r w:rsidR="00C614AA">
        <w:rPr>
          <w:rFonts w:ascii="MMC OFFICE" w:hAnsi="MMC OFFICE"/>
          <w:color w:val="000000"/>
          <w:sz w:val="18"/>
          <w:szCs w:val="18"/>
        </w:rPr>
        <w:t xml:space="preserve"> a także wynajem </w:t>
      </w:r>
      <w:proofErr w:type="spellStart"/>
      <w:r w:rsidR="00C614AA">
        <w:rPr>
          <w:rFonts w:ascii="MMC OFFICE" w:hAnsi="MMC OFFICE"/>
          <w:color w:val="000000"/>
          <w:sz w:val="18"/>
          <w:szCs w:val="18"/>
        </w:rPr>
        <w:t>Lease&amp;Go</w:t>
      </w:r>
      <w:proofErr w:type="spellEnd"/>
      <w:r w:rsidR="00C614AA">
        <w:rPr>
          <w:rFonts w:ascii="MMC OFFICE" w:hAnsi="MMC OFFICE"/>
          <w:color w:val="000000"/>
          <w:sz w:val="18"/>
          <w:szCs w:val="18"/>
        </w:rPr>
        <w:t xml:space="preserve"> z miesięczną ratą netto na poziomie zaledwie 545 zł</w:t>
      </w:r>
      <w:r w:rsidRPr="00097188">
        <w:rPr>
          <w:rFonts w:ascii="MMC OFFICE" w:hAnsi="MMC OFFICE"/>
          <w:color w:val="000000"/>
          <w:sz w:val="18"/>
          <w:szCs w:val="18"/>
        </w:rPr>
        <w:t xml:space="preserve">. </w:t>
      </w:r>
    </w:p>
    <w:p w14:paraId="4082272D" w14:textId="3AA668FD" w:rsidR="00097188" w:rsidRPr="00097188" w:rsidRDefault="00097188" w:rsidP="00097188">
      <w:pPr>
        <w:jc w:val="both"/>
        <w:rPr>
          <w:rFonts w:ascii="MMC OFFICE" w:hAnsi="MMC OFFICE"/>
          <w:color w:val="000000"/>
          <w:sz w:val="18"/>
          <w:szCs w:val="18"/>
        </w:rPr>
      </w:pPr>
      <w:r w:rsidRPr="00097188">
        <w:rPr>
          <w:rFonts w:ascii="MMC OFFICE" w:hAnsi="MMC OFFICE"/>
          <w:color w:val="000000"/>
          <w:sz w:val="18"/>
          <w:szCs w:val="18"/>
        </w:rPr>
        <w:t xml:space="preserve">Szczegóły dostępne są na stronie </w:t>
      </w:r>
      <w:hyperlink r:id="rId11" w:history="1">
        <w:r w:rsidRPr="00097188">
          <w:rPr>
            <w:rStyle w:val="Hyperlink"/>
            <w:rFonts w:ascii="MMC OFFICE" w:hAnsi="MMC OFFICE"/>
            <w:sz w:val="18"/>
            <w:szCs w:val="18"/>
          </w:rPr>
          <w:t>https://www.mitsubishi-motors.pl/oferta/promocje/nowy-grandis</w:t>
        </w:r>
      </w:hyperlink>
      <w:r w:rsidRPr="00097188">
        <w:rPr>
          <w:rFonts w:ascii="MMC OFFICE" w:hAnsi="MMC OFFICE"/>
          <w:color w:val="000000"/>
          <w:sz w:val="18"/>
          <w:szCs w:val="18"/>
        </w:rPr>
        <w:t xml:space="preserve"> oraz u autoryzowanych dealerów Mitsubishi Motors.</w:t>
      </w:r>
    </w:p>
    <w:p w14:paraId="5C25AD75" w14:textId="6652361F" w:rsidR="00097188" w:rsidRPr="00097188" w:rsidRDefault="00097188" w:rsidP="00097188">
      <w:pPr>
        <w:spacing w:after="240"/>
        <w:jc w:val="both"/>
        <w:rPr>
          <w:rFonts w:ascii="MMC OFFICE" w:hAnsi="MMC OFFICE"/>
          <w:b/>
          <w:bCs/>
          <w:color w:val="000000"/>
          <w:sz w:val="18"/>
          <w:szCs w:val="18"/>
        </w:rPr>
      </w:pPr>
      <w:r w:rsidRPr="00097188">
        <w:rPr>
          <w:rFonts w:ascii="MMC OFFICE" w:hAnsi="MMC OFFICE"/>
          <w:b/>
          <w:bCs/>
          <w:color w:val="000000"/>
          <w:sz w:val="18"/>
          <w:szCs w:val="18"/>
        </w:rPr>
        <w:t>Zobowiązanie Serwisowe Mitsubishi</w:t>
      </w:r>
    </w:p>
    <w:p w14:paraId="2C7C3F9E" w14:textId="77777777" w:rsidR="00097188" w:rsidRPr="00097188" w:rsidRDefault="00097188" w:rsidP="00097188">
      <w:pPr>
        <w:spacing w:after="240"/>
        <w:jc w:val="both"/>
        <w:rPr>
          <w:rFonts w:ascii="MMC OFFICE" w:hAnsi="MMC OFFICE"/>
          <w:color w:val="000000"/>
          <w:sz w:val="18"/>
          <w:szCs w:val="18"/>
        </w:rPr>
      </w:pPr>
      <w:r w:rsidRPr="00097188">
        <w:rPr>
          <w:rFonts w:ascii="MMC OFFICE" w:hAnsi="MMC OFFICE"/>
          <w:color w:val="000000"/>
          <w:sz w:val="18"/>
          <w:szCs w:val="18"/>
        </w:rPr>
        <w:t>Wszystkie modele Mitsubishi oferowane na rynku europejskim objęte są kompleksowym programem zobowiązania serwisowego, obejmującym m.in.:</w:t>
      </w:r>
    </w:p>
    <w:p w14:paraId="55085DA0" w14:textId="77777777" w:rsidR="00364F5C" w:rsidRPr="00364F5C" w:rsidRDefault="00097188" w:rsidP="00364F5C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</w:rPr>
      </w:pPr>
      <w:r w:rsidRPr="00364F5C">
        <w:rPr>
          <w:rFonts w:ascii="MMC OFFICE" w:hAnsi="MMC OFFICE"/>
          <w:color w:val="000000"/>
          <w:sz w:val="18"/>
          <w:szCs w:val="18"/>
        </w:rPr>
        <w:t>8-letnią ochronę (do 160 000 km),</w:t>
      </w:r>
    </w:p>
    <w:p w14:paraId="217AB0AD" w14:textId="77777777" w:rsidR="00364F5C" w:rsidRPr="00364F5C" w:rsidRDefault="00097188" w:rsidP="00364F5C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</w:rPr>
      </w:pPr>
      <w:r w:rsidRPr="00364F5C">
        <w:rPr>
          <w:rFonts w:ascii="MMC OFFICE" w:hAnsi="MMC OFFICE"/>
          <w:color w:val="000000"/>
          <w:sz w:val="18"/>
          <w:szCs w:val="18"/>
        </w:rPr>
        <w:t>12-letnią gwarancję na perforację korozyjną nadwozia,</w:t>
      </w:r>
    </w:p>
    <w:p w14:paraId="3B3C87B6" w14:textId="77777777" w:rsidR="00364F5C" w:rsidRPr="00364F5C" w:rsidRDefault="00097188" w:rsidP="00364F5C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</w:rPr>
      </w:pPr>
      <w:r w:rsidRPr="00364F5C">
        <w:rPr>
          <w:rFonts w:ascii="MMC OFFICE" w:hAnsi="MMC OFFICE"/>
          <w:color w:val="000000"/>
          <w:sz w:val="18"/>
          <w:szCs w:val="18"/>
        </w:rPr>
        <w:t>8-letni pakiet Mitsubishi Assistance,</w:t>
      </w:r>
    </w:p>
    <w:p w14:paraId="3E711D93" w14:textId="2C97163A" w:rsidR="00097188" w:rsidRPr="00364F5C" w:rsidRDefault="00097188" w:rsidP="00364F5C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sz w:val="18"/>
          <w:szCs w:val="18"/>
        </w:rPr>
      </w:pPr>
      <w:r w:rsidRPr="00364F5C">
        <w:rPr>
          <w:rFonts w:ascii="MMC OFFICE" w:hAnsi="MMC OFFICE"/>
          <w:color w:val="000000"/>
          <w:sz w:val="18"/>
          <w:szCs w:val="18"/>
        </w:rPr>
        <w:t>bezpłatną kontrolę stanu technicznego pojazdu.</w:t>
      </w:r>
    </w:p>
    <w:p w14:paraId="57685E04" w14:textId="77777777" w:rsidR="00364F5C" w:rsidRPr="00364F5C" w:rsidRDefault="00364F5C" w:rsidP="00364F5C">
      <w:pPr>
        <w:pStyle w:val="NormalWeb"/>
        <w:overflowPunct/>
        <w:spacing w:before="0" w:after="0"/>
        <w:ind w:left="720"/>
        <w:rPr>
          <w:rFonts w:ascii="MMC OFFICE" w:hAnsi="MMC OFFICE"/>
          <w:sz w:val="18"/>
          <w:szCs w:val="18"/>
        </w:rPr>
      </w:pPr>
    </w:p>
    <w:p w14:paraId="298D4B69" w14:textId="77777777" w:rsidR="00097188" w:rsidRPr="00097188" w:rsidRDefault="00097188" w:rsidP="00097188">
      <w:pPr>
        <w:jc w:val="both"/>
        <w:rPr>
          <w:rFonts w:ascii="MMC OFFICE" w:hAnsi="MMC OFFICE"/>
          <w:sz w:val="16"/>
          <w:szCs w:val="16"/>
        </w:rPr>
      </w:pPr>
      <w:r w:rsidRPr="00097188">
        <w:rPr>
          <w:rFonts w:ascii="MMC OFFICE" w:eastAsia="Meiryo UI" w:hAnsi="MMC OFFICE" w:cs="Calibri"/>
          <w:b/>
          <w:color w:val="000000"/>
          <w:sz w:val="16"/>
          <w:szCs w:val="16"/>
        </w:rPr>
        <w:t>O  Mitsubishi  Motors:</w:t>
      </w:r>
    </w:p>
    <w:p w14:paraId="2C92B344" w14:textId="77777777" w:rsidR="00097188" w:rsidRPr="00097188" w:rsidRDefault="00097188" w:rsidP="00097188">
      <w:pPr>
        <w:jc w:val="both"/>
        <w:rPr>
          <w:rFonts w:ascii="MMC OFFICE" w:hAnsi="MMC OFFICE"/>
          <w:sz w:val="16"/>
          <w:szCs w:val="16"/>
        </w:rPr>
      </w:pPr>
      <w:r w:rsidRPr="00097188"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w 2017 roku nową strategię marki, wyrażoną w sloganie „Drive </w:t>
      </w:r>
      <w:proofErr w:type="spellStart"/>
      <w:r w:rsidRPr="00097188">
        <w:rPr>
          <w:rFonts w:ascii="MMC OFFICE" w:eastAsia="Meiryo UI" w:hAnsi="MMC OFFICE" w:cs="Calibri"/>
          <w:color w:val="000000"/>
          <w:sz w:val="16"/>
          <w:szCs w:val="16"/>
        </w:rPr>
        <w:t>Your</w:t>
      </w:r>
      <w:proofErr w:type="spellEnd"/>
      <w:r w:rsidRPr="00097188"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proofErr w:type="spellStart"/>
      <w:r w:rsidRPr="00097188">
        <w:rPr>
          <w:rFonts w:ascii="MMC OFFICE" w:eastAsia="Meiryo UI" w:hAnsi="MMC OFFICE" w:cs="Calibri"/>
          <w:color w:val="000000"/>
          <w:sz w:val="16"/>
          <w:szCs w:val="16"/>
        </w:rPr>
        <w:t>Ambition</w:t>
      </w:r>
      <w:proofErr w:type="spellEnd"/>
      <w:r w:rsidRPr="00097188">
        <w:rPr>
          <w:rFonts w:ascii="MMC OFFICE" w:eastAsia="Meiryo UI" w:hAnsi="MMC OFFICE" w:cs="Calibri"/>
          <w:color w:val="000000"/>
          <w:sz w:val="16"/>
          <w:szCs w:val="16"/>
        </w:rPr>
        <w:t>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12F4136B" w14:textId="77777777" w:rsidR="00097188" w:rsidRPr="00097188" w:rsidRDefault="00097188" w:rsidP="0009718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60" w:line="260" w:lineRule="exact"/>
        <w:jc w:val="both"/>
        <w:rPr>
          <w:rFonts w:ascii="MMC OFFICE" w:eastAsia="Nissan Brand Light" w:hAnsi="MMC OFFICE" w:cs="Calibri"/>
          <w:b/>
          <w:bCs/>
          <w:color w:val="000000"/>
          <w:sz w:val="16"/>
          <w:szCs w:val="16"/>
          <w:u w:color="000000"/>
          <w:bdr w:val="nil"/>
          <w:lang w:eastAsia="en-GB"/>
        </w:rPr>
      </w:pPr>
      <w:r w:rsidRPr="00097188">
        <w:rPr>
          <w:rFonts w:ascii="MMC OFFICE" w:eastAsia="Nissan Brand Light" w:hAnsi="MMC OFFICE" w:cs="Calibri"/>
          <w:b/>
          <w:bCs/>
          <w:color w:val="000000"/>
          <w:sz w:val="16"/>
          <w:szCs w:val="16"/>
          <w:u w:color="000000"/>
          <w:bdr w:val="nil"/>
          <w:lang w:eastAsia="en-GB"/>
        </w:rPr>
        <w:t>O firmie Astara</w:t>
      </w:r>
    </w:p>
    <w:p w14:paraId="3899AFF0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7AFF4946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2EAB0063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W 2025 roku Astara osiągnęła przychody na poziomie 5 mld euro i sprzedała 220 000 nowych pojazdów. Zespół blisko 3 000 pracowników reprezentujących 50 narodowości działa w 18 krajach Europy (Hiszpania, Portugalia, Niderlandy, Belgia, Luksemburg, Niemcy, Polska, Czechy, Słowacja, Szwecja, Finlandia, Szwajcaria i Austria) oraz Ameryki Łacińskiej (Argentyna, Boliwia, Peru, Chile i Kolumbia).</w:t>
      </w:r>
    </w:p>
    <w:p w14:paraId="713A967A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 xml:space="preserve">Więcej informacji na temat firmy Astara można znaleźć na stronie </w:t>
      </w:r>
      <w:hyperlink r:id="rId12" w:tgtFrame="_new" w:history="1">
        <w:r w:rsidRPr="00097188">
          <w:rPr>
            <w:rFonts w:ascii="MMC OFFICE" w:eastAsia="Meiryo" w:hAnsi="MMC OFFICE" w:cs="Helvetica"/>
            <w:color w:val="333333"/>
            <w:sz w:val="16"/>
            <w:szCs w:val="16"/>
            <w:lang w:eastAsia="ja-JP"/>
          </w:rPr>
          <w:t>www.astara.com</w:t>
        </w:r>
      </w:hyperlink>
      <w:r w:rsidRPr="00097188">
        <w:rPr>
          <w:rFonts w:ascii="MMC OFFICE" w:hAnsi="MMC OFFICE"/>
        </w:rPr>
        <w:t xml:space="preserve"> </w:t>
      </w:r>
    </w:p>
    <w:p w14:paraId="6FABAF38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Kontakt dla przedstawicieli mediów: Kinga Ossowska tel. +48 609 290 133, </w:t>
      </w:r>
      <w:hyperlink r:id="rId13">
        <w:r w:rsidRPr="00097188">
          <w:rPr>
            <w:rFonts w:ascii="MMC OFFICE" w:eastAsia="Meiryo UI" w:hAnsi="MMC OFFICE" w:cs="Calibri"/>
            <w:i/>
            <w:color w:val="0563C1" w:themeColor="hyperlink"/>
            <w:sz w:val="12"/>
            <w:szCs w:val="12"/>
            <w:u w:val="single"/>
          </w:rPr>
          <w:t>kinga.ossowska@astara.com</w:t>
        </w:r>
      </w:hyperlink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  Zdjęcia wszystkich modeli przeznaczone do publikacji znajdują się w internetowym serwisie prasowym </w:t>
      </w:r>
      <w:hyperlink r:id="rId14">
        <w:r w:rsidRPr="00097188">
          <w:rPr>
            <w:rFonts w:ascii="MMC OFFICE" w:eastAsia="Meiryo UI" w:hAnsi="MMC OFFICE" w:cs="Calibri"/>
            <w:i/>
            <w:color w:val="000000"/>
            <w:sz w:val="12"/>
            <w:szCs w:val="12"/>
            <w:u w:val="single"/>
          </w:rPr>
          <w:t>www.press.mitsubishi.pl</w:t>
        </w:r>
      </w:hyperlink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  Dla dziennikarzy przeznaczona jest również strona Mitsubishi Motors Corporation:  </w:t>
      </w:r>
      <w:hyperlink r:id="rId15">
        <w:r w:rsidRPr="00097188">
          <w:rPr>
            <w:rFonts w:ascii="MMC OFFICE" w:eastAsia="Meiryo UI" w:hAnsi="MMC OFFICE" w:cs="Calibri"/>
            <w:i/>
            <w:color w:val="0563C1" w:themeColor="hyperlink"/>
            <w:sz w:val="12"/>
            <w:szCs w:val="12"/>
            <w:u w:val="single"/>
          </w:rPr>
          <w:t>https://library.mitsubishi-motors.com/contents</w:t>
        </w:r>
      </w:hyperlink>
    </w:p>
    <w:p w14:paraId="543DBCC1" w14:textId="156E30A7" w:rsidR="0014706A" w:rsidRPr="00097188" w:rsidRDefault="00950D9C">
      <w:pPr>
        <w:spacing w:after="0" w:line="276" w:lineRule="auto"/>
        <w:jc w:val="both"/>
        <w:rPr>
          <w:rFonts w:ascii="MMC OFFICE" w:hAnsi="MMC OFFICE"/>
        </w:rPr>
      </w:pP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  <w:t xml:space="preserve">          </w:t>
      </w:r>
    </w:p>
    <w:sectPr w:rsidR="0014706A" w:rsidRPr="000971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247" w:left="1440" w:header="73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A560" w14:textId="77777777" w:rsidR="00BB4475" w:rsidRDefault="00BB4475">
      <w:pPr>
        <w:spacing w:after="0" w:line="240" w:lineRule="auto"/>
      </w:pPr>
      <w:r>
        <w:separator/>
      </w:r>
    </w:p>
  </w:endnote>
  <w:endnote w:type="continuationSeparator" w:id="0">
    <w:p w14:paraId="349EBC49" w14:textId="77777777" w:rsidR="00BB4475" w:rsidRDefault="00BB4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MC OFFICE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Nissan Brand Light"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CEAD" w14:textId="77777777" w:rsidR="0014706A" w:rsidRDefault="00147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1CC7" w14:textId="77777777" w:rsidR="0014706A" w:rsidRDefault="00147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97B2" w14:textId="77777777" w:rsidR="0014706A" w:rsidRDefault="00147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F5F2" w14:textId="77777777" w:rsidR="00BB4475" w:rsidRDefault="00BB4475">
      <w:pPr>
        <w:spacing w:after="0" w:line="240" w:lineRule="auto"/>
      </w:pPr>
      <w:r>
        <w:separator/>
      </w:r>
    </w:p>
  </w:footnote>
  <w:footnote w:type="continuationSeparator" w:id="0">
    <w:p w14:paraId="04891BEB" w14:textId="77777777" w:rsidR="00BB4475" w:rsidRDefault="00BB4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3BF8" w14:textId="77777777" w:rsidR="0014706A" w:rsidRDefault="00147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902D" w14:textId="77777777" w:rsidR="0014706A" w:rsidRDefault="00147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2A0B" w14:textId="77777777" w:rsidR="0014706A" w:rsidRDefault="00950D9C">
    <w:pPr>
      <w:pStyle w:val="Header"/>
      <w:jc w:val="center"/>
    </w:pPr>
    <w:r>
      <w:rPr>
        <w:noProof/>
      </w:rPr>
      <w:drawing>
        <wp:anchor distT="0" distB="0" distL="114300" distR="114300" simplePos="0" relativeHeight="2" behindDoc="1" locked="0" layoutInCell="0" allowOverlap="1" wp14:anchorId="311E39FE" wp14:editId="6FA384F6">
          <wp:simplePos x="0" y="0"/>
          <wp:positionH relativeFrom="column">
            <wp:posOffset>943610</wp:posOffset>
          </wp:positionH>
          <wp:positionV relativeFrom="paragraph">
            <wp:posOffset>-222250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7EC"/>
    <w:multiLevelType w:val="multilevel"/>
    <w:tmpl w:val="A678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C4882"/>
    <w:multiLevelType w:val="multilevel"/>
    <w:tmpl w:val="DB503EE8"/>
    <w:lvl w:ilvl="0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41"/>
        </w:tabs>
        <w:ind w:left="12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01"/>
        </w:tabs>
        <w:ind w:left="16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61"/>
        </w:tabs>
        <w:ind w:left="19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21"/>
        </w:tabs>
        <w:ind w:left="23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81"/>
        </w:tabs>
        <w:ind w:left="26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41"/>
        </w:tabs>
        <w:ind w:left="30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01"/>
        </w:tabs>
        <w:ind w:left="34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61"/>
        </w:tabs>
        <w:ind w:left="3761" w:hanging="360"/>
      </w:pPr>
      <w:rPr>
        <w:rFonts w:ascii="OpenSymbol" w:hAnsi="OpenSymbol" w:cs="OpenSymbol" w:hint="default"/>
      </w:rPr>
    </w:lvl>
  </w:abstractNum>
  <w:num w:numId="1" w16cid:durableId="1273245086">
    <w:abstractNumId w:val="0"/>
  </w:num>
  <w:num w:numId="2" w16cid:durableId="174779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6A"/>
    <w:rsid w:val="00022CC7"/>
    <w:rsid w:val="000307C1"/>
    <w:rsid w:val="00043133"/>
    <w:rsid w:val="0006093E"/>
    <w:rsid w:val="00066DDE"/>
    <w:rsid w:val="000722C2"/>
    <w:rsid w:val="00097188"/>
    <w:rsid w:val="000B3EAE"/>
    <w:rsid w:val="000C589A"/>
    <w:rsid w:val="000E582F"/>
    <w:rsid w:val="000E7F32"/>
    <w:rsid w:val="000F3B80"/>
    <w:rsid w:val="00101164"/>
    <w:rsid w:val="0014706A"/>
    <w:rsid w:val="001B2329"/>
    <w:rsid w:val="001C698D"/>
    <w:rsid w:val="001D0064"/>
    <w:rsid w:val="00260E08"/>
    <w:rsid w:val="002C4092"/>
    <w:rsid w:val="00346FDF"/>
    <w:rsid w:val="00356504"/>
    <w:rsid w:val="00364F5C"/>
    <w:rsid w:val="003A0966"/>
    <w:rsid w:val="003F0E13"/>
    <w:rsid w:val="00462C29"/>
    <w:rsid w:val="00466E8D"/>
    <w:rsid w:val="004A5FEF"/>
    <w:rsid w:val="004C3349"/>
    <w:rsid w:val="004F393F"/>
    <w:rsid w:val="00536A68"/>
    <w:rsid w:val="005562DF"/>
    <w:rsid w:val="0057303F"/>
    <w:rsid w:val="00600F3F"/>
    <w:rsid w:val="006542B7"/>
    <w:rsid w:val="00670139"/>
    <w:rsid w:val="006A3749"/>
    <w:rsid w:val="006B7129"/>
    <w:rsid w:val="006E20C2"/>
    <w:rsid w:val="006F3D01"/>
    <w:rsid w:val="006F68B8"/>
    <w:rsid w:val="0077739A"/>
    <w:rsid w:val="00793003"/>
    <w:rsid w:val="007B38E1"/>
    <w:rsid w:val="00801D79"/>
    <w:rsid w:val="00817DFA"/>
    <w:rsid w:val="00860DD6"/>
    <w:rsid w:val="00877C87"/>
    <w:rsid w:val="008A760B"/>
    <w:rsid w:val="008C11B7"/>
    <w:rsid w:val="008C73CF"/>
    <w:rsid w:val="009025ED"/>
    <w:rsid w:val="0094055B"/>
    <w:rsid w:val="00950D9C"/>
    <w:rsid w:val="00970B17"/>
    <w:rsid w:val="009E4A5B"/>
    <w:rsid w:val="00A157E3"/>
    <w:rsid w:val="00A6778F"/>
    <w:rsid w:val="00A727D5"/>
    <w:rsid w:val="00AA4FFD"/>
    <w:rsid w:val="00AB22C3"/>
    <w:rsid w:val="00AF0714"/>
    <w:rsid w:val="00AF58FE"/>
    <w:rsid w:val="00B51886"/>
    <w:rsid w:val="00B52270"/>
    <w:rsid w:val="00BB4475"/>
    <w:rsid w:val="00BE2546"/>
    <w:rsid w:val="00BF0A24"/>
    <w:rsid w:val="00C2635C"/>
    <w:rsid w:val="00C614AA"/>
    <w:rsid w:val="00C67C54"/>
    <w:rsid w:val="00D456BB"/>
    <w:rsid w:val="00D573C6"/>
    <w:rsid w:val="00D70858"/>
    <w:rsid w:val="00DA1B0E"/>
    <w:rsid w:val="00DB336D"/>
    <w:rsid w:val="00DE3781"/>
    <w:rsid w:val="00E30695"/>
    <w:rsid w:val="00E31195"/>
    <w:rsid w:val="00E572F9"/>
    <w:rsid w:val="00EB6E0A"/>
    <w:rsid w:val="00EE66EB"/>
    <w:rsid w:val="00EF37D3"/>
    <w:rsid w:val="00F0563A"/>
    <w:rsid w:val="00F5194A"/>
    <w:rsid w:val="00FB58EE"/>
    <w:rsid w:val="00FC25DF"/>
    <w:rsid w:val="00FC7CF8"/>
    <w:rsid w:val="00FD2C1B"/>
    <w:rsid w:val="00FE2DFE"/>
    <w:rsid w:val="00FE3115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29A"/>
  <w15:docId w15:val="{16286E49-653F-4ABD-B68E-9283618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percze1">
    <w:name w:val="Hiperłącze1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50D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qFormat/>
    <w:rsid w:val="00335E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qFormat/>
    <w:rsid w:val="00335E5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DB5033"/>
  </w:style>
  <w:style w:type="character" w:customStyle="1" w:styleId="UyteHipercze1">
    <w:name w:val="UżyteHiperłącze1"/>
    <w:basedOn w:val="DefaultParagraphFont"/>
    <w:uiPriority w:val="99"/>
    <w:semiHidden/>
    <w:unhideWhenUsed/>
    <w:qFormat/>
    <w:rsid w:val="008B4C77"/>
    <w:rPr>
      <w:color w:val="954F72" w:themeColor="followedHyperlink"/>
      <w:u w:val="single"/>
    </w:rPr>
  </w:style>
  <w:style w:type="character" w:customStyle="1" w:styleId="contentpasted0">
    <w:name w:val="contentpasted0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outlook-search-highlight">
    <w:name w:val="outlook-search-highlight"/>
    <w:basedOn w:val="DefaultParagraphFont"/>
    <w:qFormat/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Hyperlink">
    <w:name w:val="Hyperlink"/>
    <w:rPr>
      <w:color w:val="000080"/>
      <w:u w:val="single"/>
    </w:rPr>
  </w:style>
  <w:style w:type="paragraph" w:styleId="Header">
    <w:name w:val="header"/>
    <w:basedOn w:val="Normal"/>
    <w:next w:val="BodyText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entury" w:hAnsi="Century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" w:hAnsi="Century"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Century" w:hAnsi="Century" w:cs="Arial Unicode MS"/>
    </w:rPr>
  </w:style>
  <w:style w:type="paragraph" w:customStyle="1" w:styleId="Gwkaistopka">
    <w:name w:val="Główka i stopka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Revision">
    <w:name w:val="Revision"/>
    <w:uiPriority w:val="99"/>
    <w:semiHidden/>
    <w:qFormat/>
    <w:rsid w:val="004A5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50DA"/>
    <w:rPr>
      <w:b/>
      <w:bCs/>
    </w:rPr>
  </w:style>
  <w:style w:type="paragraph" w:customStyle="1" w:styleId="paragraph">
    <w:name w:val="paragraph"/>
    <w:basedOn w:val="Normal"/>
    <w:qFormat/>
    <w:rsid w:val="003E3A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Zawartoramki">
    <w:name w:val="Zawartość ramki"/>
    <w:basedOn w:val="Normal"/>
    <w:qFormat/>
  </w:style>
  <w:style w:type="paragraph" w:customStyle="1" w:styleId="Cytaty">
    <w:name w:val="Cytaty"/>
    <w:basedOn w:val="Normal"/>
    <w:qFormat/>
  </w:style>
  <w:style w:type="paragraph" w:customStyle="1" w:styleId="Komentarz">
    <w:name w:val="Komentarz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qFormat/>
    <w:rsid w:val="003A0966"/>
    <w:pPr>
      <w:suppressAutoHyphens w:val="0"/>
      <w:overflowPunct w:val="0"/>
      <w:spacing w:before="280" w:after="280" w:line="240" w:lineRule="exac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4A5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nga.ossowska@astar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astara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subishi-motors.pl/oferta/promocje/nowy-grandi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rary.mitsubishi-motors.com/contents%20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ess.mitsubishi.pl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d5c08-3edd-43fe-bef5-477f29dd38ff" xsi:nil="true"/>
    <lcf76f155ced4ddcb4097134ff3c332f xmlns="bfd840af-af63-4a70-ab76-5f22362abb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EA443C7B5DC4DA16AE48C56364D6F" ma:contentTypeVersion="14" ma:contentTypeDescription="Utwórz nowy dokument." ma:contentTypeScope="" ma:versionID="5ca98e681aa06b4f40029cbf8b23a9a8">
  <xsd:schema xmlns:xsd="http://www.w3.org/2001/XMLSchema" xmlns:xs="http://www.w3.org/2001/XMLSchema" xmlns:p="http://schemas.microsoft.com/office/2006/metadata/properties" xmlns:ns2="bfd840af-af63-4a70-ab76-5f22362abb15" xmlns:ns3="eb3d5c08-3edd-43fe-bef5-477f29dd38ff" targetNamespace="http://schemas.microsoft.com/office/2006/metadata/properties" ma:root="true" ma:fieldsID="7b40e19323d7eb3da459d94d520d78ac" ns2:_="" ns3:_="">
    <xsd:import namespace="bfd840af-af63-4a70-ab76-5f22362abb15"/>
    <xsd:import namespace="eb3d5c08-3edd-43fe-bef5-477f29dd3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840af-af63-4a70-ab76-5f22362ab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c56a6ba6-a1ed-4af0-a751-18f176fed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d5c08-3edd-43fe-bef5-477f29dd3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4ceb35-9574-4888-ae87-01c578e87b2e}" ma:internalName="TaxCatchAll" ma:showField="CatchAllData" ma:web="eb3d5c08-3edd-43fe-bef5-477f29dd3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6C259-8E48-411B-A7FF-EE663031571B}">
  <ds:schemaRefs>
    <ds:schemaRef ds:uri="http://schemas.microsoft.com/office/2006/metadata/properties"/>
    <ds:schemaRef ds:uri="http://schemas.microsoft.com/office/infopath/2007/PartnerControls"/>
    <ds:schemaRef ds:uri="eb3d5c08-3edd-43fe-bef5-477f29dd38ff"/>
    <ds:schemaRef ds:uri="bfd840af-af63-4a70-ab76-5f22362abb15"/>
  </ds:schemaRefs>
</ds:datastoreItem>
</file>

<file path=customXml/itemProps2.xml><?xml version="1.0" encoding="utf-8"?>
<ds:datastoreItem xmlns:ds="http://schemas.openxmlformats.org/officeDocument/2006/customXml" ds:itemID="{34CB96F0-C031-8E40-9663-49BBC07EA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3DBE1-F6D0-46C9-8DAB-53C8DEF6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840af-af63-4a70-ab76-5f22362abb15"/>
    <ds:schemaRef ds:uri="eb3d5c08-3edd-43fe-bef5-477f29dd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F4F74-32E1-4F41-9172-8DF349AA2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Perez-Solero</dc:creator>
  <dc:description/>
  <cp:lastModifiedBy>Kinga Ossowska</cp:lastModifiedBy>
  <cp:revision>6</cp:revision>
  <cp:lastPrinted>2023-09-05T10:05:00Z</cp:lastPrinted>
  <dcterms:created xsi:type="dcterms:W3CDTF">2026-06-08T10:36:00Z</dcterms:created>
  <dcterms:modified xsi:type="dcterms:W3CDTF">2026-07-03T11:14:00Z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0x01010013CEA443C7B5DC4DA16AE48C56364D6F</vt:lpwstr>
  </property>
  <property fmtid="{D5CDD505-2E9C-101B-9397-08002B2CF9AE}" pid="3" name="MSIP_Label_08200d09-a923-4a1f-8b00-c41efa3f8656_ActionId">
    <vt:lpwstr>a5bd382b-9d50-43a0-8f8a-09ad1670c73f</vt:lpwstr>
  </property>
  <property fmtid="{D5CDD505-2E9C-101B-9397-08002B2CF9AE}" pid="4" name="MSIP_Label_08200d09-a923-4a1f-8b00-c41efa3f8656_ContentBits">
    <vt:lpwstr>0</vt:lpwstr>
  </property>
  <property fmtid="{D5CDD505-2E9C-101B-9397-08002B2CF9AE}" pid="5" name="MSIP_Label_08200d09-a923-4a1f-8b00-c41efa3f8656_Enabled">
    <vt:lpwstr>true</vt:lpwstr>
  </property>
  <property fmtid="{D5CDD505-2E9C-101B-9397-08002B2CF9AE}" pid="6" name="MSIP_Label_08200d09-a923-4a1f-8b00-c41efa3f8656_Method">
    <vt:lpwstr>Standard</vt:lpwstr>
  </property>
  <property fmtid="{D5CDD505-2E9C-101B-9397-08002B2CF9AE}" pid="7" name="MSIP_Label_08200d09-a923-4a1f-8b00-c41efa3f8656_Name">
    <vt:lpwstr>Public</vt:lpwstr>
  </property>
  <property fmtid="{D5CDD505-2E9C-101B-9397-08002B2CF9AE}" pid="8" name="MSIP_Label_08200d09-a923-4a1f-8b00-c41efa3f8656_SetDate">
    <vt:lpwstr>2023-07-27T11:39:43Z</vt:lpwstr>
  </property>
  <property fmtid="{D5CDD505-2E9C-101B-9397-08002B2CF9AE}" pid="9" name="MSIP_Label_08200d09-a923-4a1f-8b00-c41efa3f8656_SiteId">
    <vt:lpwstr>3111cf5c-2436-4d6d-b9e9-a815d30986c8</vt:lpwstr>
  </property>
  <property fmtid="{D5CDD505-2E9C-101B-9397-08002B2CF9AE}" pid="10" name="MediaServiceImageTags">
    <vt:lpwstr/>
  </property>
</Properties>
</file>