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5D02" w14:textId="5626028F" w:rsidR="00181BC7" w:rsidRPr="00F2682A" w:rsidRDefault="00181BC7" w:rsidP="00D12F8A">
      <w:pPr>
        <w:tabs>
          <w:tab w:val="left" w:pos="8505"/>
        </w:tabs>
        <w:rPr>
          <w:rFonts w:ascii="Aptos" w:hAnsi="Aptos"/>
          <w:b/>
          <w:bCs/>
          <w:sz w:val="20"/>
          <w:szCs w:val="20"/>
          <w:lang w:val="pl-PL"/>
        </w:rPr>
      </w:pPr>
      <w:r w:rsidRPr="00F2682A">
        <w:rPr>
          <w:rFonts w:ascii="Aptos" w:hAnsi="Aptos"/>
          <w:b/>
          <w:bCs/>
          <w:sz w:val="20"/>
          <w:szCs w:val="20"/>
          <w:lang w:val="pl-PL"/>
        </w:rPr>
        <w:t>Informacja prasowa</w:t>
      </w:r>
    </w:p>
    <w:p w14:paraId="1CF01615" w14:textId="77777777" w:rsidR="00181BC7" w:rsidRPr="00F2682A" w:rsidRDefault="00181BC7" w:rsidP="00D12F8A">
      <w:pPr>
        <w:tabs>
          <w:tab w:val="left" w:pos="8505"/>
        </w:tabs>
        <w:rPr>
          <w:rFonts w:ascii="Aptos" w:hAnsi="Aptos"/>
          <w:b/>
          <w:bCs/>
          <w:sz w:val="20"/>
          <w:szCs w:val="20"/>
          <w:lang w:val="pl-PL"/>
        </w:rPr>
      </w:pPr>
    </w:p>
    <w:p w14:paraId="049ED1FF" w14:textId="1B737E3E" w:rsidR="00D7225C" w:rsidRPr="00D7225C" w:rsidRDefault="00D7225C" w:rsidP="00D7225C">
      <w:pPr>
        <w:tabs>
          <w:tab w:val="left" w:pos="8505"/>
        </w:tabs>
        <w:jc w:val="center"/>
        <w:rPr>
          <w:rFonts w:ascii="Aptos" w:hAnsi="Aptos"/>
          <w:b/>
          <w:bCs/>
          <w:lang w:val="pl-PL"/>
        </w:rPr>
      </w:pPr>
      <w:r w:rsidRPr="00D7225C">
        <w:rPr>
          <w:rFonts w:ascii="Aptos" w:hAnsi="Aptos"/>
          <w:b/>
          <w:bCs/>
          <w:lang w:val="pl-PL"/>
        </w:rPr>
        <w:t xml:space="preserve">The Impossible </w:t>
      </w:r>
      <w:proofErr w:type="spellStart"/>
      <w:r w:rsidRPr="00D7225C">
        <w:rPr>
          <w:rFonts w:ascii="Aptos" w:hAnsi="Aptos"/>
          <w:b/>
          <w:bCs/>
          <w:lang w:val="pl-PL"/>
        </w:rPr>
        <w:t>Gym</w:t>
      </w:r>
      <w:proofErr w:type="spellEnd"/>
      <w:r w:rsidRPr="00D7225C">
        <w:rPr>
          <w:rFonts w:ascii="Aptos" w:hAnsi="Aptos"/>
          <w:b/>
          <w:bCs/>
          <w:lang w:val="pl-PL"/>
        </w:rPr>
        <w:t xml:space="preserve"> </w:t>
      </w:r>
      <w:r w:rsidR="006A3BCD">
        <w:rPr>
          <w:rFonts w:ascii="Aptos" w:hAnsi="Aptos"/>
          <w:b/>
          <w:bCs/>
          <w:lang w:val="pl-PL"/>
        </w:rPr>
        <w:t xml:space="preserve">w Gdańsku </w:t>
      </w:r>
      <w:r w:rsidRPr="00D7225C">
        <w:rPr>
          <w:rFonts w:ascii="Aptos" w:hAnsi="Aptos"/>
          <w:b/>
          <w:bCs/>
          <w:lang w:val="pl-PL"/>
        </w:rPr>
        <w:t xml:space="preserve">– </w:t>
      </w:r>
      <w:r w:rsidR="00D6693C">
        <w:rPr>
          <w:rFonts w:ascii="Aptos" w:hAnsi="Aptos"/>
          <w:b/>
          <w:bCs/>
          <w:lang w:val="pl-PL"/>
        </w:rPr>
        <w:t>zrozum</w:t>
      </w:r>
      <w:r w:rsidRPr="00D7225C">
        <w:rPr>
          <w:rFonts w:ascii="Aptos" w:hAnsi="Aptos"/>
          <w:b/>
          <w:bCs/>
          <w:lang w:val="pl-PL"/>
        </w:rPr>
        <w:t xml:space="preserve"> otyłość</w:t>
      </w:r>
    </w:p>
    <w:p w14:paraId="3FBCAD77" w14:textId="5024C197" w:rsidR="00181BC7" w:rsidRDefault="00181BC7" w:rsidP="00D7225C">
      <w:pPr>
        <w:tabs>
          <w:tab w:val="left" w:pos="8505"/>
        </w:tabs>
        <w:jc w:val="center"/>
        <w:rPr>
          <w:rFonts w:ascii="Aptos" w:hAnsi="Aptos"/>
          <w:b/>
          <w:bCs/>
          <w:sz w:val="22"/>
          <w:szCs w:val="22"/>
          <w:lang w:val="pl-PL"/>
        </w:rPr>
      </w:pPr>
    </w:p>
    <w:p w14:paraId="5FC85B89" w14:textId="3721C9F1" w:rsidR="004738A2" w:rsidRPr="00E43992" w:rsidRDefault="00CA4089" w:rsidP="004738A2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E43992">
        <w:rPr>
          <w:rFonts w:ascii="Aptos" w:hAnsi="Aptos"/>
          <w:sz w:val="20"/>
          <w:szCs w:val="20"/>
          <w:lang w:val="pl-PL"/>
        </w:rPr>
        <w:t xml:space="preserve">Instalacja </w:t>
      </w:r>
      <w:r w:rsidR="006867AB" w:rsidRPr="00E43992">
        <w:rPr>
          <w:rFonts w:ascii="Aptos" w:hAnsi="Aptos"/>
          <w:sz w:val="20"/>
          <w:szCs w:val="20"/>
          <w:lang w:val="pl-PL"/>
        </w:rPr>
        <w:t xml:space="preserve">będzie działała </w:t>
      </w:r>
      <w:r w:rsidR="009B458D" w:rsidRPr="00E43992">
        <w:rPr>
          <w:rFonts w:ascii="Aptos" w:hAnsi="Aptos"/>
          <w:sz w:val="20"/>
          <w:szCs w:val="20"/>
          <w:lang w:val="pl-PL"/>
        </w:rPr>
        <w:t>na terenie</w:t>
      </w:r>
      <w:r w:rsidR="006867AB" w:rsidRPr="00E43992">
        <w:rPr>
          <w:rFonts w:ascii="Aptos" w:hAnsi="Aptos"/>
          <w:sz w:val="20"/>
          <w:szCs w:val="20"/>
          <w:lang w:val="pl-PL"/>
        </w:rPr>
        <w:t xml:space="preserve"> </w:t>
      </w:r>
      <w:r w:rsidR="00FB1C4B" w:rsidRPr="00E43992">
        <w:rPr>
          <w:rFonts w:ascii="Aptos" w:hAnsi="Aptos"/>
          <w:sz w:val="20"/>
          <w:szCs w:val="20"/>
          <w:lang w:val="pl-PL"/>
        </w:rPr>
        <w:t>Forum Gdańsk</w:t>
      </w:r>
      <w:r w:rsidR="006867AB" w:rsidRPr="00E43992">
        <w:rPr>
          <w:rFonts w:ascii="Aptos" w:hAnsi="Aptos"/>
          <w:sz w:val="20"/>
          <w:szCs w:val="20"/>
          <w:lang w:val="pl-PL"/>
        </w:rPr>
        <w:t xml:space="preserve"> od </w:t>
      </w:r>
      <w:r w:rsidR="00FB1C4B" w:rsidRPr="00E43992">
        <w:rPr>
          <w:rFonts w:ascii="Aptos" w:hAnsi="Aptos"/>
          <w:sz w:val="20"/>
          <w:szCs w:val="20"/>
          <w:lang w:val="pl-PL"/>
        </w:rPr>
        <w:t>16</w:t>
      </w:r>
      <w:r w:rsidR="006867AB" w:rsidRPr="00E43992">
        <w:rPr>
          <w:rFonts w:ascii="Aptos" w:hAnsi="Aptos"/>
          <w:sz w:val="20"/>
          <w:szCs w:val="20"/>
          <w:lang w:val="pl-PL"/>
        </w:rPr>
        <w:t xml:space="preserve"> do</w:t>
      </w:r>
      <w:r w:rsidR="004738A2" w:rsidRPr="00E43992">
        <w:rPr>
          <w:rFonts w:ascii="Aptos" w:hAnsi="Aptos"/>
          <w:sz w:val="20"/>
          <w:szCs w:val="20"/>
          <w:lang w:val="pl-PL"/>
        </w:rPr>
        <w:t xml:space="preserve"> </w:t>
      </w:r>
      <w:r w:rsidR="00541075" w:rsidRPr="00E43992">
        <w:rPr>
          <w:rFonts w:ascii="Aptos" w:hAnsi="Aptos"/>
          <w:sz w:val="20"/>
          <w:szCs w:val="20"/>
          <w:lang w:val="pl-PL"/>
        </w:rPr>
        <w:t>1</w:t>
      </w:r>
      <w:r w:rsidR="00FB1C4B" w:rsidRPr="00E43992">
        <w:rPr>
          <w:rFonts w:ascii="Aptos" w:hAnsi="Aptos"/>
          <w:sz w:val="20"/>
          <w:szCs w:val="20"/>
          <w:lang w:val="pl-PL"/>
        </w:rPr>
        <w:t>8</w:t>
      </w:r>
      <w:r w:rsidR="006867AB" w:rsidRPr="00E43992">
        <w:rPr>
          <w:rFonts w:ascii="Aptos" w:hAnsi="Aptos"/>
          <w:sz w:val="20"/>
          <w:szCs w:val="20"/>
          <w:lang w:val="pl-PL"/>
        </w:rPr>
        <w:t xml:space="preserve"> </w:t>
      </w:r>
      <w:r w:rsidR="004738A2" w:rsidRPr="00E43992">
        <w:rPr>
          <w:rFonts w:ascii="Aptos" w:hAnsi="Aptos"/>
          <w:sz w:val="20"/>
          <w:szCs w:val="20"/>
          <w:lang w:val="pl-PL"/>
        </w:rPr>
        <w:t>lipca</w:t>
      </w:r>
      <w:r w:rsidR="00F53C94" w:rsidRPr="00E43992">
        <w:rPr>
          <w:rFonts w:ascii="Aptos" w:hAnsi="Aptos"/>
          <w:sz w:val="20"/>
          <w:szCs w:val="20"/>
          <w:lang w:val="pl-PL"/>
        </w:rPr>
        <w:t xml:space="preserve"> 2026 r</w:t>
      </w:r>
      <w:r w:rsidR="006867AB" w:rsidRPr="00E43992">
        <w:rPr>
          <w:rFonts w:ascii="Aptos" w:hAnsi="Aptos"/>
          <w:sz w:val="20"/>
          <w:szCs w:val="20"/>
          <w:lang w:val="pl-PL"/>
        </w:rPr>
        <w:t>.</w:t>
      </w:r>
    </w:p>
    <w:p w14:paraId="06230700" w14:textId="027DBD8D" w:rsidR="00862814" w:rsidRPr="00E43992" w:rsidRDefault="004738A2" w:rsidP="004738A2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E43992">
        <w:rPr>
          <w:rFonts w:ascii="Aptos" w:hAnsi="Aptos"/>
          <w:sz w:val="20"/>
          <w:szCs w:val="20"/>
          <w:lang w:val="pl-PL"/>
        </w:rPr>
        <w:t>O</w:t>
      </w:r>
      <w:r w:rsidR="006867AB" w:rsidRPr="00E43992">
        <w:rPr>
          <w:rFonts w:ascii="Aptos" w:hAnsi="Aptos"/>
          <w:sz w:val="20"/>
          <w:szCs w:val="20"/>
          <w:lang w:val="pl-PL"/>
        </w:rPr>
        <w:t>dwiedzający będą mogli skorzystać z bezpłatnej analizy składu</w:t>
      </w:r>
      <w:r w:rsidR="006328FA" w:rsidRPr="00E43992">
        <w:rPr>
          <w:rFonts w:ascii="Aptos" w:hAnsi="Aptos"/>
          <w:sz w:val="20"/>
          <w:szCs w:val="20"/>
          <w:lang w:val="pl-PL"/>
        </w:rPr>
        <w:t xml:space="preserve"> </w:t>
      </w:r>
      <w:r w:rsidR="006867AB" w:rsidRPr="00E43992">
        <w:rPr>
          <w:rFonts w:ascii="Aptos" w:hAnsi="Aptos"/>
          <w:sz w:val="20"/>
          <w:szCs w:val="20"/>
          <w:lang w:val="pl-PL"/>
        </w:rPr>
        <w:t>ciała oraz</w:t>
      </w:r>
      <w:r w:rsidR="00EA6E7D" w:rsidRPr="00E43992">
        <w:rPr>
          <w:rFonts w:ascii="Aptos" w:hAnsi="Aptos"/>
          <w:sz w:val="20"/>
          <w:szCs w:val="20"/>
          <w:lang w:val="pl-PL"/>
        </w:rPr>
        <w:t xml:space="preserve"> bezpłatnych</w:t>
      </w:r>
      <w:r w:rsidR="006867AB" w:rsidRPr="00E43992">
        <w:rPr>
          <w:rFonts w:ascii="Aptos" w:hAnsi="Aptos"/>
          <w:sz w:val="20"/>
          <w:szCs w:val="20"/>
          <w:lang w:val="pl-PL"/>
        </w:rPr>
        <w:t xml:space="preserve"> konsultacji z diete</w:t>
      </w:r>
      <w:r w:rsidR="005B3EFA" w:rsidRPr="00E43992">
        <w:rPr>
          <w:rFonts w:ascii="Aptos" w:hAnsi="Aptos"/>
          <w:sz w:val="20"/>
          <w:szCs w:val="20"/>
          <w:lang w:val="pl-PL"/>
        </w:rPr>
        <w:t>tykami.</w:t>
      </w:r>
    </w:p>
    <w:p w14:paraId="432F7ED8" w14:textId="39280E1C" w:rsidR="00B47B95" w:rsidRPr="00E43992" w:rsidRDefault="00862814" w:rsidP="00B47B95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E43992">
        <w:rPr>
          <w:rFonts w:ascii="Aptos" w:hAnsi="Aptos"/>
          <w:sz w:val="20"/>
          <w:szCs w:val="20"/>
          <w:lang w:val="pl-PL"/>
        </w:rPr>
        <w:t xml:space="preserve">Instalacja „The Impossible </w:t>
      </w:r>
      <w:proofErr w:type="spellStart"/>
      <w:r w:rsidRPr="00E43992">
        <w:rPr>
          <w:rFonts w:ascii="Aptos" w:hAnsi="Aptos"/>
          <w:sz w:val="20"/>
          <w:szCs w:val="20"/>
          <w:lang w:val="pl-PL"/>
        </w:rPr>
        <w:t>Gym</w:t>
      </w:r>
      <w:proofErr w:type="spellEnd"/>
      <w:r w:rsidRPr="00E43992">
        <w:rPr>
          <w:rFonts w:ascii="Aptos" w:hAnsi="Aptos"/>
          <w:sz w:val="20"/>
          <w:szCs w:val="20"/>
          <w:lang w:val="pl-PL"/>
        </w:rPr>
        <w:t>” realizowana jest w ramach kampanii edukacyjnej</w:t>
      </w:r>
      <w:r w:rsidR="005B3EFA" w:rsidRPr="00E43992">
        <w:rPr>
          <w:rFonts w:ascii="Aptos" w:hAnsi="Aptos"/>
          <w:sz w:val="20"/>
          <w:szCs w:val="20"/>
          <w:lang w:val="pl-PL"/>
        </w:rPr>
        <w:t xml:space="preserve"> </w:t>
      </w:r>
      <w:r w:rsidRPr="00E43992">
        <w:rPr>
          <w:rFonts w:ascii="Aptos" w:hAnsi="Aptos"/>
          <w:sz w:val="20"/>
          <w:szCs w:val="20"/>
          <w:lang w:val="pl-PL"/>
        </w:rPr>
        <w:t xml:space="preserve">Eli </w:t>
      </w:r>
      <w:proofErr w:type="spellStart"/>
      <w:r w:rsidRPr="00E43992">
        <w:rPr>
          <w:rFonts w:ascii="Aptos" w:hAnsi="Aptos"/>
          <w:sz w:val="20"/>
          <w:szCs w:val="20"/>
          <w:lang w:val="pl-PL"/>
        </w:rPr>
        <w:t>Lilly</w:t>
      </w:r>
      <w:proofErr w:type="spellEnd"/>
      <w:r w:rsidRPr="00E43992">
        <w:rPr>
          <w:rFonts w:ascii="Aptos" w:hAnsi="Aptos"/>
          <w:sz w:val="20"/>
          <w:szCs w:val="20"/>
          <w:lang w:val="pl-PL"/>
        </w:rPr>
        <w:t xml:space="preserve"> Polska</w:t>
      </w:r>
      <w:r w:rsidR="005B3EFA" w:rsidRPr="00E43992">
        <w:rPr>
          <w:rFonts w:ascii="Aptos" w:hAnsi="Aptos"/>
          <w:sz w:val="20"/>
          <w:szCs w:val="20"/>
          <w:lang w:val="pl-PL"/>
        </w:rPr>
        <w:t>, której</w:t>
      </w:r>
      <w:r w:rsidRPr="00E43992">
        <w:rPr>
          <w:rFonts w:ascii="Aptos" w:hAnsi="Aptos"/>
          <w:sz w:val="20"/>
          <w:szCs w:val="20"/>
          <w:lang w:val="pl-PL"/>
        </w:rPr>
        <w:t xml:space="preserve"> celem jest zwiększanie świadomości otyłości jako choroby, która dotyka już ok. 9 mln Polakó</w:t>
      </w:r>
      <w:r w:rsidR="005B3EFA" w:rsidRPr="00E43992">
        <w:rPr>
          <w:rFonts w:ascii="Aptos" w:hAnsi="Aptos"/>
          <w:sz w:val="20"/>
          <w:szCs w:val="20"/>
          <w:lang w:val="pl-PL"/>
        </w:rPr>
        <w:t>w</w:t>
      </w:r>
      <w:r w:rsidRPr="00E43992">
        <w:rPr>
          <w:rStyle w:val="Odwoanieprzypisudolnego"/>
          <w:rFonts w:ascii="Aptos" w:hAnsi="Aptos"/>
          <w:sz w:val="20"/>
          <w:szCs w:val="20"/>
          <w:lang w:val="pl-PL"/>
        </w:rPr>
        <w:footnoteReference w:id="2"/>
      </w:r>
      <w:r w:rsidRPr="00E43992">
        <w:rPr>
          <w:rFonts w:ascii="Aptos" w:hAnsi="Aptos"/>
          <w:sz w:val="20"/>
          <w:szCs w:val="20"/>
          <w:lang w:val="pl-PL"/>
        </w:rPr>
        <w:t>,</w:t>
      </w:r>
      <w:r w:rsidR="007E1C01" w:rsidRPr="00E43992">
        <w:rPr>
          <w:rFonts w:ascii="Aptos" w:hAnsi="Aptos"/>
          <w:sz w:val="20"/>
          <w:szCs w:val="20"/>
          <w:lang w:val="pl-PL"/>
        </w:rPr>
        <w:t xml:space="preserve"> </w:t>
      </w:r>
      <w:r w:rsidRPr="00E43992">
        <w:rPr>
          <w:rFonts w:ascii="Aptos" w:hAnsi="Aptos"/>
          <w:sz w:val="20"/>
          <w:szCs w:val="20"/>
          <w:lang w:val="pl-PL"/>
        </w:rPr>
        <w:t>wsparcie pacjentów w ich drodze do zdrowia oraz przeciwdziałanie stygmatyzacji społecznej.</w:t>
      </w:r>
    </w:p>
    <w:p w14:paraId="14000849" w14:textId="0AE7B4DD" w:rsidR="00B47B95" w:rsidRPr="00E43992" w:rsidRDefault="00B265B0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E43992">
        <w:rPr>
          <w:rFonts w:ascii="Aptos" w:hAnsi="Aptos"/>
          <w:b/>
          <w:bCs/>
          <w:sz w:val="20"/>
          <w:szCs w:val="20"/>
          <w:lang w:val="pl-PL"/>
        </w:rPr>
        <w:t>Gdańsk</w:t>
      </w:r>
      <w:r w:rsidR="004738A2" w:rsidRPr="00E43992">
        <w:rPr>
          <w:rFonts w:ascii="Aptos" w:hAnsi="Aptos"/>
          <w:b/>
          <w:bCs/>
          <w:sz w:val="20"/>
          <w:szCs w:val="20"/>
          <w:lang w:val="pl-PL"/>
        </w:rPr>
        <w:t xml:space="preserve">, </w:t>
      </w:r>
      <w:r w:rsidR="00FB1C4B" w:rsidRPr="00E43992">
        <w:rPr>
          <w:rFonts w:ascii="Aptos" w:hAnsi="Aptos"/>
          <w:b/>
          <w:bCs/>
          <w:sz w:val="20"/>
          <w:szCs w:val="20"/>
          <w:lang w:val="pl-PL"/>
        </w:rPr>
        <w:t>1</w:t>
      </w:r>
      <w:r w:rsidR="006A3BCD">
        <w:rPr>
          <w:rFonts w:ascii="Aptos" w:hAnsi="Aptos"/>
          <w:b/>
          <w:bCs/>
          <w:sz w:val="20"/>
          <w:szCs w:val="20"/>
          <w:lang w:val="pl-PL"/>
        </w:rPr>
        <w:t>3</w:t>
      </w:r>
      <w:r w:rsidR="00862814" w:rsidRPr="00E43992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4738A2" w:rsidRPr="00E43992">
        <w:rPr>
          <w:rFonts w:ascii="Aptos" w:hAnsi="Aptos"/>
          <w:b/>
          <w:bCs/>
          <w:sz w:val="20"/>
          <w:szCs w:val="20"/>
          <w:lang w:val="pl-PL"/>
        </w:rPr>
        <w:t>lipca</w:t>
      </w:r>
      <w:r w:rsidR="00862814" w:rsidRPr="00E43992">
        <w:rPr>
          <w:rFonts w:ascii="Aptos" w:hAnsi="Aptos"/>
          <w:b/>
          <w:bCs/>
          <w:sz w:val="20"/>
          <w:szCs w:val="20"/>
          <w:lang w:val="pl-PL"/>
        </w:rPr>
        <w:t xml:space="preserve"> 2026 r. –</w:t>
      </w:r>
      <w:r w:rsidR="004738A2" w:rsidRPr="00E43992">
        <w:rPr>
          <w:rFonts w:ascii="Aptos" w:hAnsi="Aptos"/>
          <w:b/>
          <w:bCs/>
          <w:sz w:val="20"/>
          <w:szCs w:val="20"/>
          <w:lang w:val="pl-PL"/>
        </w:rPr>
        <w:t xml:space="preserve"> już </w:t>
      </w:r>
      <w:r w:rsidR="004932D5" w:rsidRPr="00E43992">
        <w:rPr>
          <w:rFonts w:ascii="Aptos" w:hAnsi="Aptos"/>
          <w:b/>
          <w:bCs/>
          <w:sz w:val="20"/>
          <w:szCs w:val="20"/>
          <w:lang w:val="pl-PL"/>
        </w:rPr>
        <w:t xml:space="preserve">w czwartek, </w:t>
      </w:r>
      <w:r w:rsidR="00FB1C4B" w:rsidRPr="00E43992">
        <w:rPr>
          <w:rFonts w:ascii="Aptos" w:hAnsi="Aptos"/>
          <w:b/>
          <w:bCs/>
          <w:sz w:val="20"/>
          <w:szCs w:val="20"/>
          <w:lang w:val="pl-PL"/>
        </w:rPr>
        <w:t>16</w:t>
      </w:r>
      <w:r w:rsidR="004738A2" w:rsidRPr="00E43992">
        <w:rPr>
          <w:rFonts w:ascii="Aptos" w:hAnsi="Aptos"/>
          <w:b/>
          <w:bCs/>
          <w:sz w:val="20"/>
          <w:szCs w:val="20"/>
          <w:lang w:val="pl-PL"/>
        </w:rPr>
        <w:t xml:space="preserve"> lipca</w:t>
      </w:r>
      <w:r w:rsidR="009B458D" w:rsidRPr="00E43992">
        <w:rPr>
          <w:rFonts w:ascii="Aptos" w:hAnsi="Aptos"/>
          <w:b/>
          <w:bCs/>
          <w:sz w:val="20"/>
          <w:szCs w:val="20"/>
          <w:lang w:val="pl-PL"/>
        </w:rPr>
        <w:t xml:space="preserve"> br.,</w:t>
      </w:r>
      <w:r w:rsidR="004738A2" w:rsidRPr="00E43992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9B458D" w:rsidRPr="00E43992">
        <w:rPr>
          <w:rFonts w:ascii="Aptos" w:hAnsi="Aptos"/>
          <w:b/>
          <w:bCs/>
          <w:sz w:val="20"/>
          <w:szCs w:val="20"/>
          <w:lang w:val="pl-PL"/>
        </w:rPr>
        <w:t>przed</w:t>
      </w:r>
      <w:r w:rsidR="004738A2" w:rsidRPr="00E43992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FB1C4B" w:rsidRPr="00E43992">
        <w:rPr>
          <w:rFonts w:ascii="Aptos" w:hAnsi="Aptos"/>
          <w:b/>
          <w:bCs/>
          <w:sz w:val="20"/>
          <w:szCs w:val="20"/>
          <w:lang w:val="pl-PL"/>
        </w:rPr>
        <w:t>Forum Gdańsk</w:t>
      </w:r>
      <w:r w:rsidR="009B458D" w:rsidRPr="00E43992">
        <w:rPr>
          <w:rFonts w:ascii="Aptos" w:hAnsi="Aptos"/>
          <w:b/>
          <w:bCs/>
          <w:sz w:val="20"/>
          <w:szCs w:val="20"/>
          <w:lang w:val="pl-PL"/>
        </w:rPr>
        <w:t xml:space="preserve"> stanie </w:t>
      </w:r>
      <w:r w:rsidR="002E3B7D" w:rsidRPr="00E43992">
        <w:rPr>
          <w:rFonts w:ascii="Aptos" w:hAnsi="Aptos"/>
          <w:b/>
          <w:bCs/>
          <w:sz w:val="20"/>
          <w:szCs w:val="20"/>
          <w:lang w:val="pl-PL"/>
        </w:rPr>
        <w:t xml:space="preserve">wyjątkowa instalacja pod nazwą „The Impossible </w:t>
      </w:r>
      <w:proofErr w:type="spellStart"/>
      <w:r w:rsidR="002E3B7D" w:rsidRPr="00E43992">
        <w:rPr>
          <w:rFonts w:ascii="Aptos" w:hAnsi="Aptos"/>
          <w:b/>
          <w:bCs/>
          <w:sz w:val="20"/>
          <w:szCs w:val="20"/>
          <w:lang w:val="pl-PL"/>
        </w:rPr>
        <w:t>Gym</w:t>
      </w:r>
      <w:proofErr w:type="spellEnd"/>
      <w:r w:rsidR="002E3B7D" w:rsidRPr="00E43992">
        <w:rPr>
          <w:rFonts w:ascii="Aptos" w:hAnsi="Aptos"/>
          <w:b/>
          <w:bCs/>
          <w:sz w:val="20"/>
          <w:szCs w:val="20"/>
          <w:lang w:val="pl-PL"/>
        </w:rPr>
        <w:t xml:space="preserve">”. </w:t>
      </w:r>
      <w:r w:rsidR="002E3B7D" w:rsidRPr="00E43992">
        <w:rPr>
          <w:rFonts w:ascii="Aptos" w:hAnsi="Aptos"/>
          <w:sz w:val="20"/>
          <w:szCs w:val="20"/>
          <w:lang w:val="pl-PL"/>
        </w:rPr>
        <w:t>Siłownia wyposażona w sprzęty, na których nie można ćwiczyć, symbolizuje codzienne wyzwania</w:t>
      </w:r>
      <w:r w:rsidR="00B24A8A" w:rsidRPr="00E43992">
        <w:rPr>
          <w:rFonts w:ascii="Aptos" w:hAnsi="Aptos"/>
          <w:sz w:val="20"/>
          <w:szCs w:val="20"/>
          <w:lang w:val="pl-PL"/>
        </w:rPr>
        <w:t>,</w:t>
      </w:r>
      <w:r w:rsidR="002E3B7D" w:rsidRPr="00E43992">
        <w:rPr>
          <w:rFonts w:ascii="Aptos" w:hAnsi="Aptos"/>
          <w:sz w:val="20"/>
          <w:szCs w:val="20"/>
          <w:lang w:val="pl-PL"/>
        </w:rPr>
        <w:t xml:space="preserve"> z jakimi mierzą się osoby z chorobą </w:t>
      </w:r>
      <w:proofErr w:type="spellStart"/>
      <w:r w:rsidR="002E3B7D" w:rsidRPr="00E43992">
        <w:rPr>
          <w:rFonts w:ascii="Aptos" w:hAnsi="Aptos"/>
          <w:sz w:val="20"/>
          <w:szCs w:val="20"/>
          <w:lang w:val="pl-PL"/>
        </w:rPr>
        <w:t>otyłościową</w:t>
      </w:r>
      <w:proofErr w:type="spellEnd"/>
      <w:r w:rsidR="002E3B7D" w:rsidRPr="00E43992">
        <w:rPr>
          <w:rFonts w:ascii="Aptos" w:hAnsi="Aptos"/>
          <w:sz w:val="20"/>
          <w:szCs w:val="20"/>
          <w:lang w:val="pl-PL"/>
        </w:rPr>
        <w:t xml:space="preserve"> – natury biologicznej, fizycznej oraz psychologicznej.</w:t>
      </w:r>
      <w:r w:rsidR="009B458D" w:rsidRPr="00E43992">
        <w:rPr>
          <w:rFonts w:ascii="Aptos" w:hAnsi="Aptos"/>
          <w:sz w:val="20"/>
          <w:szCs w:val="20"/>
          <w:lang w:val="pl-PL"/>
        </w:rPr>
        <w:t xml:space="preserve"> </w:t>
      </w:r>
      <w:r w:rsidR="002E3B7D" w:rsidRPr="00E43992">
        <w:rPr>
          <w:rFonts w:ascii="Aptos" w:hAnsi="Aptos"/>
          <w:sz w:val="20"/>
          <w:szCs w:val="20"/>
          <w:lang w:val="pl-PL"/>
        </w:rPr>
        <w:t xml:space="preserve">„The Impossible </w:t>
      </w:r>
      <w:proofErr w:type="spellStart"/>
      <w:r w:rsidR="002E3B7D" w:rsidRPr="00E43992">
        <w:rPr>
          <w:rFonts w:ascii="Aptos" w:hAnsi="Aptos"/>
          <w:sz w:val="20"/>
          <w:szCs w:val="20"/>
          <w:lang w:val="pl-PL"/>
        </w:rPr>
        <w:t>Gym</w:t>
      </w:r>
      <w:proofErr w:type="spellEnd"/>
      <w:r w:rsidR="002E3B7D" w:rsidRPr="00E43992">
        <w:rPr>
          <w:rFonts w:ascii="Aptos" w:hAnsi="Aptos"/>
          <w:sz w:val="20"/>
          <w:szCs w:val="20"/>
          <w:lang w:val="pl-PL"/>
        </w:rPr>
        <w:t xml:space="preserve">” </w:t>
      </w:r>
      <w:r w:rsidR="009B458D" w:rsidRPr="00E43992">
        <w:rPr>
          <w:rFonts w:ascii="Aptos" w:hAnsi="Aptos"/>
          <w:sz w:val="20"/>
          <w:szCs w:val="20"/>
          <w:lang w:val="pl-PL"/>
        </w:rPr>
        <w:t>jest</w:t>
      </w:r>
      <w:r w:rsidR="002E3B7D" w:rsidRPr="00E43992">
        <w:rPr>
          <w:rFonts w:ascii="Aptos" w:hAnsi="Aptos"/>
          <w:sz w:val="20"/>
          <w:szCs w:val="20"/>
          <w:lang w:val="pl-PL"/>
        </w:rPr>
        <w:t xml:space="preserve"> jednocześnie przestrzenią edukacji </w:t>
      </w:r>
      <w:r w:rsidR="00EE37EE" w:rsidRPr="00E43992">
        <w:rPr>
          <w:rFonts w:ascii="Aptos" w:hAnsi="Aptos"/>
          <w:sz w:val="20"/>
          <w:szCs w:val="20"/>
          <w:lang w:val="pl-PL"/>
        </w:rPr>
        <w:t>nt. otyłości oraz wsparcia pacjentów w ich drodze do zdrowia.</w:t>
      </w:r>
      <w:r w:rsidR="009B458D" w:rsidRPr="00E43992">
        <w:rPr>
          <w:rFonts w:ascii="Aptos" w:hAnsi="Aptos"/>
          <w:sz w:val="20"/>
          <w:szCs w:val="20"/>
          <w:lang w:val="pl-PL"/>
        </w:rPr>
        <w:t xml:space="preserve"> </w:t>
      </w:r>
      <w:r w:rsidR="00A27E8C" w:rsidRPr="00E43992">
        <w:rPr>
          <w:rFonts w:ascii="Aptos" w:hAnsi="Aptos"/>
          <w:b/>
          <w:bCs/>
          <w:sz w:val="20"/>
          <w:szCs w:val="20"/>
          <w:lang w:val="pl-PL"/>
        </w:rPr>
        <w:t>Od</w:t>
      </w:r>
      <w:r w:rsidR="00A27E8C" w:rsidRPr="00E43992">
        <w:rPr>
          <w:rFonts w:ascii="Aptos" w:hAnsi="Aptos"/>
          <w:sz w:val="20"/>
          <w:szCs w:val="20"/>
          <w:lang w:val="pl-PL"/>
        </w:rPr>
        <w:t xml:space="preserve"> </w:t>
      </w:r>
      <w:r w:rsidR="009C0BCF" w:rsidRPr="00E43992">
        <w:rPr>
          <w:rFonts w:ascii="Aptos" w:hAnsi="Aptos"/>
          <w:b/>
          <w:bCs/>
          <w:sz w:val="20"/>
          <w:szCs w:val="20"/>
          <w:lang w:val="pl-PL"/>
        </w:rPr>
        <w:t>16</w:t>
      </w:r>
      <w:r w:rsidR="009B458D" w:rsidRPr="00E43992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A27E8C" w:rsidRPr="00E43992">
        <w:rPr>
          <w:rFonts w:ascii="Aptos" w:hAnsi="Aptos"/>
          <w:b/>
          <w:bCs/>
          <w:sz w:val="20"/>
          <w:szCs w:val="20"/>
          <w:lang w:val="pl-PL"/>
        </w:rPr>
        <w:t xml:space="preserve">do </w:t>
      </w:r>
      <w:r w:rsidR="004932D5" w:rsidRPr="00E43992">
        <w:rPr>
          <w:rFonts w:ascii="Aptos" w:hAnsi="Aptos"/>
          <w:b/>
          <w:bCs/>
          <w:sz w:val="20"/>
          <w:szCs w:val="20"/>
          <w:lang w:val="pl-PL"/>
        </w:rPr>
        <w:t>1</w:t>
      </w:r>
      <w:r w:rsidR="009C0BCF" w:rsidRPr="00E43992">
        <w:rPr>
          <w:rFonts w:ascii="Aptos" w:hAnsi="Aptos"/>
          <w:b/>
          <w:bCs/>
          <w:sz w:val="20"/>
          <w:szCs w:val="20"/>
          <w:lang w:val="pl-PL"/>
        </w:rPr>
        <w:t>8</w:t>
      </w:r>
      <w:r w:rsidR="00A27E8C" w:rsidRPr="00E43992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9B458D" w:rsidRPr="00E43992">
        <w:rPr>
          <w:rFonts w:ascii="Aptos" w:hAnsi="Aptos"/>
          <w:b/>
          <w:bCs/>
          <w:sz w:val="20"/>
          <w:szCs w:val="20"/>
          <w:lang w:val="pl-PL"/>
        </w:rPr>
        <w:t>lipca</w:t>
      </w:r>
      <w:r w:rsidR="00A27E8C" w:rsidRPr="00E43992">
        <w:rPr>
          <w:rFonts w:ascii="Aptos" w:hAnsi="Aptos"/>
          <w:b/>
          <w:bCs/>
          <w:sz w:val="20"/>
          <w:szCs w:val="20"/>
          <w:lang w:val="pl-PL"/>
        </w:rPr>
        <w:t xml:space="preserve"> br.,</w:t>
      </w:r>
      <w:r w:rsidR="009B458D" w:rsidRPr="00E43992">
        <w:rPr>
          <w:rFonts w:ascii="Aptos" w:hAnsi="Aptos"/>
          <w:b/>
          <w:bCs/>
          <w:sz w:val="20"/>
          <w:szCs w:val="20"/>
          <w:lang w:val="pl-PL"/>
        </w:rPr>
        <w:t xml:space="preserve"> w godzinach 1</w:t>
      </w:r>
      <w:r w:rsidR="00A27E8C" w:rsidRPr="00E43992">
        <w:rPr>
          <w:rFonts w:ascii="Aptos" w:hAnsi="Aptos"/>
          <w:b/>
          <w:bCs/>
          <w:sz w:val="20"/>
          <w:szCs w:val="20"/>
          <w:lang w:val="pl-PL"/>
        </w:rPr>
        <w:t>1</w:t>
      </w:r>
      <w:r w:rsidR="009B458D" w:rsidRPr="00E43992">
        <w:rPr>
          <w:rFonts w:ascii="Aptos" w:hAnsi="Aptos"/>
          <w:b/>
          <w:bCs/>
          <w:sz w:val="20"/>
          <w:szCs w:val="20"/>
          <w:lang w:val="pl-PL"/>
        </w:rPr>
        <w:t>:00-20:0</w:t>
      </w:r>
      <w:r w:rsidR="00A27E8C" w:rsidRPr="00E43992">
        <w:rPr>
          <w:rFonts w:ascii="Aptos" w:hAnsi="Aptos"/>
          <w:b/>
          <w:bCs/>
          <w:sz w:val="20"/>
          <w:szCs w:val="20"/>
          <w:lang w:val="pl-PL"/>
        </w:rPr>
        <w:t xml:space="preserve">0, </w:t>
      </w:r>
      <w:r w:rsidR="002E3B7D" w:rsidRPr="00E43992">
        <w:rPr>
          <w:rFonts w:ascii="Aptos" w:hAnsi="Aptos"/>
          <w:b/>
          <w:bCs/>
          <w:sz w:val="20"/>
          <w:szCs w:val="20"/>
          <w:lang w:val="pl-PL"/>
        </w:rPr>
        <w:t>odwiedzający będą mogli skorzystać z bezpłatnych pomiarów składu</w:t>
      </w:r>
      <w:r w:rsidR="00A30BBE" w:rsidRPr="00E43992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2E3B7D" w:rsidRPr="00E43992">
        <w:rPr>
          <w:rFonts w:ascii="Aptos" w:hAnsi="Aptos"/>
          <w:b/>
          <w:bCs/>
          <w:sz w:val="20"/>
          <w:szCs w:val="20"/>
          <w:lang w:val="pl-PL"/>
        </w:rPr>
        <w:t>ciała oraz konsultacji z dietety</w:t>
      </w:r>
      <w:r w:rsidR="005B3EFA" w:rsidRPr="00E43992">
        <w:rPr>
          <w:rFonts w:ascii="Aptos" w:hAnsi="Aptos"/>
          <w:b/>
          <w:bCs/>
          <w:sz w:val="20"/>
          <w:szCs w:val="20"/>
          <w:lang w:val="pl-PL"/>
        </w:rPr>
        <w:t>kami</w:t>
      </w:r>
      <w:r w:rsidR="00190A71" w:rsidRPr="00E43992">
        <w:rPr>
          <w:rFonts w:ascii="Aptos" w:hAnsi="Aptos"/>
          <w:b/>
          <w:bCs/>
          <w:sz w:val="20"/>
          <w:szCs w:val="20"/>
          <w:lang w:val="pl-PL"/>
        </w:rPr>
        <w:t xml:space="preserve"> w trzech gabinetach</w:t>
      </w:r>
      <w:r w:rsidR="002E3B7D" w:rsidRPr="00E43992">
        <w:rPr>
          <w:rFonts w:ascii="Aptos" w:hAnsi="Aptos"/>
          <w:b/>
          <w:bCs/>
          <w:sz w:val="20"/>
          <w:szCs w:val="20"/>
          <w:lang w:val="pl-PL"/>
        </w:rPr>
        <w:t xml:space="preserve">. </w:t>
      </w:r>
      <w:r w:rsidR="00EE37EE" w:rsidRPr="00E43992">
        <w:rPr>
          <w:rFonts w:ascii="Aptos" w:hAnsi="Aptos"/>
          <w:sz w:val="20"/>
          <w:szCs w:val="20"/>
          <w:lang w:val="pl-PL"/>
        </w:rPr>
        <w:t>Akcja</w:t>
      </w:r>
      <w:r w:rsidR="006A0ED6" w:rsidRPr="00E43992">
        <w:rPr>
          <w:rFonts w:ascii="Aptos" w:hAnsi="Aptos"/>
          <w:sz w:val="20"/>
          <w:szCs w:val="20"/>
          <w:lang w:val="pl-PL"/>
        </w:rPr>
        <w:t xml:space="preserve"> realizowana </w:t>
      </w:r>
      <w:r w:rsidR="009B458D" w:rsidRPr="00E43992">
        <w:rPr>
          <w:rFonts w:ascii="Aptos" w:hAnsi="Aptos"/>
          <w:sz w:val="20"/>
          <w:szCs w:val="20"/>
          <w:lang w:val="pl-PL"/>
        </w:rPr>
        <w:t xml:space="preserve">jest </w:t>
      </w:r>
      <w:r w:rsidR="006A0ED6" w:rsidRPr="00E43992">
        <w:rPr>
          <w:rFonts w:ascii="Aptos" w:hAnsi="Aptos"/>
          <w:sz w:val="20"/>
          <w:szCs w:val="20"/>
          <w:lang w:val="pl-PL"/>
        </w:rPr>
        <w:t>w ramach kampanii edukacyjnej</w:t>
      </w:r>
      <w:r w:rsidR="005B3EFA" w:rsidRPr="00E43992">
        <w:rPr>
          <w:rFonts w:ascii="Aptos" w:hAnsi="Aptos"/>
          <w:sz w:val="20"/>
          <w:szCs w:val="20"/>
          <w:lang w:val="pl-PL"/>
        </w:rPr>
        <w:t xml:space="preserve"> </w:t>
      </w:r>
      <w:r w:rsidR="006A0ED6" w:rsidRPr="00E43992">
        <w:rPr>
          <w:rFonts w:ascii="Aptos" w:hAnsi="Aptos"/>
          <w:sz w:val="20"/>
          <w:szCs w:val="20"/>
          <w:lang w:val="pl-PL"/>
        </w:rPr>
        <w:t xml:space="preserve">firmy Eli </w:t>
      </w:r>
      <w:proofErr w:type="spellStart"/>
      <w:r w:rsidR="006A0ED6" w:rsidRPr="00E43992">
        <w:rPr>
          <w:rFonts w:ascii="Aptos" w:hAnsi="Aptos"/>
          <w:sz w:val="20"/>
          <w:szCs w:val="20"/>
          <w:lang w:val="pl-PL"/>
        </w:rPr>
        <w:t>Lilly</w:t>
      </w:r>
      <w:proofErr w:type="spellEnd"/>
      <w:r w:rsidR="006A0ED6" w:rsidRPr="00E43992">
        <w:rPr>
          <w:rFonts w:ascii="Aptos" w:hAnsi="Aptos"/>
          <w:sz w:val="20"/>
          <w:szCs w:val="20"/>
          <w:lang w:val="pl-PL"/>
        </w:rPr>
        <w:t xml:space="preserve"> Polska</w:t>
      </w:r>
      <w:r w:rsidR="005B3EFA" w:rsidRPr="00E43992">
        <w:rPr>
          <w:rFonts w:ascii="Aptos" w:hAnsi="Aptos"/>
          <w:sz w:val="20"/>
          <w:szCs w:val="20"/>
          <w:lang w:val="pl-PL"/>
        </w:rPr>
        <w:t xml:space="preserve"> poświęconej chorobie </w:t>
      </w:r>
      <w:proofErr w:type="spellStart"/>
      <w:r w:rsidR="005B3EFA" w:rsidRPr="00E43992">
        <w:rPr>
          <w:rFonts w:ascii="Aptos" w:hAnsi="Aptos"/>
          <w:sz w:val="20"/>
          <w:szCs w:val="20"/>
          <w:lang w:val="pl-PL"/>
        </w:rPr>
        <w:t>otyłościowej</w:t>
      </w:r>
      <w:proofErr w:type="spellEnd"/>
      <w:r w:rsidR="005B3EFA" w:rsidRPr="00E43992">
        <w:rPr>
          <w:rFonts w:ascii="Aptos" w:hAnsi="Aptos"/>
          <w:sz w:val="20"/>
          <w:szCs w:val="20"/>
          <w:lang w:val="pl-PL"/>
        </w:rPr>
        <w:t>.</w:t>
      </w:r>
    </w:p>
    <w:p w14:paraId="3DF716EE" w14:textId="2392CB59" w:rsidR="00B47B95" w:rsidRPr="008A1C35" w:rsidRDefault="001D6BC9" w:rsidP="00B47B95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E43992">
        <w:rPr>
          <w:rFonts w:ascii="Aptos" w:hAnsi="Aptos" w:cs="Kulturista"/>
          <w:sz w:val="20"/>
          <w:szCs w:val="20"/>
          <w:lang w:val="pl-PL"/>
        </w:rPr>
        <w:t>Obecnie ok. 60 proc. dorosłych mieszkańców Europy żyje z nadwagą lub otyłością</w:t>
      </w:r>
      <w:r w:rsidRPr="00E43992">
        <w:rPr>
          <w:rStyle w:val="Odwoanieprzypisudolnego"/>
          <w:rFonts w:ascii="Aptos" w:hAnsi="Aptos" w:cs="Kulturista"/>
          <w:sz w:val="20"/>
          <w:szCs w:val="20"/>
          <w:lang w:val="pl-PL"/>
        </w:rPr>
        <w:footnoteReference w:id="3"/>
      </w:r>
      <w:r w:rsidRPr="00E43992">
        <w:rPr>
          <w:rFonts w:ascii="Aptos" w:hAnsi="Aptos" w:cs="Kulturista"/>
          <w:sz w:val="20"/>
          <w:szCs w:val="20"/>
          <w:lang w:val="pl-PL"/>
        </w:rPr>
        <w:t>, a Polska jest jednym z</w:t>
      </w:r>
      <w:r w:rsidR="00924A22" w:rsidRPr="00E43992">
        <w:rPr>
          <w:rFonts w:ascii="Aptos" w:hAnsi="Aptos" w:cs="Kulturista"/>
          <w:sz w:val="20"/>
          <w:szCs w:val="20"/>
          <w:lang w:val="pl-PL"/>
        </w:rPr>
        <w:t xml:space="preserve"> </w:t>
      </w:r>
      <w:r w:rsidRPr="00E43992">
        <w:rPr>
          <w:rFonts w:ascii="Aptos" w:hAnsi="Aptos" w:cs="Kulturista"/>
          <w:sz w:val="20"/>
          <w:szCs w:val="20"/>
          <w:lang w:val="pl-PL"/>
        </w:rPr>
        <w:t>krajów o najwyższym ich odsetku wśród mężczyzn w Unii Europejskiej</w:t>
      </w:r>
      <w:r w:rsidRPr="00E43992">
        <w:rPr>
          <w:rStyle w:val="Odwoanieprzypisudolnego"/>
          <w:rFonts w:ascii="Aptos" w:hAnsi="Aptos" w:cs="Kulturista"/>
          <w:sz w:val="20"/>
          <w:szCs w:val="20"/>
          <w:lang w:val="pl-PL"/>
        </w:rPr>
        <w:footnoteReference w:id="4"/>
      </w:r>
      <w:r w:rsidRPr="00E43992">
        <w:rPr>
          <w:rFonts w:ascii="Aptos" w:hAnsi="Aptos" w:cs="Kulturista"/>
          <w:sz w:val="20"/>
          <w:szCs w:val="20"/>
          <w:lang w:val="pl-PL"/>
        </w:rPr>
        <w:t xml:space="preserve">. </w:t>
      </w:r>
      <w:r w:rsidR="00EE37EE" w:rsidRPr="00E43992">
        <w:rPr>
          <w:rFonts w:ascii="Aptos" w:hAnsi="Aptos" w:cs="Kulturista"/>
          <w:sz w:val="20"/>
          <w:szCs w:val="20"/>
          <w:lang w:val="pl-PL"/>
        </w:rPr>
        <w:t>Problem nad</w:t>
      </w:r>
      <w:r w:rsidR="008E787B" w:rsidRPr="00E43992">
        <w:rPr>
          <w:rFonts w:ascii="Aptos" w:hAnsi="Aptos" w:cs="Kulturista"/>
          <w:sz w:val="20"/>
          <w:szCs w:val="20"/>
          <w:lang w:val="pl-PL"/>
        </w:rPr>
        <w:t>miernej masy ciała</w:t>
      </w:r>
      <w:r w:rsidR="00EE37EE" w:rsidRPr="00E43992">
        <w:rPr>
          <w:rFonts w:ascii="Aptos" w:hAnsi="Aptos" w:cs="Kulturista"/>
          <w:sz w:val="20"/>
          <w:szCs w:val="20"/>
          <w:lang w:val="pl-PL"/>
        </w:rPr>
        <w:t xml:space="preserve"> dotyczy obecnie blisko 57 proc. Polaków powyżej 15. </w:t>
      </w:r>
      <w:r w:rsidR="00EE37EE" w:rsidRPr="00E43992">
        <w:rPr>
          <w:rFonts w:ascii="Aptos" w:hAnsi="Aptos"/>
          <w:sz w:val="20"/>
          <w:szCs w:val="20"/>
          <w:lang w:val="pl-PL"/>
        </w:rPr>
        <w:t xml:space="preserve">roku życia, a </w:t>
      </w:r>
      <w:r w:rsidR="00B66940" w:rsidRPr="00E43992">
        <w:rPr>
          <w:rFonts w:ascii="Aptos" w:hAnsi="Aptos"/>
          <w:sz w:val="20"/>
          <w:szCs w:val="20"/>
          <w:lang w:val="pl-PL"/>
        </w:rPr>
        <w:t xml:space="preserve">z otyłością zmaga się </w:t>
      </w:r>
      <w:r w:rsidR="00EE37EE" w:rsidRPr="00E43992">
        <w:rPr>
          <w:rFonts w:ascii="Aptos" w:hAnsi="Aptos"/>
          <w:sz w:val="20"/>
          <w:szCs w:val="20"/>
          <w:lang w:val="pl-PL"/>
        </w:rPr>
        <w:t>już ok. 9 milionów</w:t>
      </w:r>
      <w:r w:rsidR="00B66940" w:rsidRPr="00E43992">
        <w:rPr>
          <w:rFonts w:ascii="Aptos" w:hAnsi="Aptos"/>
          <w:sz w:val="20"/>
          <w:szCs w:val="20"/>
          <w:lang w:val="pl-PL"/>
        </w:rPr>
        <w:t xml:space="preserve"> dorosłych obywateli naszego kraju</w:t>
      </w:r>
      <w:r w:rsidR="00EE37EE" w:rsidRPr="00E43992">
        <w:rPr>
          <w:rFonts w:ascii="Aptos" w:hAnsi="Aptos"/>
          <w:sz w:val="20"/>
          <w:szCs w:val="20"/>
          <w:vertAlign w:val="superscript"/>
          <w:lang w:val="pl-PL"/>
        </w:rPr>
        <w:t>1</w:t>
      </w:r>
      <w:r w:rsidR="005B3EFA" w:rsidRPr="00E43992">
        <w:rPr>
          <w:rFonts w:ascii="Aptos" w:hAnsi="Aptos"/>
          <w:sz w:val="20"/>
          <w:szCs w:val="20"/>
          <w:lang w:val="pl-PL"/>
        </w:rPr>
        <w:t xml:space="preserve">. </w:t>
      </w:r>
      <w:r w:rsidR="007E4BE1" w:rsidRPr="00E43992">
        <w:rPr>
          <w:rFonts w:ascii="Aptos" w:hAnsi="Aptos"/>
          <w:sz w:val="20"/>
          <w:szCs w:val="20"/>
          <w:lang w:val="pl-PL"/>
        </w:rPr>
        <w:t>Z danych Narodowego Funduszu Zdrowia wynika, że</w:t>
      </w:r>
      <w:r w:rsidR="004932D5" w:rsidRPr="00E43992">
        <w:rPr>
          <w:rFonts w:ascii="Aptos" w:hAnsi="Aptos"/>
          <w:sz w:val="20"/>
          <w:szCs w:val="20"/>
          <w:lang w:val="pl-PL"/>
        </w:rPr>
        <w:t xml:space="preserve"> blisko 2/3 mieszkańców województwa </w:t>
      </w:r>
      <w:r w:rsidR="00F435DB" w:rsidRPr="00E43992">
        <w:rPr>
          <w:rFonts w:ascii="Aptos" w:hAnsi="Aptos"/>
          <w:sz w:val="20"/>
          <w:szCs w:val="20"/>
          <w:lang w:val="pl-PL"/>
        </w:rPr>
        <w:t>pomorskiego</w:t>
      </w:r>
      <w:r w:rsidR="004932D5" w:rsidRPr="00E43992">
        <w:rPr>
          <w:rFonts w:ascii="Aptos" w:hAnsi="Aptos"/>
          <w:sz w:val="20"/>
          <w:szCs w:val="20"/>
          <w:lang w:val="pl-PL"/>
        </w:rPr>
        <w:t xml:space="preserve"> </w:t>
      </w:r>
      <w:r w:rsidR="00F90403" w:rsidRPr="00E43992">
        <w:rPr>
          <w:rFonts w:ascii="Aptos" w:hAnsi="Aptos"/>
          <w:sz w:val="20"/>
          <w:szCs w:val="20"/>
          <w:lang w:val="pl-PL"/>
        </w:rPr>
        <w:t>ma nadwagę lub otyłość, przy czym otyłość dotyka ponad</w:t>
      </w:r>
      <w:r w:rsidR="00F435DB" w:rsidRPr="00E43992">
        <w:rPr>
          <w:rFonts w:ascii="Aptos" w:hAnsi="Aptos"/>
          <w:sz w:val="20"/>
          <w:szCs w:val="20"/>
          <w:lang w:val="pl-PL"/>
        </w:rPr>
        <w:t xml:space="preserve"> 27 proc.</w:t>
      </w:r>
      <w:r w:rsidR="00F90403" w:rsidRPr="00E43992">
        <w:rPr>
          <w:rFonts w:ascii="Aptos" w:hAnsi="Aptos"/>
          <w:sz w:val="20"/>
          <w:szCs w:val="20"/>
          <w:lang w:val="pl-PL"/>
        </w:rPr>
        <w:t xml:space="preserve"> całej populacji </w:t>
      </w:r>
      <w:r w:rsidR="00F435DB" w:rsidRPr="00E43992">
        <w:rPr>
          <w:rFonts w:ascii="Aptos" w:hAnsi="Aptos"/>
          <w:sz w:val="20"/>
          <w:szCs w:val="20"/>
          <w:lang w:val="pl-PL"/>
        </w:rPr>
        <w:t>Pomorza</w:t>
      </w:r>
      <w:r w:rsidR="009B4461" w:rsidRPr="00E43992">
        <w:rPr>
          <w:rStyle w:val="Odwoanieprzypisudolnego"/>
          <w:rFonts w:ascii="Aptos" w:hAnsi="Aptos"/>
          <w:sz w:val="20"/>
          <w:szCs w:val="20"/>
          <w:lang w:val="pl-PL"/>
        </w:rPr>
        <w:footnoteReference w:id="5"/>
      </w:r>
      <w:r w:rsidR="001B3679" w:rsidRPr="00E43992">
        <w:rPr>
          <w:rFonts w:ascii="Aptos" w:hAnsi="Aptos"/>
          <w:sz w:val="20"/>
          <w:szCs w:val="20"/>
          <w:lang w:val="pl-PL"/>
        </w:rPr>
        <w:t>.</w:t>
      </w:r>
      <w:r w:rsidR="0059651D" w:rsidRPr="00E43992">
        <w:rPr>
          <w:rFonts w:ascii="Aptos" w:hAnsi="Aptos"/>
          <w:sz w:val="20"/>
          <w:szCs w:val="20"/>
          <w:lang w:val="pl-PL"/>
        </w:rPr>
        <w:t xml:space="preserve"> </w:t>
      </w:r>
      <w:r w:rsidR="00EE37EE" w:rsidRPr="00E43992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Według prognoz, do 2035 roku ponad 35 proc. mężczyzn i ponad 25 proc. kobiet w Polsce będzie chorych na otyłość</w:t>
      </w:r>
      <w:r w:rsidR="00EE37EE" w:rsidRPr="00E43992">
        <w:rPr>
          <w:rStyle w:val="Odwoanieprzypisudolnego"/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footnoteReference w:id="6"/>
      </w:r>
      <w:r w:rsidR="003C6EAE" w:rsidRPr="00E43992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. </w:t>
      </w:r>
      <w:r w:rsidR="00EE37EE" w:rsidRPr="00E43992">
        <w:rPr>
          <w:rFonts w:ascii="Aptos" w:hAnsi="Aptos"/>
          <w:sz w:val="20"/>
          <w:szCs w:val="20"/>
          <w:lang w:val="pl-PL"/>
        </w:rPr>
        <w:t>Pomimo że Światowa Organizacja Zdrowia (WHO)</w:t>
      </w:r>
      <w:r w:rsidR="00B66940" w:rsidRPr="00E43992">
        <w:rPr>
          <w:rFonts w:ascii="Aptos" w:hAnsi="Aptos"/>
          <w:sz w:val="20"/>
          <w:szCs w:val="20"/>
          <w:lang w:val="pl-PL"/>
        </w:rPr>
        <w:t xml:space="preserve"> już ponad 25 lat temu uznała otyłość </w:t>
      </w:r>
      <w:r w:rsidR="00B66940" w:rsidRPr="00E43992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za chorobę, która wymaga kompleksowego leczenia</w:t>
      </w:r>
      <w:r w:rsidR="00B66940" w:rsidRPr="00E43992">
        <w:rPr>
          <w:rStyle w:val="Odwoanieprzypisudolnego"/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footnoteReference w:id="7"/>
      </w:r>
      <w:r w:rsidR="00B66940" w:rsidRPr="00E43992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, osoby z nadmierną masą ciała nadal spotykają się z brakiem zrozumienia i stygmatyzacją społeczną</w:t>
      </w:r>
      <w:r w:rsidR="00190A71" w:rsidRPr="00E43992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 Według raportu „Społeczny obraz otyłości”, aż 43 proc. dorosłych postrzega otyłość jako powód do wstydu, a jedynie</w:t>
      </w:r>
      <w:r w:rsidR="00190A71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13 proc. zdecydowanie się z tym nie zgadza. Ponadto co czwarty dorosły mieszkaniec Polski deklaruje, że często lub bardzo często był świadkiem braku szacunku wobec osób z otyłością w miejsca</w:t>
      </w:r>
      <w:r w:rsidR="00A9365E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ch</w:t>
      </w:r>
      <w:r w:rsidR="00190A71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publicznych</w:t>
      </w:r>
      <w:r w:rsidR="00930DB5" w:rsidRPr="00833B55">
        <w:rPr>
          <w:rStyle w:val="Odwoanieprzypisudolnego"/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footnoteReference w:id="8"/>
      </w:r>
      <w:r w:rsidR="00190A71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</w:p>
    <w:p w14:paraId="2E388B5D" w14:textId="516428E5" w:rsidR="00024853" w:rsidRDefault="00190A71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– </w:t>
      </w:r>
      <w:r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Pomimo licznych inicjatyw podejmowanych przez środowiska naukowe i </w:t>
      </w:r>
      <w:proofErr w:type="spellStart"/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pacjenckie</w:t>
      </w:r>
      <w:proofErr w:type="spellEnd"/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na rzecz osób z chorobą </w:t>
      </w:r>
      <w:proofErr w:type="spellStart"/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otyłościową</w:t>
      </w:r>
      <w:proofErr w:type="spellEnd"/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, konieczne są dalsze działania mające na celu wzrost świadomości społecznej, że otyłość jest </w:t>
      </w:r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lastRenderedPageBreak/>
        <w:t>bardzo niebezpieczną chorobą przewlekłą, do pokonania której silna wola z reguły nie wystarczy. Zrozumienie prawdziwych przyczyn otyłości pozwala pacjentom wyjść z błędnego koła poczucia winy i wstydu oraz postawić pierwszy krok na drodze do zdrowia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 xml:space="preserve"> – powiedział</w:t>
      </w:r>
      <w:r w:rsidR="00F2682A" w:rsidRPr="47CCCAA4">
        <w:rPr>
          <w:rFonts w:ascii="Aptos" w:hAnsi="Aptos"/>
          <w:color w:val="212121"/>
          <w:sz w:val="20"/>
          <w:szCs w:val="20"/>
          <w:lang w:val="pl-PL"/>
        </w:rPr>
        <w:t xml:space="preserve">a </w:t>
      </w:r>
      <w:r w:rsidR="00F2682A"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>Ewa Godlewska, prezes Fundacji na rzecz Leczenia Otyłości.</w:t>
      </w:r>
    </w:p>
    <w:p w14:paraId="26583F3D" w14:textId="430EBA6C" w:rsidR="00B47B95" w:rsidRPr="00F2682A" w:rsidRDefault="00A9365E" w:rsidP="00F2682A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–</w:t>
      </w:r>
      <w:r w:rsidR="00190A71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024853" w:rsidRP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Z chorobą </w:t>
      </w:r>
      <w:proofErr w:type="spellStart"/>
      <w:r w:rsidR="00024853" w:rsidRP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otyłościową</w:t>
      </w:r>
      <w:proofErr w:type="spellEnd"/>
      <w:r w:rsidR="00024853" w:rsidRP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zmagałam się przez ponad 10 lat, choć przez bardzo długi czas nawet nie miałam świadomości, że choruję. Widziałam tylko kilogramy, kolejne nieudane próby zmian i pojawiające się problemy zdrowotne. Dziś wiem, że nie walczyłam jedynie z masą ciała – zmagałam się z przewlekłą chorobą, której towarzyszyło aż 10 powikłań. Widziałam skutki, ale nie znałam prawdziwej przyczyny. Dopiero kiedy znalazłam się na granicy życia, w bardzo zaawansowanym stadium choroby i z licznymi powikłaniami, trafiłam do szpitala, gdzie po raz pierwszy otrzymałam diagnozę i prawdziwą pomoc. To był moment przełomowy. Po raz pierwszy ktoś spojrzał na mnie nie jak na osobę z nadmierną masą ciała, ale jak na pacjentkę. Wtedy zrozumiałam, że otyłość nie jest efektem braku silnej woli, lenistwa czy „złych wyborów” – jest chorobą, która wymaga kompleksowego wsparcia. Dlatego bardzo cieszę się, że powstają inicjatywy takie jak „The Impossible </w:t>
      </w:r>
      <w:proofErr w:type="spellStart"/>
      <w:r w:rsidR="00024853" w:rsidRP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Gym</w:t>
      </w:r>
      <w:proofErr w:type="spellEnd"/>
      <w:r w:rsidR="00024853" w:rsidRP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”, które łączą edukację z możliwością wykonania bezpłatnych badań i rozmowy ze specjalistami. Dla wielu osób może to być coś więcej niż tylko wydarzenie – może być początkiem drogi do odzyskania zdrowia oraz życia</w:t>
      </w:r>
      <w:r w:rsid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–</w:t>
      </w:r>
      <w:r w:rsidR="00024853" w:rsidRPr="00024853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024853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powiedziała </w:t>
      </w:r>
      <w:r w:rsidR="00024853" w:rsidRPr="00F2682A">
        <w:rPr>
          <w:rFonts w:ascii="Aptos" w:hAnsi="Aptos"/>
          <w:b/>
          <w:bCs/>
          <w:color w:val="212121"/>
          <w:sz w:val="20"/>
          <w:szCs w:val="20"/>
          <w:bdr w:val="none" w:sz="0" w:space="0" w:color="auto" w:frame="1"/>
          <w:lang w:val="pl-PL"/>
        </w:rPr>
        <w:t>Ewelina Michalik, pacjentka będąca pod opieką Fundacji na rzecz Leczenia Otyłości.</w:t>
      </w:r>
      <w:r w:rsidR="00603718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</w:p>
    <w:p w14:paraId="554227EF" w14:textId="77777777" w:rsidR="00B47B95" w:rsidRPr="00F2682A" w:rsidRDefault="00B142F0" w:rsidP="00B47B95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EF50A4">
        <w:rPr>
          <w:rFonts w:ascii="Aptos" w:hAnsi="Aptos"/>
          <w:b/>
          <w:bCs/>
          <w:color w:val="212121"/>
          <w:sz w:val="20"/>
          <w:szCs w:val="20"/>
          <w:bdr w:val="none" w:sz="0" w:space="0" w:color="auto" w:frame="1"/>
          <w:lang w:val="pl-PL"/>
        </w:rPr>
        <w:t>Opór nie do przełamania?</w:t>
      </w:r>
    </w:p>
    <w:p w14:paraId="2AC85FC3" w14:textId="77777777" w:rsidR="005B3EFA" w:rsidRDefault="00190A71" w:rsidP="6572557C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U podstaw choroby </w:t>
      </w:r>
      <w:proofErr w:type="spellStart"/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otyłościowej</w:t>
      </w:r>
      <w:proofErr w:type="spellEnd"/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leżą zaburzenia równowagi neurohormonalnej, które prowadzą do dodatniego bilansu energetycznego, co przekłada się na nadmierne gromadzenie tkanki tłuszczow</w:t>
      </w:r>
      <w:r w:rsidR="000C4E36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ej</w:t>
      </w:r>
      <w:r w:rsidRPr="00F2682A">
        <w:rPr>
          <w:rStyle w:val="Odwoanieprzypisudolnego"/>
          <w:rFonts w:ascii="Aptos" w:hAnsi="Aptos"/>
          <w:sz w:val="20"/>
          <w:szCs w:val="20"/>
        </w:rPr>
        <w:footnoteReference w:id="9"/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. Organizm </w:t>
      </w:r>
      <w:r w:rsidR="00F61793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osoby</w:t>
      </w:r>
      <w:r w:rsidR="00F61793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z otyłością może „opierać się” redukcji masy ciała ze względu na zjawisko adaptacji metabolicznej, które polega na spowolnieniu metabolizmu w wyniku długotrwałego deficytu kalorycznego. </w:t>
      </w:r>
      <w:r w:rsidR="00CA4089" w:rsidRP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Dodatkowo może dochodzić do zaburzeń wysyłania sygnałów regulujących łaknienie, czego efektem może być ciągłe uczucie głodu</w:t>
      </w:r>
      <w:r w:rsidRPr="00F2682A">
        <w:rPr>
          <w:rStyle w:val="Odwoanieprzypisudolnego"/>
          <w:rFonts w:ascii="Aptos" w:hAnsi="Aptos"/>
          <w:color w:val="212121"/>
          <w:sz w:val="20"/>
          <w:szCs w:val="20"/>
          <w:lang w:val="pl-PL"/>
        </w:rPr>
        <w:footnoteReference w:id="10"/>
      </w:r>
      <w:r w:rsid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F87B84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Ponadto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,</w:t>
      </w:r>
      <w:r w:rsid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p</w:t>
      </w:r>
      <w:r w:rsidR="00CA4089" w:rsidRP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omimo redukcji masy ciała</w:t>
      </w:r>
      <w:r w:rsid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,</w:t>
      </w:r>
      <w:r w:rsidR="00CA4089" w:rsidRP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mechanizmy te nie ulegają naprawieniu, co może wyjaśniać ponowny przyrost masy ciała</w:t>
      </w:r>
      <w:r w:rsidRPr="00F2682A">
        <w:rPr>
          <w:rStyle w:val="Odwoanieprzypisudolnego"/>
          <w:rFonts w:ascii="Aptos" w:hAnsi="Aptos"/>
          <w:color w:val="212121"/>
          <w:sz w:val="20"/>
          <w:szCs w:val="20"/>
          <w:lang w:val="pl-PL"/>
        </w:rPr>
        <w:footnoteReference w:id="11"/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</w:p>
    <w:p w14:paraId="623605D2" w14:textId="18DE7F5A" w:rsidR="00F53C94" w:rsidRPr="005B3EFA" w:rsidRDefault="00190A71" w:rsidP="6572557C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Ten opór organizmu prze</w:t>
      </w:r>
      <w:r w:rsidR="00603718"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d</w:t>
      </w:r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zmianami najlepiej obrazuje sprzęt zainstalowany w „The Impossible </w:t>
      </w:r>
      <w:proofErr w:type="spellStart"/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Gym</w:t>
      </w:r>
      <w:proofErr w:type="spellEnd"/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” </w:t>
      </w:r>
      <w:r w:rsidR="00603718"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–</w:t>
      </w:r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603718"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unieruchomiony i opleciony taśmami oporowymi. 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Taka konstrukcja celowo uniemożliwia trening, przez co odwiedzający mogą doświadczyć 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frustracji i bezsilności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, 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jak</w:t>
      </w:r>
      <w:r w:rsidR="000C4E36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ie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odczuwają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osoby z chorobą </w:t>
      </w:r>
      <w:proofErr w:type="spellStart"/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otyłościową</w:t>
      </w:r>
      <w:proofErr w:type="spellEnd"/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podejmujące nieudane próby redukcji masy ciała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Hantle i sztangi niemożliwe do podniesienia, rower, na którym nie można pedałować czy bieżnia bez ślizgacza to przykładowe sprzęty, które zostały zainstalowane w „The Impossible </w:t>
      </w:r>
      <w:proofErr w:type="spellStart"/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Gym</w:t>
      </w:r>
      <w:proofErr w:type="spellEnd"/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”</w:t>
      </w:r>
      <w:r w:rsidR="006A0ED6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</w:p>
    <w:p w14:paraId="1B1E839D" w14:textId="49E7F1DA" w:rsidR="00B47B95" w:rsidRPr="00626D3A" w:rsidRDefault="006A0ED6" w:rsidP="00B47B95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>
        <w:rPr>
          <w:rFonts w:ascii="Aptos" w:hAnsi="Aptos"/>
          <w:b/>
          <w:bCs/>
          <w:color w:val="212121"/>
          <w:sz w:val="20"/>
          <w:szCs w:val="20"/>
          <w:bdr w:val="none" w:sz="0" w:space="0" w:color="auto" w:frame="1"/>
          <w:lang w:val="pl-PL"/>
        </w:rPr>
        <w:t>Pierwszy krok na drodze do zdrowia</w:t>
      </w:r>
    </w:p>
    <w:p w14:paraId="14F9DECB" w14:textId="1B53DF0A" w:rsidR="00F2682A" w:rsidRDefault="006A0ED6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Instalacja</w:t>
      </w:r>
      <w:r w:rsidR="00C23E4E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nie ogranicza się jednak tylko do zobrazowania trudnej sytuacji osób chorych na </w:t>
      </w:r>
      <w:r w:rsidR="00C23E4E" w:rsidRPr="47CCCAA4">
        <w:rPr>
          <w:rFonts w:ascii="Aptos" w:hAnsi="Aptos"/>
          <w:color w:val="212121"/>
          <w:sz w:val="20"/>
          <w:szCs w:val="20"/>
          <w:lang w:val="pl-PL"/>
        </w:rPr>
        <w:t xml:space="preserve">otyłość i edukacji, że otyłość jest chorobą. Pomaga też postawić im pierwszy krok na drodze do zdrowia, dzięki dostępowi do bezpłatnej analizy składu ciała oraz konsultacji z </w:t>
      </w:r>
      <w:r w:rsidR="005B3EFA">
        <w:rPr>
          <w:rFonts w:ascii="Aptos" w:hAnsi="Aptos"/>
          <w:color w:val="212121"/>
          <w:sz w:val="20"/>
          <w:szCs w:val="20"/>
          <w:lang w:val="pl-PL"/>
        </w:rPr>
        <w:t>dietetykiem.</w:t>
      </w:r>
    </w:p>
    <w:p w14:paraId="44EDF9B7" w14:textId="649AC627" w:rsidR="00F2682A" w:rsidRPr="00F2682A" w:rsidRDefault="00F2682A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– 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Analiza składu ciała to krótkotrwałe, bezbolesne i bezpieczne badanie, które pozwala określić w organizmie zawartość</w:t>
      </w:r>
      <w:r w:rsidR="008E787B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i rozmieszczenie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C44AF8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masy 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tłuszczowej</w:t>
      </w:r>
      <w:r w:rsidR="00C44AF8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i beztłuszczowej, np.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4E9BC824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m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ięśniowej</w:t>
      </w:r>
      <w:r w:rsidR="1CA298F0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,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czy procentową zawartość 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lastRenderedPageBreak/>
        <w:t xml:space="preserve">wody. Poszerza zakres diagnostyki w chorobie </w:t>
      </w:r>
      <w:proofErr w:type="spellStart"/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otyłościowej</w:t>
      </w:r>
      <w:proofErr w:type="spellEnd"/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, często opieranej głównie na wskaźniku BMI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. Otyłość jest chorobą złożoną i wieloprzyczynową. Każdy przypadek jest inny, dlatego wejście na drogę diagnostyki jest niezwykle istotne</w:t>
      </w:r>
      <w:r w:rsidR="00B57F87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, ponieważ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</w:t>
      </w:r>
      <w:r w:rsidR="00571B51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dzięki temu 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może</w:t>
      </w:r>
      <w:r w:rsidR="00571B51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my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uratować pacjentowi życie</w:t>
      </w:r>
      <w:r w:rsidR="00B47B95" w:rsidRPr="47CCCAA4">
        <w:rPr>
          <w:rFonts w:ascii="Aptos" w:hAnsi="Aptos"/>
          <w:color w:val="212121"/>
          <w:sz w:val="20"/>
          <w:szCs w:val="20"/>
          <w:lang w:val="pl-PL"/>
        </w:rPr>
        <w:t xml:space="preserve"> 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>– powiedział</w:t>
      </w:r>
      <w:r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 xml:space="preserve"> </w:t>
      </w:r>
      <w:r w:rsidR="00416A38"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 xml:space="preserve">prof. </w:t>
      </w:r>
      <w:r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>dr hab. n. med. Mariusz Wyleżoł, prezes Polskiego Towarzystwa Leczenia Otyłości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>.</w:t>
      </w:r>
    </w:p>
    <w:p w14:paraId="3E15B37C" w14:textId="60D5B8AB" w:rsidR="00A45C99" w:rsidRPr="00BC4991" w:rsidRDefault="00AF6469" w:rsidP="0338ECE0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BC4991">
        <w:rPr>
          <w:rFonts w:ascii="Aptos" w:hAnsi="Aptos"/>
          <w:sz w:val="20"/>
          <w:szCs w:val="20"/>
          <w:lang w:val="pl-PL"/>
        </w:rPr>
        <w:t xml:space="preserve">Eksperci postulują 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nowe, szersze podejście diagnostyczne do otyłości. </w:t>
      </w:r>
      <w:r w:rsidR="00415CAA" w:rsidRPr="00BC4991">
        <w:rPr>
          <w:rFonts w:ascii="Aptos" w:hAnsi="Aptos"/>
          <w:sz w:val="20"/>
          <w:szCs w:val="20"/>
          <w:lang w:val="pl-PL"/>
        </w:rPr>
        <w:t>W ramach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 nowego modelu</w:t>
      </w:r>
      <w:r w:rsidR="00E55F96" w:rsidRPr="00BC4991">
        <w:rPr>
          <w:rFonts w:ascii="Aptos" w:hAnsi="Aptos"/>
          <w:sz w:val="20"/>
          <w:szCs w:val="20"/>
          <w:lang w:val="pl-PL"/>
        </w:rPr>
        <w:t>,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 oprócz uwzględnienia</w:t>
      </w:r>
      <w:r w:rsidR="00E55F96" w:rsidRPr="00BC4991">
        <w:rPr>
          <w:rFonts w:ascii="Aptos" w:hAnsi="Aptos"/>
          <w:sz w:val="20"/>
          <w:szCs w:val="20"/>
          <w:lang w:val="pl-PL"/>
        </w:rPr>
        <w:t xml:space="preserve"> wskaźnika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E55F96" w:rsidRPr="00BC4991">
        <w:rPr>
          <w:rFonts w:ascii="Aptos" w:hAnsi="Aptos"/>
          <w:sz w:val="20"/>
          <w:szCs w:val="20"/>
          <w:lang w:val="pl-PL"/>
        </w:rPr>
        <w:t>BMI (</w:t>
      </w:r>
      <w:r w:rsidR="007B55B8" w:rsidRPr="00BC4991">
        <w:rPr>
          <w:rFonts w:ascii="Aptos" w:hAnsi="Aptos"/>
          <w:sz w:val="20"/>
          <w:szCs w:val="20"/>
          <w:lang w:val="pl-PL"/>
        </w:rPr>
        <w:t>B</w:t>
      </w:r>
      <w:r w:rsidR="00E55F96" w:rsidRPr="00BC4991">
        <w:rPr>
          <w:rFonts w:ascii="Aptos" w:hAnsi="Aptos"/>
          <w:sz w:val="20"/>
          <w:szCs w:val="20"/>
          <w:lang w:val="pl-PL"/>
        </w:rPr>
        <w:t>ody Mass Index),</w:t>
      </w:r>
      <w:r w:rsidR="00415CAA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F15024" w:rsidRPr="00BC4991">
        <w:rPr>
          <w:rFonts w:ascii="Aptos" w:hAnsi="Aptos"/>
          <w:sz w:val="20"/>
          <w:szCs w:val="20"/>
          <w:lang w:val="pl-PL"/>
        </w:rPr>
        <w:t>oceniana</w:t>
      </w:r>
      <w:r w:rsidR="00826216" w:rsidRPr="00BC4991">
        <w:rPr>
          <w:rFonts w:ascii="Aptos" w:hAnsi="Aptos"/>
          <w:sz w:val="20"/>
          <w:szCs w:val="20"/>
          <w:lang w:val="pl-PL"/>
        </w:rPr>
        <w:t xml:space="preserve"> jest procentowa zawartość i rozmies</w:t>
      </w:r>
      <w:r w:rsidR="00F15024" w:rsidRPr="00BC4991">
        <w:rPr>
          <w:rFonts w:ascii="Aptos" w:hAnsi="Aptos"/>
          <w:sz w:val="20"/>
          <w:szCs w:val="20"/>
          <w:lang w:val="pl-PL"/>
        </w:rPr>
        <w:t>z</w:t>
      </w:r>
      <w:r w:rsidR="00826216" w:rsidRPr="00BC4991">
        <w:rPr>
          <w:rFonts w:ascii="Aptos" w:hAnsi="Aptos"/>
          <w:sz w:val="20"/>
          <w:szCs w:val="20"/>
          <w:lang w:val="pl-PL"/>
        </w:rPr>
        <w:t>czenie tkanki tłuszczowej w organizmie,</w:t>
      </w:r>
      <w:r w:rsidR="00892644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826216" w:rsidRPr="00BC4991">
        <w:rPr>
          <w:rFonts w:ascii="Aptos" w:hAnsi="Aptos"/>
          <w:sz w:val="20"/>
          <w:szCs w:val="20"/>
          <w:lang w:val="pl-PL"/>
        </w:rPr>
        <w:t>a także inne parametry, takie jak obw</w:t>
      </w:r>
      <w:r w:rsidR="00892644" w:rsidRPr="00BC4991">
        <w:rPr>
          <w:rFonts w:ascii="Aptos" w:hAnsi="Aptos"/>
          <w:sz w:val="20"/>
          <w:szCs w:val="20"/>
          <w:lang w:val="pl-PL"/>
        </w:rPr>
        <w:t>ód</w:t>
      </w:r>
      <w:r w:rsidR="00826216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70159B" w:rsidRPr="00BC4991">
        <w:rPr>
          <w:rFonts w:ascii="Aptos" w:hAnsi="Aptos"/>
          <w:sz w:val="20"/>
          <w:szCs w:val="20"/>
          <w:lang w:val="pl-PL"/>
        </w:rPr>
        <w:t>talii</w:t>
      </w:r>
      <w:r w:rsidR="00826216" w:rsidRPr="00BC4991">
        <w:rPr>
          <w:rFonts w:ascii="Aptos" w:hAnsi="Aptos"/>
          <w:sz w:val="20"/>
          <w:szCs w:val="20"/>
          <w:lang w:val="pl-PL"/>
        </w:rPr>
        <w:t xml:space="preserve"> czy stosunek obwodu talii do obwodu bioder, co ma pozwolić na maksymalne spersonalizowanie leczenia</w:t>
      </w:r>
      <w:r w:rsidR="001413A1" w:rsidRPr="00BC4991">
        <w:rPr>
          <w:rFonts w:ascii="Aptos" w:hAnsi="Aptos"/>
          <w:sz w:val="20"/>
          <w:szCs w:val="20"/>
          <w:lang w:val="pl-PL"/>
        </w:rPr>
        <w:t xml:space="preserve">. To wnioski z artykułu opublikowanego w czasopiśmie naukowym „The Lancet </w:t>
      </w:r>
      <w:proofErr w:type="spellStart"/>
      <w:r w:rsidR="001413A1" w:rsidRPr="00BC4991">
        <w:rPr>
          <w:rFonts w:ascii="Aptos" w:hAnsi="Aptos"/>
          <w:sz w:val="20"/>
          <w:szCs w:val="20"/>
          <w:lang w:val="pl-PL"/>
        </w:rPr>
        <w:t>Diabetes</w:t>
      </w:r>
      <w:proofErr w:type="spellEnd"/>
      <w:r w:rsidR="001413A1" w:rsidRPr="00BC4991">
        <w:rPr>
          <w:rFonts w:ascii="Aptos" w:hAnsi="Aptos"/>
          <w:sz w:val="20"/>
          <w:szCs w:val="20"/>
          <w:lang w:val="pl-PL"/>
        </w:rPr>
        <w:t xml:space="preserve"> &amp; </w:t>
      </w:r>
      <w:proofErr w:type="spellStart"/>
      <w:r w:rsidR="001413A1" w:rsidRPr="00BC4991">
        <w:rPr>
          <w:rFonts w:ascii="Aptos" w:hAnsi="Aptos"/>
          <w:sz w:val="20"/>
          <w:szCs w:val="20"/>
          <w:lang w:val="pl-PL"/>
        </w:rPr>
        <w:t>Endocrinology</w:t>
      </w:r>
      <w:proofErr w:type="spellEnd"/>
      <w:r w:rsidR="001413A1" w:rsidRPr="00BC4991">
        <w:rPr>
          <w:rFonts w:ascii="Aptos" w:hAnsi="Aptos"/>
          <w:sz w:val="20"/>
          <w:szCs w:val="20"/>
          <w:lang w:val="pl-PL"/>
        </w:rPr>
        <w:t xml:space="preserve">”, </w:t>
      </w:r>
      <w:r w:rsidR="0095423B" w:rsidRPr="00BC4991">
        <w:rPr>
          <w:rFonts w:ascii="Aptos" w:hAnsi="Aptos"/>
          <w:sz w:val="20"/>
          <w:szCs w:val="20"/>
          <w:lang w:val="pl-PL"/>
        </w:rPr>
        <w:t>w którym przedstawiono stanowisko komisji</w:t>
      </w:r>
      <w:r w:rsidR="001C1868" w:rsidRPr="00BC4991">
        <w:rPr>
          <w:rFonts w:ascii="Aptos" w:hAnsi="Aptos"/>
          <w:sz w:val="20"/>
          <w:szCs w:val="20"/>
          <w:lang w:val="pl-PL"/>
        </w:rPr>
        <w:t xml:space="preserve"> złożonej z</w:t>
      </w:r>
      <w:r w:rsidR="00C44AF8" w:rsidRPr="00BC4991">
        <w:rPr>
          <w:rFonts w:ascii="Aptos" w:hAnsi="Aptos"/>
          <w:sz w:val="20"/>
          <w:szCs w:val="20"/>
          <w:lang w:val="pl-PL"/>
        </w:rPr>
        <w:t>e</w:t>
      </w:r>
      <w:r w:rsidR="001C1868" w:rsidRPr="00BC4991">
        <w:rPr>
          <w:rFonts w:ascii="Aptos" w:hAnsi="Aptos"/>
          <w:sz w:val="20"/>
          <w:szCs w:val="20"/>
          <w:lang w:val="pl-PL"/>
        </w:rPr>
        <w:t xml:space="preserve"> światowych ekspertów</w:t>
      </w:r>
      <w:r w:rsidR="008F1362" w:rsidRPr="00BC4991">
        <w:rPr>
          <w:rFonts w:ascii="Aptos" w:hAnsi="Aptos"/>
          <w:sz w:val="20"/>
          <w:szCs w:val="20"/>
          <w:lang w:val="pl-PL"/>
        </w:rPr>
        <w:t xml:space="preserve">, zatwierdzone przez 75 międzynarodowych </w:t>
      </w:r>
      <w:r w:rsidR="00565194" w:rsidRPr="00BC4991">
        <w:rPr>
          <w:rFonts w:ascii="Aptos" w:hAnsi="Aptos"/>
          <w:sz w:val="20"/>
          <w:szCs w:val="20"/>
          <w:lang w:val="pl-PL"/>
        </w:rPr>
        <w:t xml:space="preserve">towarzystw </w:t>
      </w:r>
      <w:r w:rsidR="008F1362" w:rsidRPr="00BC4991">
        <w:rPr>
          <w:rFonts w:ascii="Aptos" w:hAnsi="Aptos"/>
          <w:sz w:val="20"/>
          <w:szCs w:val="20"/>
          <w:lang w:val="pl-PL"/>
        </w:rPr>
        <w:t>medycznych</w:t>
      </w:r>
      <w:r w:rsidRPr="0338ECE0">
        <w:rPr>
          <w:rStyle w:val="Odwoanieprzypisudolnego"/>
          <w:rFonts w:ascii="Aptos" w:hAnsi="Aptos"/>
          <w:color w:val="212121"/>
          <w:sz w:val="20"/>
          <w:szCs w:val="20"/>
        </w:rPr>
        <w:footnoteReference w:id="12"/>
      </w:r>
      <w:r w:rsidR="00E55F96" w:rsidRPr="00BC4991">
        <w:rPr>
          <w:rFonts w:ascii="Aptos" w:hAnsi="Aptos"/>
          <w:color w:val="212121"/>
          <w:sz w:val="20"/>
          <w:szCs w:val="20"/>
          <w:lang w:val="pl-PL"/>
        </w:rPr>
        <w:t>.</w:t>
      </w:r>
    </w:p>
    <w:p w14:paraId="3D8CE6BA" w14:textId="7968F0F3" w:rsidR="00964FE4" w:rsidRDefault="00B47B95" w:rsidP="006A0ED6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Ponadto </w:t>
      </w:r>
      <w:r w:rsidR="002732B7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komisja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zaproponowała 18 klinicznych kryteriów diagnostycznych (m.in. takich jak obecność duszności, bóle kolan i bioder, </w:t>
      </w:r>
      <w:r w:rsidR="00945C8F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obecność 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niewydolnoś</w:t>
      </w:r>
      <w:r w:rsidR="00945C8F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ci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serca</w:t>
      </w:r>
      <w:r w:rsid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czy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trudności w wykonywaniu codziennych czynności) w przypadku otyłości u dorosłych oraz 13 kryteriów diagnostycznych w przypadku otyłości u dzieci i młodzieży</w:t>
      </w:r>
      <w:r w:rsidR="00F53C94">
        <w:rPr>
          <w:rFonts w:ascii="Aptos" w:hAnsi="Aptos"/>
          <w:color w:val="212121"/>
          <w:sz w:val="20"/>
          <w:szCs w:val="20"/>
          <w:bdr w:val="none" w:sz="0" w:space="0" w:color="auto" w:frame="1"/>
          <w:vertAlign w:val="superscript"/>
          <w:lang w:val="pl-PL"/>
        </w:rPr>
        <w:t>1</w:t>
      </w:r>
      <w:r w:rsidR="007E4BE1">
        <w:rPr>
          <w:rFonts w:ascii="Aptos" w:hAnsi="Aptos"/>
          <w:color w:val="212121"/>
          <w:sz w:val="20"/>
          <w:szCs w:val="20"/>
          <w:vertAlign w:val="superscript"/>
          <w:lang w:val="pl-PL"/>
        </w:rPr>
        <w:t>1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>.</w:t>
      </w:r>
    </w:p>
    <w:p w14:paraId="0F8956A3" w14:textId="53B71F5E" w:rsidR="006A0ED6" w:rsidRDefault="006A0ED6" w:rsidP="006A0ED6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20"/>
          <w:szCs w:val="20"/>
          <w:lang w:val="pl-PL"/>
        </w:rPr>
      </w:pPr>
      <w:r>
        <w:rPr>
          <w:rFonts w:ascii="Aptos" w:hAnsi="Aptos"/>
          <w:b/>
          <w:bCs/>
          <w:sz w:val="20"/>
          <w:szCs w:val="20"/>
          <w:lang w:val="pl-PL"/>
        </w:rPr>
        <w:t>Zrozumieć otyłość</w:t>
      </w:r>
    </w:p>
    <w:p w14:paraId="0948F8E0" w14:textId="5DE3833C" w:rsidR="00CF7B00" w:rsidRDefault="006A0ED6" w:rsidP="00082C4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6A0ED6">
        <w:rPr>
          <w:rFonts w:ascii="Aptos" w:hAnsi="Aptos"/>
          <w:sz w:val="20"/>
          <w:szCs w:val="20"/>
          <w:lang w:val="pl-PL"/>
        </w:rPr>
        <w:t xml:space="preserve">Akcja „The Impossible </w:t>
      </w:r>
      <w:proofErr w:type="spellStart"/>
      <w:r w:rsidRPr="006A0ED6">
        <w:rPr>
          <w:rFonts w:ascii="Aptos" w:hAnsi="Aptos"/>
          <w:sz w:val="20"/>
          <w:szCs w:val="20"/>
          <w:lang w:val="pl-PL"/>
        </w:rPr>
        <w:t>Gym</w:t>
      </w:r>
      <w:proofErr w:type="spellEnd"/>
      <w:r w:rsidRPr="006A0ED6">
        <w:rPr>
          <w:rFonts w:ascii="Aptos" w:hAnsi="Aptos"/>
          <w:sz w:val="20"/>
          <w:szCs w:val="20"/>
          <w:lang w:val="pl-PL"/>
        </w:rPr>
        <w:t xml:space="preserve">” </w:t>
      </w:r>
      <w:r w:rsidR="007E4BE1">
        <w:rPr>
          <w:rFonts w:ascii="Aptos" w:hAnsi="Aptos"/>
          <w:sz w:val="20"/>
          <w:szCs w:val="20"/>
          <w:lang w:val="pl-PL"/>
        </w:rPr>
        <w:t>jest</w:t>
      </w:r>
      <w:r w:rsidR="00287604">
        <w:rPr>
          <w:rFonts w:ascii="Aptos" w:hAnsi="Aptos"/>
          <w:sz w:val="20"/>
          <w:szCs w:val="20"/>
          <w:lang w:val="pl-PL"/>
        </w:rPr>
        <w:t xml:space="preserve"> częś</w:t>
      </w:r>
      <w:r w:rsidR="007E4BE1">
        <w:rPr>
          <w:rFonts w:ascii="Aptos" w:hAnsi="Aptos"/>
          <w:sz w:val="20"/>
          <w:szCs w:val="20"/>
          <w:lang w:val="pl-PL"/>
        </w:rPr>
        <w:t>cią</w:t>
      </w:r>
      <w:r w:rsidR="00287604">
        <w:rPr>
          <w:rFonts w:ascii="Aptos" w:hAnsi="Aptos"/>
          <w:sz w:val="20"/>
          <w:szCs w:val="20"/>
          <w:lang w:val="pl-PL"/>
        </w:rPr>
        <w:t xml:space="preserve"> </w:t>
      </w:r>
      <w:r w:rsidR="001C2AE1">
        <w:rPr>
          <w:rFonts w:ascii="Aptos" w:hAnsi="Aptos"/>
          <w:sz w:val="20"/>
          <w:szCs w:val="20"/>
          <w:lang w:val="pl-PL"/>
        </w:rPr>
        <w:t xml:space="preserve">kampanii edukacyjnej </w:t>
      </w:r>
      <w:r w:rsidR="005B3EFA">
        <w:rPr>
          <w:rFonts w:ascii="Aptos" w:hAnsi="Aptos"/>
          <w:sz w:val="20"/>
          <w:szCs w:val="20"/>
          <w:lang w:val="pl-PL"/>
        </w:rPr>
        <w:t xml:space="preserve">firmy </w:t>
      </w:r>
      <w:r>
        <w:rPr>
          <w:rFonts w:ascii="Aptos" w:hAnsi="Aptos"/>
          <w:sz w:val="20"/>
          <w:szCs w:val="20"/>
          <w:lang w:val="pl-PL"/>
        </w:rPr>
        <w:t xml:space="preserve">Eli </w:t>
      </w:r>
      <w:proofErr w:type="spellStart"/>
      <w:r w:rsidRPr="00FD6B15">
        <w:rPr>
          <w:rFonts w:ascii="Aptos" w:hAnsi="Aptos"/>
          <w:sz w:val="20"/>
          <w:szCs w:val="20"/>
          <w:lang w:val="pl-PL"/>
        </w:rPr>
        <w:t>Lilly</w:t>
      </w:r>
      <w:proofErr w:type="spellEnd"/>
      <w:r w:rsidRPr="00FD6B15">
        <w:rPr>
          <w:rFonts w:ascii="Aptos" w:hAnsi="Aptos"/>
          <w:sz w:val="20"/>
          <w:szCs w:val="20"/>
          <w:lang w:val="pl-PL"/>
        </w:rPr>
        <w:t xml:space="preserve"> Polska</w:t>
      </w:r>
      <w:r w:rsidR="001C2AE1" w:rsidRPr="00FD6B15">
        <w:rPr>
          <w:rFonts w:ascii="Aptos" w:hAnsi="Aptos"/>
          <w:sz w:val="20"/>
          <w:szCs w:val="20"/>
          <w:lang w:val="pl-PL"/>
        </w:rPr>
        <w:t xml:space="preserve">, realizowanej </w:t>
      </w:r>
      <w:r w:rsidRPr="00FD6B15">
        <w:rPr>
          <w:rFonts w:ascii="Aptos" w:hAnsi="Aptos"/>
          <w:sz w:val="20"/>
          <w:szCs w:val="20"/>
          <w:lang w:val="pl-PL"/>
        </w:rPr>
        <w:t>pod patronatem Polskiego Towarzystwa Leczenia Otyłości oraz Fundacji na rzecz Leczenia Otyłości.</w:t>
      </w:r>
      <w:r>
        <w:rPr>
          <w:rFonts w:ascii="Aptos" w:hAnsi="Aptos"/>
          <w:sz w:val="20"/>
          <w:szCs w:val="20"/>
          <w:lang w:val="pl-PL"/>
        </w:rPr>
        <w:t xml:space="preserve"> Celem kampanii jest edukacja społeczna, przeciwdziałanie stygmatyzacji osób z chorobą </w:t>
      </w:r>
      <w:proofErr w:type="spellStart"/>
      <w:r>
        <w:rPr>
          <w:rFonts w:ascii="Aptos" w:hAnsi="Aptos"/>
          <w:sz w:val="20"/>
          <w:szCs w:val="20"/>
          <w:lang w:val="pl-PL"/>
        </w:rPr>
        <w:t>otyłościową</w:t>
      </w:r>
      <w:proofErr w:type="spellEnd"/>
      <w:r>
        <w:rPr>
          <w:rFonts w:ascii="Aptos" w:hAnsi="Aptos"/>
          <w:sz w:val="20"/>
          <w:szCs w:val="20"/>
          <w:lang w:val="pl-PL"/>
        </w:rPr>
        <w:t xml:space="preserve"> oraz pomoc pacjentom w ich drodze do zdrowia.</w:t>
      </w:r>
    </w:p>
    <w:p w14:paraId="3F365CC2" w14:textId="691B0CC8" w:rsidR="00D420E3" w:rsidRPr="00C818FA" w:rsidRDefault="006A0ED6" w:rsidP="00D420E3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D7225C">
        <w:rPr>
          <w:rFonts w:ascii="Aptos" w:hAnsi="Aptos"/>
          <w:sz w:val="20"/>
          <w:szCs w:val="20"/>
          <w:lang w:val="pl-PL"/>
        </w:rPr>
        <w:t>–</w:t>
      </w:r>
      <w:r w:rsidR="00CF7B00" w:rsidRPr="00D7225C">
        <w:rPr>
          <w:rFonts w:ascii="Aptos" w:hAnsi="Aptos"/>
          <w:sz w:val="20"/>
          <w:szCs w:val="20"/>
          <w:lang w:val="pl-PL"/>
        </w:rPr>
        <w:t xml:space="preserve"> </w:t>
      </w:r>
      <w:r w:rsidR="008E787B" w:rsidRPr="00D7225C">
        <w:rPr>
          <w:rFonts w:ascii="Aptos" w:hAnsi="Aptos"/>
          <w:i/>
          <w:iCs/>
          <w:sz w:val="20"/>
          <w:szCs w:val="20"/>
          <w:lang w:val="pl-PL"/>
        </w:rPr>
        <w:t xml:space="preserve">Misją naszej firmy jest poprawa życia pacjentów na całym świecie. </w:t>
      </w:r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 xml:space="preserve">Wierzymy, że edukacja jest pierwszym krokiem do zmiany, dlatego angażujemy się w działania podnoszące świadomość choroby </w:t>
      </w:r>
      <w:proofErr w:type="spellStart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>otyłościowej</w:t>
      </w:r>
      <w:proofErr w:type="spellEnd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 xml:space="preserve">, wspierające pacjentów w ich drodze do zdrowia i przeciwdziałające stygmatyzacji społecznej. „The Impossible </w:t>
      </w:r>
      <w:proofErr w:type="spellStart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>Gym</w:t>
      </w:r>
      <w:proofErr w:type="spellEnd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 xml:space="preserve">" to właśnie taka inicjatywa – w sposób przemawiający do wyobraźni pokazuje, z jakimi barierami na co dzień mierzą się osoby z chorobą </w:t>
      </w:r>
      <w:proofErr w:type="spellStart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>otyłościową</w:t>
      </w:r>
      <w:proofErr w:type="spellEnd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 xml:space="preserve">, i zachęca do rozmowy o otyłości opartej na faktach, a nie </w:t>
      </w:r>
      <w:r w:rsidR="008E787B" w:rsidRPr="007E1C01">
        <w:rPr>
          <w:rFonts w:ascii="Aptos" w:hAnsi="Aptos"/>
          <w:i/>
          <w:iCs/>
          <w:sz w:val="20"/>
          <w:szCs w:val="20"/>
          <w:lang w:val="pl-PL"/>
        </w:rPr>
        <w:t xml:space="preserve">stereotypach </w:t>
      </w:r>
      <w:r w:rsidR="00675E70" w:rsidRPr="007E1C01">
        <w:rPr>
          <w:rFonts w:ascii="Aptos" w:hAnsi="Aptos"/>
          <w:sz w:val="20"/>
          <w:szCs w:val="20"/>
          <w:lang w:val="pl-PL"/>
        </w:rPr>
        <w:t>–</w:t>
      </w:r>
      <w:r w:rsidR="00675E70" w:rsidRPr="00D7225C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7E1C01">
        <w:rPr>
          <w:rFonts w:ascii="Aptos" w:hAnsi="Aptos"/>
          <w:sz w:val="20"/>
          <w:szCs w:val="20"/>
          <w:lang w:val="pl-PL"/>
        </w:rPr>
        <w:t>powiedział</w:t>
      </w:r>
      <w:r w:rsidR="00D420E3" w:rsidRPr="00D7225C">
        <w:rPr>
          <w:rFonts w:ascii="Aptos" w:hAnsi="Aptos"/>
          <w:b/>
          <w:bCs/>
          <w:sz w:val="20"/>
          <w:szCs w:val="20"/>
          <w:lang w:val="pl-PL"/>
        </w:rPr>
        <w:t xml:space="preserve"> Ahmed </w:t>
      </w:r>
      <w:proofErr w:type="spellStart"/>
      <w:r w:rsidR="00D420E3" w:rsidRPr="00C818FA">
        <w:rPr>
          <w:rFonts w:ascii="Aptos" w:hAnsi="Aptos"/>
          <w:b/>
          <w:bCs/>
          <w:sz w:val="20"/>
          <w:szCs w:val="20"/>
          <w:lang w:val="pl-PL"/>
        </w:rPr>
        <w:t>Abdelkhalek</w:t>
      </w:r>
      <w:proofErr w:type="spellEnd"/>
      <w:r w:rsidR="00D420E3" w:rsidRPr="00D7225C">
        <w:rPr>
          <w:rFonts w:ascii="Aptos" w:hAnsi="Aptos"/>
          <w:b/>
          <w:bCs/>
          <w:sz w:val="20"/>
          <w:szCs w:val="20"/>
          <w:lang w:val="pl-PL"/>
        </w:rPr>
        <w:t>,</w:t>
      </w:r>
      <w:r w:rsidR="007E1C01">
        <w:rPr>
          <w:rFonts w:ascii="Aptos" w:hAnsi="Aptos"/>
          <w:b/>
          <w:bCs/>
          <w:sz w:val="20"/>
          <w:szCs w:val="20"/>
          <w:lang w:val="pl-PL"/>
        </w:rPr>
        <w:t xml:space="preserve"> d</w:t>
      </w:r>
      <w:r w:rsidR="00F035D2">
        <w:rPr>
          <w:rFonts w:ascii="Aptos" w:hAnsi="Aptos"/>
          <w:b/>
          <w:bCs/>
          <w:sz w:val="20"/>
          <w:szCs w:val="20"/>
          <w:lang w:val="pl-PL"/>
        </w:rPr>
        <w:t xml:space="preserve">yrektor </w:t>
      </w:r>
      <w:r w:rsidR="007E1C01">
        <w:rPr>
          <w:rFonts w:ascii="Aptos" w:hAnsi="Aptos"/>
          <w:b/>
          <w:bCs/>
          <w:sz w:val="20"/>
          <w:szCs w:val="20"/>
          <w:lang w:val="pl-PL"/>
        </w:rPr>
        <w:t>g</w:t>
      </w:r>
      <w:r w:rsidR="00F035D2">
        <w:rPr>
          <w:rFonts w:ascii="Aptos" w:hAnsi="Aptos"/>
          <w:b/>
          <w:bCs/>
          <w:sz w:val="20"/>
          <w:szCs w:val="20"/>
          <w:lang w:val="pl-PL"/>
        </w:rPr>
        <w:t>eneralny</w:t>
      </w:r>
      <w:r w:rsidR="00D420E3" w:rsidRPr="00C818FA">
        <w:rPr>
          <w:rFonts w:ascii="Aptos" w:hAnsi="Aptos"/>
          <w:b/>
          <w:bCs/>
          <w:sz w:val="20"/>
          <w:szCs w:val="20"/>
          <w:lang w:val="pl-PL"/>
        </w:rPr>
        <w:t xml:space="preserve"> Eli </w:t>
      </w:r>
      <w:proofErr w:type="spellStart"/>
      <w:r w:rsidR="00D420E3" w:rsidRPr="00C818FA">
        <w:rPr>
          <w:rFonts w:ascii="Aptos" w:hAnsi="Aptos"/>
          <w:b/>
          <w:bCs/>
          <w:sz w:val="20"/>
          <w:szCs w:val="20"/>
          <w:lang w:val="pl-PL"/>
        </w:rPr>
        <w:t>Lilly</w:t>
      </w:r>
      <w:proofErr w:type="spellEnd"/>
      <w:r w:rsidR="00D420E3" w:rsidRPr="00C818FA">
        <w:rPr>
          <w:rFonts w:ascii="Aptos" w:hAnsi="Aptos"/>
          <w:b/>
          <w:bCs/>
          <w:sz w:val="20"/>
          <w:szCs w:val="20"/>
          <w:lang w:val="pl-PL"/>
        </w:rPr>
        <w:t xml:space="preserve"> Polska Sp. z o. o</w:t>
      </w:r>
      <w:r w:rsidR="007E1C01">
        <w:rPr>
          <w:rFonts w:ascii="Aptos" w:hAnsi="Aptos"/>
          <w:b/>
          <w:bCs/>
          <w:sz w:val="20"/>
          <w:szCs w:val="20"/>
          <w:lang w:val="pl-PL"/>
        </w:rPr>
        <w:t>.</w:t>
      </w:r>
    </w:p>
    <w:p w14:paraId="4A7361F2" w14:textId="39F9FB54" w:rsidR="00675E70" w:rsidRDefault="00675E70" w:rsidP="00082C48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675E70">
        <w:rPr>
          <w:rFonts w:ascii="Aptos" w:hAnsi="Aptos"/>
          <w:sz w:val="20"/>
          <w:szCs w:val="20"/>
          <w:lang w:val="pl-PL"/>
        </w:rPr>
        <w:t>Więcej informacji nt.</w:t>
      </w:r>
      <w:r w:rsidR="00E57366">
        <w:rPr>
          <w:rFonts w:ascii="Aptos" w:hAnsi="Aptos"/>
          <w:sz w:val="20"/>
          <w:szCs w:val="20"/>
          <w:lang w:val="pl-PL"/>
        </w:rPr>
        <w:t xml:space="preserve"> choroby </w:t>
      </w:r>
      <w:proofErr w:type="spellStart"/>
      <w:r w:rsidR="00E57366">
        <w:rPr>
          <w:rFonts w:ascii="Aptos" w:hAnsi="Aptos"/>
          <w:sz w:val="20"/>
          <w:szCs w:val="20"/>
          <w:lang w:val="pl-PL"/>
        </w:rPr>
        <w:t>otyłościowej</w:t>
      </w:r>
      <w:proofErr w:type="spellEnd"/>
      <w:r w:rsidRPr="00675E70">
        <w:rPr>
          <w:rFonts w:ascii="Aptos" w:hAnsi="Aptos"/>
          <w:sz w:val="20"/>
          <w:szCs w:val="20"/>
          <w:lang w:val="pl-PL"/>
        </w:rPr>
        <w:t xml:space="preserve"> na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stron</w:t>
      </w:r>
      <w:r w:rsidR="00E57366">
        <w:rPr>
          <w:rFonts w:ascii="Aptos" w:hAnsi="Aptos"/>
          <w:b/>
          <w:bCs/>
          <w:sz w:val="20"/>
          <w:szCs w:val="20"/>
          <w:lang w:val="pl-PL"/>
        </w:rPr>
        <w:t>ach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hyperlink r:id="rId11" w:history="1">
        <w:r w:rsidR="007E4BE1" w:rsidRPr="00707EF1">
          <w:rPr>
            <w:rStyle w:val="Hipercze"/>
            <w:rFonts w:ascii="Aptos" w:hAnsi="Aptos"/>
            <w:b/>
            <w:bCs/>
            <w:sz w:val="20"/>
            <w:szCs w:val="20"/>
            <w:lang w:val="pl-PL"/>
          </w:rPr>
          <w:t>www.lilly.com/pl/choroby/otylosc</w:t>
        </w:r>
      </w:hyperlink>
      <w:r w:rsidR="00E57366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E57366" w:rsidRPr="00E57366">
        <w:rPr>
          <w:rFonts w:ascii="Aptos" w:hAnsi="Aptos"/>
          <w:sz w:val="20"/>
          <w:szCs w:val="20"/>
          <w:lang w:val="pl-PL"/>
        </w:rPr>
        <w:t xml:space="preserve">oraz </w:t>
      </w:r>
      <w:hyperlink r:id="rId12" w:history="1">
        <w:r w:rsidR="00E57366" w:rsidRPr="00707EF1">
          <w:rPr>
            <w:rStyle w:val="Hipercze"/>
            <w:rFonts w:ascii="Aptos" w:hAnsi="Aptos"/>
            <w:b/>
            <w:bCs/>
            <w:sz w:val="20"/>
            <w:szCs w:val="20"/>
            <w:lang w:val="pl-PL"/>
          </w:rPr>
          <w:t>www.lilly.com/pl/znajdz-opieke-zdrowotna</w:t>
        </w:r>
      </w:hyperlink>
    </w:p>
    <w:p w14:paraId="504A21D6" w14:textId="46D8E6A0" w:rsidR="00D12F8A" w:rsidRDefault="00675E70" w:rsidP="00675E70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18"/>
          <w:szCs w:val="18"/>
          <w:lang w:val="pl-PL"/>
        </w:rPr>
      </w:pPr>
      <w:r w:rsidRPr="00675E70">
        <w:rPr>
          <w:rFonts w:ascii="Aptos" w:hAnsi="Aptos"/>
          <w:b/>
          <w:bCs/>
          <w:sz w:val="18"/>
          <w:szCs w:val="18"/>
          <w:lang w:val="pl-PL"/>
        </w:rPr>
        <w:t xml:space="preserve">O firmie </w:t>
      </w:r>
      <w:proofErr w:type="spellStart"/>
      <w:r w:rsidRPr="00675E70">
        <w:rPr>
          <w:rFonts w:ascii="Aptos" w:hAnsi="Aptos"/>
          <w:b/>
          <w:bCs/>
          <w:sz w:val="18"/>
          <w:szCs w:val="18"/>
          <w:lang w:val="pl-PL"/>
        </w:rPr>
        <w:t>Lilly</w:t>
      </w:r>
      <w:proofErr w:type="spellEnd"/>
    </w:p>
    <w:p w14:paraId="3E6821C8" w14:textId="07900E38" w:rsidR="00C44AF8" w:rsidRPr="00C44AF8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proofErr w:type="spellStart"/>
      <w:r w:rsidRPr="00C44AF8">
        <w:rPr>
          <w:rFonts w:ascii="Aptos" w:hAnsi="Aptos"/>
          <w:sz w:val="18"/>
          <w:szCs w:val="18"/>
          <w:lang w:val="pl-PL"/>
        </w:rPr>
        <w:t>Lilly</w:t>
      </w:r>
      <w:proofErr w:type="spellEnd"/>
      <w:r w:rsidRPr="00C44AF8">
        <w:rPr>
          <w:rFonts w:ascii="Aptos" w:hAnsi="Aptos"/>
          <w:sz w:val="18"/>
          <w:szCs w:val="18"/>
          <w:lang w:val="pl-PL"/>
        </w:rPr>
        <w:t xml:space="preserve"> jest firmą medyczną, która przekuwa naukę w realne rozwiązania terapeutyczne, aby poprawiać jakość życia ludzi. Od ponad 150 lat dokonujemy przełomowych odkryć, które zmieniają życie pacjentów, a</w:t>
      </w:r>
      <w:r w:rsidR="009A4E08">
        <w:rPr>
          <w:rFonts w:ascii="Aptos" w:hAnsi="Aptos"/>
          <w:sz w:val="18"/>
          <w:szCs w:val="18"/>
          <w:lang w:val="pl-PL"/>
        </w:rPr>
        <w:t xml:space="preserve"> obecnie</w:t>
      </w:r>
      <w:r w:rsidRPr="00C44AF8">
        <w:rPr>
          <w:rFonts w:ascii="Aptos" w:hAnsi="Aptos"/>
          <w:sz w:val="18"/>
          <w:szCs w:val="18"/>
          <w:lang w:val="pl-PL"/>
        </w:rPr>
        <w:t xml:space="preserve"> nasze leki pomagają dziesiątkom milionów osób na całym świecie.</w:t>
      </w:r>
      <w:r w:rsidR="00A96226">
        <w:rPr>
          <w:rFonts w:ascii="Aptos" w:hAnsi="Aptos"/>
          <w:sz w:val="18"/>
          <w:szCs w:val="18"/>
          <w:lang w:val="pl-PL"/>
        </w:rPr>
        <w:t xml:space="preserve"> </w:t>
      </w:r>
    </w:p>
    <w:p w14:paraId="66500555" w14:textId="68AAFC09" w:rsidR="00FE1448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t>Wykorzystując potencjał biotechnologii, chemii oraz medycyny genetycznej, nasi naukowcy intensywnie pracują nad nowymi rozwiązaniami w odpowiedzi na najważniejsze globalne wyzwania zdrowotne: redefiniujemy leczenie cukrzycy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rozwijamy terapi</w:t>
      </w:r>
      <w:r w:rsidR="00A96226">
        <w:rPr>
          <w:rFonts w:ascii="Aptos" w:hAnsi="Aptos"/>
          <w:sz w:val="18"/>
          <w:szCs w:val="18"/>
          <w:lang w:val="pl-PL"/>
        </w:rPr>
        <w:t>ę</w:t>
      </w:r>
      <w:r w:rsidRPr="00C44AF8">
        <w:rPr>
          <w:rFonts w:ascii="Aptos" w:hAnsi="Aptos"/>
          <w:sz w:val="18"/>
          <w:szCs w:val="18"/>
          <w:lang w:val="pl-PL"/>
        </w:rPr>
        <w:t xml:space="preserve"> otyłości oraz ograniczamy jej najpoważniejsze długoterminowe skutki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przyspieszamy walkę z chorobą Alzheimera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dostarczamy rozwiązania dla</w:t>
      </w:r>
      <w:r w:rsidR="00FE1448">
        <w:rPr>
          <w:rStyle w:val="Odwoaniedokomentarza"/>
          <w:rFonts w:ascii="Aptos" w:hAnsi="Aptos"/>
          <w:sz w:val="18"/>
          <w:szCs w:val="18"/>
          <w:lang w:val="pl-PL"/>
        </w:rPr>
        <w:t xml:space="preserve"> s</w:t>
      </w:r>
      <w:r w:rsidR="00A96226">
        <w:rPr>
          <w:rFonts w:ascii="Aptos" w:hAnsi="Aptos"/>
          <w:sz w:val="18"/>
          <w:szCs w:val="18"/>
          <w:lang w:val="pl-PL"/>
        </w:rPr>
        <w:t xml:space="preserve">zeregu </w:t>
      </w:r>
      <w:r w:rsidRPr="00C44AF8">
        <w:rPr>
          <w:rFonts w:ascii="Aptos" w:hAnsi="Aptos"/>
          <w:sz w:val="18"/>
          <w:szCs w:val="18"/>
          <w:lang w:val="pl-PL"/>
        </w:rPr>
        <w:t xml:space="preserve">chorób układu immunologicznego oraz </w:t>
      </w:r>
      <w:r w:rsidR="00FE1448">
        <w:rPr>
          <w:rFonts w:ascii="Aptos" w:hAnsi="Aptos"/>
          <w:sz w:val="18"/>
          <w:szCs w:val="18"/>
          <w:lang w:val="pl-PL"/>
        </w:rPr>
        <w:t>d</w:t>
      </w:r>
      <w:r w:rsidR="00FE1448" w:rsidRPr="00FE1448">
        <w:rPr>
          <w:rFonts w:ascii="Aptos" w:hAnsi="Aptos"/>
          <w:sz w:val="18"/>
          <w:szCs w:val="18"/>
          <w:lang w:val="pl-PL"/>
        </w:rPr>
        <w:t>ajemy szansę na kontrolowanie niektórych trudnych do leczenia nowotworów</w:t>
      </w:r>
      <w:r w:rsidR="00FE1448">
        <w:rPr>
          <w:rFonts w:ascii="Aptos" w:hAnsi="Aptos"/>
          <w:sz w:val="18"/>
          <w:szCs w:val="18"/>
          <w:lang w:val="pl-PL"/>
        </w:rPr>
        <w:t>.</w:t>
      </w:r>
    </w:p>
    <w:p w14:paraId="532A161F" w14:textId="0E42D135" w:rsidR="00C44AF8" w:rsidRPr="00C44AF8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lastRenderedPageBreak/>
        <w:t>Każdy krok w kierunku zdrowszego świata napędza nas</w:t>
      </w:r>
      <w:r w:rsidR="001D0E0C">
        <w:rPr>
          <w:rFonts w:ascii="Aptos" w:hAnsi="Aptos"/>
          <w:sz w:val="18"/>
          <w:szCs w:val="18"/>
          <w:lang w:val="pl-PL"/>
        </w:rPr>
        <w:t>z</w:t>
      </w:r>
      <w:r w:rsidRPr="00C44AF8">
        <w:rPr>
          <w:rFonts w:ascii="Aptos" w:hAnsi="Aptos"/>
          <w:sz w:val="18"/>
          <w:szCs w:val="18"/>
          <w:lang w:val="pl-PL"/>
        </w:rPr>
        <w:t xml:space="preserve"> cel – popraw</w:t>
      </w:r>
      <w:r w:rsidR="00E1725C">
        <w:rPr>
          <w:rFonts w:ascii="Aptos" w:hAnsi="Aptos"/>
          <w:sz w:val="18"/>
          <w:szCs w:val="18"/>
          <w:lang w:val="pl-PL"/>
        </w:rPr>
        <w:t>ę</w:t>
      </w:r>
      <w:r w:rsidRPr="00C44AF8">
        <w:rPr>
          <w:rFonts w:ascii="Aptos" w:hAnsi="Aptos"/>
          <w:sz w:val="18"/>
          <w:szCs w:val="18"/>
          <w:lang w:val="pl-PL"/>
        </w:rPr>
        <w:t xml:space="preserve"> jakości życia kolejnych milionów ludzi. Obejmuje to prowadzenie innowacyjnych badań klinicznych odzwierciedlających różnorodność społeczeństw oraz działania na rzecz zapewnienia dostępności i przystępności cenowej naszych terapii.</w:t>
      </w:r>
    </w:p>
    <w:p w14:paraId="49346E71" w14:textId="593639D8" w:rsidR="00181BC7" w:rsidRPr="00675E70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t xml:space="preserve">Więcej informacji na stronie </w:t>
      </w:r>
      <w:hyperlink r:id="rId13" w:history="1">
        <w:r w:rsidR="00FE1448" w:rsidRPr="00FE1448">
          <w:rPr>
            <w:rStyle w:val="Hipercze"/>
            <w:rFonts w:ascii="Aptos" w:hAnsi="Aptos"/>
            <w:sz w:val="18"/>
            <w:szCs w:val="18"/>
            <w:lang w:val="pl-PL"/>
          </w:rPr>
          <w:t>https://www.lilly.com/pl/</w:t>
        </w:r>
      </w:hyperlink>
      <w:r w:rsidRPr="00C44AF8">
        <w:rPr>
          <w:rFonts w:ascii="Aptos" w:hAnsi="Aptos"/>
          <w:sz w:val="18"/>
          <w:szCs w:val="18"/>
          <w:lang w:val="pl-PL"/>
        </w:rPr>
        <w:t>, a także na naszych profilach w mediach społecznościowych</w:t>
      </w:r>
      <w:r w:rsidR="00FE1448">
        <w:rPr>
          <w:rFonts w:ascii="Aptos" w:hAnsi="Aptos"/>
          <w:sz w:val="18"/>
          <w:szCs w:val="18"/>
          <w:lang w:val="pl-PL"/>
        </w:rPr>
        <w:t xml:space="preserve"> (</w:t>
      </w:r>
      <w:r w:rsidRPr="00C44AF8">
        <w:rPr>
          <w:rFonts w:ascii="Aptos" w:hAnsi="Aptos"/>
          <w:sz w:val="18"/>
          <w:szCs w:val="18"/>
          <w:lang w:val="pl-PL"/>
        </w:rPr>
        <w:t>Facebook</w:t>
      </w:r>
      <w:r w:rsidR="00FE1448">
        <w:rPr>
          <w:rFonts w:ascii="Aptos" w:hAnsi="Aptos"/>
          <w:sz w:val="18"/>
          <w:szCs w:val="18"/>
          <w:lang w:val="pl-PL"/>
        </w:rPr>
        <w:t xml:space="preserve"> i </w:t>
      </w:r>
      <w:r w:rsidRPr="00C44AF8">
        <w:rPr>
          <w:rFonts w:ascii="Aptos" w:hAnsi="Aptos"/>
          <w:sz w:val="18"/>
          <w:szCs w:val="18"/>
          <w:lang w:val="pl-PL"/>
        </w:rPr>
        <w:t>Instagram</w:t>
      </w:r>
      <w:r w:rsidR="00FE1448">
        <w:rPr>
          <w:rFonts w:ascii="Aptos" w:hAnsi="Aptos"/>
          <w:sz w:val="18"/>
          <w:szCs w:val="18"/>
          <w:lang w:val="pl-PL"/>
        </w:rPr>
        <w:t>).</w:t>
      </w:r>
    </w:p>
    <w:p w14:paraId="78A3A6DD" w14:textId="77777777" w:rsidR="00675E70" w:rsidRDefault="00181BC7" w:rsidP="00675E70">
      <w:pPr>
        <w:tabs>
          <w:tab w:val="left" w:pos="1530"/>
        </w:tabs>
        <w:spacing w:line="259" w:lineRule="auto"/>
        <w:rPr>
          <w:rFonts w:ascii="Aptos" w:hAnsi="Aptos"/>
          <w:b/>
          <w:bCs/>
          <w:sz w:val="18"/>
          <w:szCs w:val="18"/>
          <w:lang w:val="pl-PL"/>
        </w:rPr>
      </w:pPr>
      <w:r w:rsidRPr="00675E70">
        <w:rPr>
          <w:rFonts w:ascii="Aptos" w:hAnsi="Aptos"/>
          <w:b/>
          <w:bCs/>
          <w:sz w:val="18"/>
          <w:szCs w:val="18"/>
          <w:lang w:val="pl-PL"/>
        </w:rPr>
        <w:t>Kontakt dla mediów:</w:t>
      </w:r>
    </w:p>
    <w:p w14:paraId="2712EF5B" w14:textId="14FECD04" w:rsidR="00181BC7" w:rsidRPr="00675E70" w:rsidRDefault="00181BC7" w:rsidP="00675E70">
      <w:pPr>
        <w:tabs>
          <w:tab w:val="left" w:pos="1530"/>
        </w:tabs>
        <w:spacing w:line="259" w:lineRule="auto"/>
        <w:rPr>
          <w:rFonts w:ascii="Aptos" w:hAnsi="Aptos"/>
          <w:sz w:val="20"/>
          <w:szCs w:val="20"/>
          <w:lang w:val="pl-PL"/>
        </w:rPr>
      </w:pPr>
      <w:r w:rsidRPr="00675E70">
        <w:rPr>
          <w:rFonts w:ascii="Aptos" w:hAnsi="Aptos"/>
          <w:sz w:val="20"/>
          <w:szCs w:val="20"/>
          <w:lang w:val="pl-PL"/>
        </w:rPr>
        <w:t xml:space="preserve">Martyna Pawlikowska, </w:t>
      </w:r>
      <w:hyperlink r:id="rId14" w:history="1">
        <w:r w:rsidR="00675E70" w:rsidRPr="007172E0">
          <w:rPr>
            <w:rStyle w:val="Hipercze"/>
            <w:rFonts w:ascii="Aptos" w:hAnsi="Aptos"/>
            <w:sz w:val="20"/>
            <w:szCs w:val="20"/>
            <w:lang w:val="pl-PL"/>
          </w:rPr>
          <w:t>martyna.pawlikowska@mslgroup.com</w:t>
        </w:r>
      </w:hyperlink>
      <w:r w:rsidRPr="00675E70">
        <w:rPr>
          <w:rFonts w:ascii="Aptos" w:hAnsi="Aptos"/>
          <w:sz w:val="20"/>
          <w:szCs w:val="20"/>
          <w:lang w:val="pl-PL"/>
        </w:rPr>
        <w:t>, +48</w:t>
      </w:r>
      <w:r w:rsidR="00675E70">
        <w:rPr>
          <w:rFonts w:ascii="Aptos" w:hAnsi="Aptos"/>
          <w:sz w:val="20"/>
          <w:szCs w:val="20"/>
          <w:lang w:val="pl-PL"/>
        </w:rPr>
        <w:t> </w:t>
      </w:r>
      <w:r w:rsidRPr="00675E70">
        <w:rPr>
          <w:rFonts w:ascii="Aptos" w:hAnsi="Aptos"/>
          <w:sz w:val="20"/>
          <w:szCs w:val="20"/>
          <w:lang w:val="pl-PL"/>
        </w:rPr>
        <w:t>508</w:t>
      </w:r>
      <w:r w:rsidR="00675E70">
        <w:rPr>
          <w:rFonts w:ascii="Aptos" w:hAnsi="Aptos"/>
          <w:sz w:val="20"/>
          <w:szCs w:val="20"/>
          <w:lang w:val="pl-PL"/>
        </w:rPr>
        <w:t> </w:t>
      </w:r>
      <w:r w:rsidRPr="00675E70">
        <w:rPr>
          <w:rFonts w:ascii="Aptos" w:hAnsi="Aptos"/>
          <w:sz w:val="20"/>
          <w:szCs w:val="20"/>
          <w:lang w:val="pl-PL"/>
        </w:rPr>
        <w:t>801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Pr="00675E70">
        <w:rPr>
          <w:rFonts w:ascii="Aptos" w:hAnsi="Aptos"/>
          <w:sz w:val="20"/>
          <w:szCs w:val="20"/>
          <w:lang w:val="pl-PL"/>
        </w:rPr>
        <w:t>263</w:t>
      </w:r>
      <w:r w:rsidRPr="00675E70">
        <w:rPr>
          <w:rFonts w:ascii="Aptos" w:hAnsi="Aptos"/>
          <w:sz w:val="20"/>
          <w:szCs w:val="20"/>
          <w:lang w:val="pl-PL"/>
        </w:rPr>
        <w:br/>
        <w:t xml:space="preserve">Marta Miller, </w:t>
      </w:r>
      <w:hyperlink r:id="rId15" w:history="1">
        <w:r w:rsidR="00675E70" w:rsidRPr="007172E0">
          <w:rPr>
            <w:rStyle w:val="Hipercze"/>
            <w:rFonts w:ascii="Aptos" w:hAnsi="Aptos"/>
            <w:sz w:val="20"/>
            <w:szCs w:val="20"/>
            <w:lang w:val="pl-PL"/>
          </w:rPr>
          <w:t>marta.miller@mslgroup.com</w:t>
        </w:r>
      </w:hyperlink>
      <w:r w:rsidR="00675E70">
        <w:rPr>
          <w:rFonts w:ascii="Aptos" w:hAnsi="Aptos"/>
          <w:sz w:val="20"/>
          <w:szCs w:val="20"/>
          <w:lang w:val="pl-PL"/>
        </w:rPr>
        <w:t xml:space="preserve">, </w:t>
      </w:r>
      <w:r w:rsidR="00675E70" w:rsidRPr="00675E70">
        <w:rPr>
          <w:rFonts w:ascii="Aptos" w:hAnsi="Aptos"/>
          <w:sz w:val="20"/>
          <w:szCs w:val="20"/>
          <w:lang w:val="pl-PL"/>
        </w:rPr>
        <w:t>+48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675E70">
        <w:rPr>
          <w:rFonts w:ascii="Aptos" w:hAnsi="Aptos"/>
          <w:sz w:val="20"/>
          <w:szCs w:val="20"/>
          <w:lang w:val="pl-PL"/>
        </w:rPr>
        <w:t>533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675E70">
        <w:rPr>
          <w:rFonts w:ascii="Aptos" w:hAnsi="Aptos"/>
          <w:sz w:val="20"/>
          <w:szCs w:val="20"/>
          <w:lang w:val="pl-PL"/>
        </w:rPr>
        <w:t>322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675E70">
        <w:rPr>
          <w:rFonts w:ascii="Aptos" w:hAnsi="Aptos"/>
          <w:sz w:val="20"/>
          <w:szCs w:val="20"/>
          <w:lang w:val="pl-PL"/>
        </w:rPr>
        <w:t>26</w:t>
      </w:r>
      <w:r w:rsidR="00675E70">
        <w:rPr>
          <w:rFonts w:ascii="Aptos" w:hAnsi="Aptos"/>
          <w:sz w:val="20"/>
          <w:szCs w:val="20"/>
          <w:lang w:val="pl-PL"/>
        </w:rPr>
        <w:t>3</w:t>
      </w:r>
    </w:p>
    <w:p w14:paraId="42AFC28A" w14:textId="71DD76F5" w:rsidR="00CD7BF4" w:rsidRPr="0002007B" w:rsidRDefault="00CD7BF4" w:rsidP="4D145E0E">
      <w:pPr>
        <w:spacing w:line="360" w:lineRule="exact"/>
        <w:rPr>
          <w:rFonts w:ascii="Aptos" w:eastAsia="Ringside Book" w:hAnsi="Aptos" w:cs="Ringside Book"/>
          <w:lang w:val="pl-PL"/>
        </w:rPr>
      </w:pPr>
    </w:p>
    <w:sectPr w:rsidR="00CD7BF4" w:rsidRPr="0002007B" w:rsidSect="0041650F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2074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F87B" w14:textId="77777777" w:rsidR="00AA744A" w:rsidRDefault="00AA744A" w:rsidP="00392059">
      <w:r>
        <w:separator/>
      </w:r>
    </w:p>
  </w:endnote>
  <w:endnote w:type="continuationSeparator" w:id="0">
    <w:p w14:paraId="03A73846" w14:textId="77777777" w:rsidR="00AA744A" w:rsidRDefault="00AA744A" w:rsidP="00392059">
      <w:r>
        <w:continuationSeparator/>
      </w:r>
    </w:p>
  </w:endnote>
  <w:endnote w:type="continuationNotice" w:id="1">
    <w:p w14:paraId="00F9DFF4" w14:textId="77777777" w:rsidR="00AA744A" w:rsidRDefault="00AA7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ulturista">
    <w:altName w:val="Times New Roman"/>
    <w:charset w:val="00"/>
    <w:family w:val="auto"/>
    <w:pitch w:val="variable"/>
    <w:sig w:usb0="00000003" w:usb1="5807006A" w:usb2="00000010" w:usb3="00000000" w:csb0="00020193" w:csb1="00000000"/>
  </w:font>
  <w:font w:name="New Century Schlbk">
    <w:altName w:val="Century Schoolbook"/>
    <w:charset w:val="00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ngside Book">
    <w:panose1 w:val="00000000000000000000"/>
    <w:charset w:val="00"/>
    <w:family w:val="auto"/>
    <w:notTrueType/>
    <w:pitch w:val="variable"/>
    <w:sig w:usb0="A000007F" w:usb1="5000001B" w:usb2="00000000" w:usb3="00000000" w:csb0="0000009B" w:csb1="00000000"/>
  </w:font>
  <w:font w:name="Ringside Narrow Book">
    <w:altName w:val="Calibri"/>
    <w:panose1 w:val="00000000000000000000"/>
    <w:charset w:val="00"/>
    <w:family w:val="auto"/>
    <w:notTrueType/>
    <w:pitch w:val="variable"/>
    <w:sig w:usb0="A000007F" w:usb1="5000001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ngside Narrow Book" w:hAnsi="Ringside Narrow Book"/>
        <w:sz w:val="20"/>
        <w:szCs w:val="20"/>
      </w:rPr>
      <w:id w:val="1143626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39825" w14:textId="768C3AE4" w:rsidR="00B7711C" w:rsidRPr="00C80D81" w:rsidRDefault="00B7711C">
        <w:pPr>
          <w:pStyle w:val="Stopka"/>
          <w:jc w:val="center"/>
          <w:rPr>
            <w:rFonts w:ascii="Ringside Narrow Book" w:hAnsi="Ringside Narrow Book"/>
            <w:sz w:val="20"/>
            <w:szCs w:val="20"/>
          </w:rPr>
        </w:pPr>
        <w:r w:rsidRPr="00C80D81">
          <w:rPr>
            <w:rFonts w:ascii="Ringside Narrow Book" w:hAnsi="Ringside Narrow Book"/>
            <w:sz w:val="20"/>
            <w:szCs w:val="20"/>
          </w:rPr>
          <w:fldChar w:fldCharType="begin"/>
        </w:r>
        <w:r w:rsidRPr="00C80D81">
          <w:rPr>
            <w:rFonts w:ascii="Ringside Narrow Book" w:hAnsi="Ringside Narrow Book"/>
            <w:sz w:val="20"/>
            <w:szCs w:val="20"/>
          </w:rPr>
          <w:instrText xml:space="preserve"> PAGE   \* MERGEFORMAT </w:instrText>
        </w:r>
        <w:r w:rsidRPr="00C80D81">
          <w:rPr>
            <w:rFonts w:ascii="Ringside Narrow Book" w:hAnsi="Ringside Narrow Book"/>
            <w:sz w:val="20"/>
            <w:szCs w:val="20"/>
          </w:rPr>
          <w:fldChar w:fldCharType="separate"/>
        </w:r>
        <w:r w:rsidR="00943A7B" w:rsidRPr="00C80D81">
          <w:rPr>
            <w:rFonts w:ascii="Ringside Narrow Book" w:hAnsi="Ringside Narrow Book"/>
            <w:noProof/>
            <w:sz w:val="20"/>
            <w:szCs w:val="20"/>
          </w:rPr>
          <w:t>2</w:t>
        </w:r>
        <w:r w:rsidRPr="00C80D81">
          <w:rPr>
            <w:rFonts w:ascii="Ringside Narrow Book" w:hAnsi="Ringside Narrow Book"/>
            <w:noProof/>
            <w:sz w:val="20"/>
            <w:szCs w:val="20"/>
          </w:rPr>
          <w:fldChar w:fldCharType="end"/>
        </w:r>
      </w:p>
    </w:sdtContent>
  </w:sdt>
  <w:p w14:paraId="02F20CA8" w14:textId="69A674FD" w:rsidR="00B7711C" w:rsidRPr="007E1C01" w:rsidRDefault="007E1C01" w:rsidP="007E1C01">
    <w:pPr>
      <w:pStyle w:val="Stopka"/>
      <w:rPr>
        <w:rFonts w:ascii="Aptos" w:hAnsi="Aptos" w:cstheme="majorHAnsi"/>
        <w:b/>
        <w:bCs/>
        <w:sz w:val="18"/>
        <w:szCs w:val="18"/>
      </w:rPr>
    </w:pPr>
    <w:r w:rsidRPr="007E1C01">
      <w:rPr>
        <w:rFonts w:ascii="Aptos" w:hAnsi="Aptos" w:cstheme="majorHAnsi"/>
        <w:b/>
        <w:bCs/>
        <w:sz w:val="18"/>
        <w:szCs w:val="18"/>
      </w:rPr>
      <w:t>CMAT-39414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D00E" w14:textId="77777777" w:rsidR="007E1C01" w:rsidRPr="007E1C01" w:rsidRDefault="007E1C01" w:rsidP="007E1C01">
    <w:pPr>
      <w:pStyle w:val="Stopka"/>
      <w:rPr>
        <w:rFonts w:ascii="Aptos" w:hAnsi="Aptos" w:cstheme="majorHAnsi"/>
        <w:b/>
        <w:bCs/>
        <w:sz w:val="18"/>
        <w:szCs w:val="18"/>
      </w:rPr>
    </w:pPr>
    <w:r w:rsidRPr="007E1C01">
      <w:rPr>
        <w:rFonts w:ascii="Aptos" w:hAnsi="Aptos" w:cstheme="majorHAnsi"/>
        <w:b/>
        <w:bCs/>
        <w:sz w:val="18"/>
        <w:szCs w:val="18"/>
      </w:rPr>
      <w:t>CMAT-39414 </w:t>
    </w:r>
  </w:p>
  <w:p w14:paraId="0C88EA3C" w14:textId="46AF4081" w:rsidR="00B7711C" w:rsidRDefault="00144AD9" w:rsidP="00C63574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123341" wp14:editId="0344E6B6">
              <wp:simplePos x="0" y="0"/>
              <wp:positionH relativeFrom="margin">
                <wp:posOffset>0</wp:posOffset>
              </wp:positionH>
              <wp:positionV relativeFrom="page">
                <wp:posOffset>9422130</wp:posOffset>
              </wp:positionV>
              <wp:extent cx="6595110" cy="393700"/>
              <wp:effectExtent l="0" t="0" r="15240" b="6350"/>
              <wp:wrapNone/>
              <wp:docPr id="2180704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BE9FF" w14:textId="77777777" w:rsidR="00144AD9" w:rsidRPr="00BB24A9" w:rsidRDefault="00144AD9" w:rsidP="00144AD9">
                          <w:pPr>
                            <w:pStyle w:val="Tekstpodstawowy"/>
                            <w:spacing w:before="56"/>
                            <w:ind w:right="575"/>
                            <w:rPr>
                              <w:rFonts w:ascii="Calibri" w:hAnsi="Calibri"/>
                              <w:sz w:val="20"/>
                              <w:lang w:val="pl-PL"/>
                            </w:rPr>
                          </w:pP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lang w:val="pl-PL"/>
                            </w:rPr>
                            <w:t xml:space="preserve">Organ rejestrowy: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lang w:val="pl-PL"/>
                            </w:rPr>
                            <w:t>Sąd rejonowy dla m. st. Warszawy, XIV Wydział Gospodarczy Krajowego Rejestru Sądowego</w:t>
                          </w:r>
                        </w:p>
                        <w:p w14:paraId="326C9F73" w14:textId="77777777" w:rsidR="00144AD9" w:rsidRPr="00BB24A9" w:rsidRDefault="00144AD9" w:rsidP="00144AD9">
                          <w:pPr>
                            <w:spacing w:before="1"/>
                            <w:ind w:left="163" w:right="575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</w:pP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Numer KRS: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0000034645,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Kapitał Zakładowy: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10 023 734 PLN,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NIP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526-10-12-594,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Regon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>010741154</w:t>
                          </w:r>
                        </w:p>
                        <w:p w14:paraId="0C2DC105" w14:textId="77777777" w:rsidR="00144AD9" w:rsidRPr="00144AD9" w:rsidRDefault="00144AD9" w:rsidP="00144AD9">
                          <w:pPr>
                            <w:pStyle w:val="Tekstpodstawowy"/>
                            <w:spacing w:before="18"/>
                            <w:ind w:left="20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233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741.9pt;width:519.3pt;height:3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" filled="f" stroked="f">
              <v:textbox inset="0,0,0,0">
                <w:txbxContent>
                  <w:p w14:paraId="029BE9FF" w14:textId="77777777" w:rsidR="00144AD9" w:rsidRPr="00BB24A9" w:rsidRDefault="00144AD9" w:rsidP="00144AD9">
                    <w:pPr>
                      <w:pStyle w:val="Tekstpodstawowy"/>
                      <w:spacing w:before="56"/>
                      <w:ind w:right="575"/>
                      <w:rPr>
                        <w:rFonts w:ascii="Calibri" w:hAnsi="Calibri"/>
                        <w:sz w:val="20"/>
                        <w:lang w:val="pl-PL"/>
                      </w:rPr>
                    </w:pPr>
                    <w:r w:rsidRPr="00BB24A9">
                      <w:rPr>
                        <w:rFonts w:ascii="Calibri" w:hAnsi="Calibri"/>
                        <w:b/>
                        <w:sz w:val="20"/>
                        <w:lang w:val="pl-PL"/>
                      </w:rPr>
                      <w:t xml:space="preserve">Organ rejestrowy: </w:t>
                    </w:r>
                    <w:r w:rsidRPr="00BB24A9">
                      <w:rPr>
                        <w:rFonts w:ascii="Calibri" w:hAnsi="Calibri"/>
                        <w:sz w:val="20"/>
                        <w:lang w:val="pl-PL"/>
                      </w:rPr>
                      <w:t>Sąd rejonowy dla m. st. Warszawy, XIV Wydział Gospodarczy Krajowego Rejestru Sądowego</w:t>
                    </w:r>
                  </w:p>
                  <w:p w14:paraId="326C9F73" w14:textId="77777777" w:rsidR="00144AD9" w:rsidRPr="00BB24A9" w:rsidRDefault="00144AD9" w:rsidP="00144AD9">
                    <w:pPr>
                      <w:spacing w:before="1"/>
                      <w:ind w:left="163" w:right="575"/>
                      <w:jc w:val="center"/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</w:pP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Numer KRS: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0000034645,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Kapitał Zakładowy: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10 023 734 PLN,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NIP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526-10-12-594,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Regon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>010741154</w:t>
                    </w:r>
                  </w:p>
                  <w:p w14:paraId="0C2DC105" w14:textId="77777777" w:rsidR="00144AD9" w:rsidRPr="00144AD9" w:rsidRDefault="00144AD9" w:rsidP="00144AD9">
                    <w:pPr>
                      <w:pStyle w:val="Tekstpodstawowy"/>
                      <w:spacing w:before="18"/>
                      <w:ind w:left="20"/>
                      <w:rPr>
                        <w:lang w:val="pl-P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7AC8" w14:textId="77777777" w:rsidR="00AA744A" w:rsidRDefault="00AA744A" w:rsidP="00392059">
      <w:r>
        <w:separator/>
      </w:r>
    </w:p>
  </w:footnote>
  <w:footnote w:type="continuationSeparator" w:id="0">
    <w:p w14:paraId="39E76C72" w14:textId="77777777" w:rsidR="00AA744A" w:rsidRDefault="00AA744A" w:rsidP="00392059">
      <w:r>
        <w:continuationSeparator/>
      </w:r>
    </w:p>
  </w:footnote>
  <w:footnote w:type="continuationNotice" w:id="1">
    <w:p w14:paraId="4ACF1A92" w14:textId="77777777" w:rsidR="00AA744A" w:rsidRDefault="00AA744A"/>
  </w:footnote>
  <w:footnote w:id="2">
    <w:p w14:paraId="00C08613" w14:textId="37D99438" w:rsidR="00862814" w:rsidRPr="00930DB5" w:rsidRDefault="00862814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Główny Urząd Statystyczny. Odsetek osób w wieku powyżej 15 lat według indeksu masy ciała (BMI). Dostępne z: https://stat. gov.pl/obszary-tematyczne/zdrowie/zdrowie/odsetek-osob-w-wieku-powyzej-15-lat-wedlug-indeksu-masy-ciala-bmi,23,1.html (dostęp z dnia 12 maja 2026 r.).</w:t>
      </w:r>
    </w:p>
  </w:footnote>
  <w:footnote w:id="3">
    <w:p w14:paraId="2D466360" w14:textId="354E7F75" w:rsidR="001D6BC9" w:rsidRPr="00E43992" w:rsidRDefault="001D6BC9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E43992">
        <w:rPr>
          <w:rStyle w:val="Odwoanieprzypisudolnego"/>
          <w:sz w:val="18"/>
          <w:szCs w:val="18"/>
        </w:rPr>
        <w:footnoteRef/>
      </w:r>
      <w:r w:rsidRPr="00E43992">
        <w:rPr>
          <w:sz w:val="18"/>
          <w:szCs w:val="18"/>
          <w:lang w:val="pl-PL"/>
        </w:rPr>
        <w:t xml:space="preserve"> https://www.who.int/europe/news-room/fact-sheets/item/the-challenge-of-obesity</w:t>
      </w:r>
    </w:p>
  </w:footnote>
  <w:footnote w:id="4">
    <w:p w14:paraId="7B33EFEC" w14:textId="68D052FE" w:rsidR="001D6BC9" w:rsidRPr="00E43992" w:rsidRDefault="001D6BC9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E43992">
        <w:rPr>
          <w:rStyle w:val="Odwoanieprzypisudolnego"/>
          <w:sz w:val="18"/>
          <w:szCs w:val="18"/>
        </w:rPr>
        <w:footnoteRef/>
      </w:r>
      <w:r w:rsidRPr="00E43992">
        <w:rPr>
          <w:sz w:val="18"/>
          <w:szCs w:val="18"/>
          <w:lang w:val="pl-PL"/>
        </w:rPr>
        <w:t xml:space="preserve"> </w:t>
      </w:r>
      <w:r w:rsidR="00B81567" w:rsidRPr="00E43992">
        <w:rPr>
          <w:sz w:val="18"/>
          <w:szCs w:val="18"/>
          <w:lang w:val="pl-PL"/>
        </w:rPr>
        <w:t>https://www.eufic.org/en/healthy-living/article/europes-obesity-statistics-figures-trends-rates-by-country/</w:t>
      </w:r>
    </w:p>
  </w:footnote>
  <w:footnote w:id="5">
    <w:p w14:paraId="16982F6A" w14:textId="5E5CF0C3" w:rsidR="009B4461" w:rsidRPr="00E43992" w:rsidRDefault="009B4461">
      <w:pPr>
        <w:pStyle w:val="Tekstprzypisudolnego"/>
        <w:rPr>
          <w:lang w:val="pl-PL"/>
        </w:rPr>
      </w:pPr>
      <w:r w:rsidRPr="00E43992">
        <w:rPr>
          <w:rStyle w:val="Odwoanieprzypisudolnego"/>
        </w:rPr>
        <w:footnoteRef/>
      </w:r>
      <w:r w:rsidRPr="00E43992">
        <w:rPr>
          <w:lang w:val="pl-PL"/>
        </w:rPr>
        <w:t xml:space="preserve"> Narodowy Fundusz Zdrowia (2025). „Liczebności kategorii BMI w Polsce </w:t>
      </w:r>
      <w:r w:rsidR="004932D5" w:rsidRPr="00E43992">
        <w:rPr>
          <w:lang w:val="pl-PL"/>
        </w:rPr>
        <w:t>(styczeń – kwiecień 2026)” – zestawienie danych opublikowane 19 czerwca 2026 r. na portalu NFZ (ezdrowie.gov.pl) (dostęp z dnia 2 lipca 2026).</w:t>
      </w:r>
    </w:p>
  </w:footnote>
  <w:footnote w:id="6">
    <w:p w14:paraId="7CE8CBB6" w14:textId="77777777" w:rsidR="00EE37EE" w:rsidRPr="00930DB5" w:rsidRDefault="00EE37EE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E43992">
        <w:rPr>
          <w:rStyle w:val="Odwoanieprzypisudolnego"/>
          <w:sz w:val="18"/>
          <w:szCs w:val="18"/>
        </w:rPr>
        <w:footnoteRef/>
      </w:r>
      <w:r w:rsidRPr="00E43992">
        <w:rPr>
          <w:sz w:val="18"/>
          <w:szCs w:val="18"/>
          <w:lang w:val="pl-PL"/>
        </w:rPr>
        <w:t xml:space="preserve"> Narodowy Fundusz Zdrowia. Europejski Dzień Walki z Otyłością. Nowy raport NFZ – Otyłość i jej konsekwencje. Dostępne</w:t>
      </w:r>
      <w:r w:rsidRPr="00930DB5">
        <w:rPr>
          <w:sz w:val="18"/>
          <w:szCs w:val="18"/>
          <w:lang w:val="pl-PL"/>
        </w:rPr>
        <w:t xml:space="preserve"> z: https://www.nfz.gov.pl/aktualnosci/aktualnosci-centrali/europejski-dzien-walki-z-otyloscia-nowy-raport-nfz-otylosc-i-jej-konsekwencje,8611.html (dostęp z dnia 12 maja 2026 r.).</w:t>
      </w:r>
    </w:p>
  </w:footnote>
  <w:footnote w:id="7">
    <w:p w14:paraId="28F0BF02" w14:textId="77777777" w:rsidR="00B66940" w:rsidRPr="005B3EFA" w:rsidRDefault="00B66940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WORLD HEALTH ORGANIZATION, et al. Obesity: preventing and managing the global epidemic (publication WHO/NUT/NCD/98.1). </w:t>
      </w:r>
      <w:r w:rsidRPr="005B3EFA">
        <w:rPr>
          <w:sz w:val="18"/>
          <w:szCs w:val="18"/>
          <w:lang w:val="pl-PL"/>
        </w:rPr>
        <w:t xml:space="preserve">WHO, </w:t>
      </w:r>
      <w:proofErr w:type="spellStart"/>
      <w:r w:rsidRPr="005B3EFA">
        <w:rPr>
          <w:sz w:val="18"/>
          <w:szCs w:val="18"/>
          <w:lang w:val="pl-PL"/>
        </w:rPr>
        <w:t>Geneva</w:t>
      </w:r>
      <w:proofErr w:type="spellEnd"/>
      <w:r w:rsidRPr="005B3EFA">
        <w:rPr>
          <w:sz w:val="18"/>
          <w:szCs w:val="18"/>
          <w:lang w:val="pl-PL"/>
        </w:rPr>
        <w:t>, 1997.</w:t>
      </w:r>
    </w:p>
  </w:footnote>
  <w:footnote w:id="8">
    <w:p w14:paraId="6F6AC797" w14:textId="33746E4C" w:rsidR="00930DB5" w:rsidRPr="0023525A" w:rsidRDefault="00930DB5" w:rsidP="00930DB5">
      <w:pPr>
        <w:pStyle w:val="Tekstprzypisudolnego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23525A">
        <w:rPr>
          <w:sz w:val="18"/>
          <w:szCs w:val="18"/>
          <w:lang w:val="pl-PL"/>
        </w:rPr>
        <w:t xml:space="preserve"> </w:t>
      </w:r>
      <w:r w:rsidR="0023525A" w:rsidRPr="0023525A">
        <w:rPr>
          <w:sz w:val="18"/>
          <w:szCs w:val="18"/>
          <w:lang w:val="pl-PL"/>
        </w:rPr>
        <w:t>Raport Społeczny obraz otyłości, Centrum Medycznego Kształcenia Podyplomowego. Dostępne z: https://www.cmkp.edu.pl/wp-content/uploads/2025/06/otylosc-raport-25.06.2025.pdf (dostęp z dnia 12 maja 2026 r.).</w:t>
      </w:r>
    </w:p>
  </w:footnote>
  <w:footnote w:id="9">
    <w:p w14:paraId="7408E8AF" w14:textId="77777777" w:rsidR="00190A71" w:rsidRPr="00930DB5" w:rsidRDefault="00190A71" w:rsidP="00190A71">
      <w:pPr>
        <w:pStyle w:val="Tekstprzypisudolnego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393B3A">
        <w:rPr>
          <w:sz w:val="18"/>
          <w:szCs w:val="18"/>
          <w:lang w:val="pl-PL"/>
        </w:rPr>
        <w:t xml:space="preserve"> Polskie Towarzystwo Leczenia Otyłości. </w:t>
      </w:r>
      <w:r w:rsidRPr="00930DB5">
        <w:rPr>
          <w:sz w:val="18"/>
          <w:szCs w:val="18"/>
          <w:lang w:val="pl-PL"/>
        </w:rPr>
        <w:t xml:space="preserve">Zalecenia kliniczne dotyczące postępowania u chorych na otyłość 2024. Stanowisko Polskiego Towarzystwa Leczenia Otyłości. </w:t>
      </w:r>
      <w:proofErr w:type="spellStart"/>
      <w:r w:rsidRPr="00930DB5">
        <w:rPr>
          <w:sz w:val="18"/>
          <w:szCs w:val="18"/>
          <w:lang w:val="pl-PL"/>
        </w:rPr>
        <w:t>Med</w:t>
      </w:r>
      <w:proofErr w:type="spellEnd"/>
      <w:r w:rsidRPr="00930DB5">
        <w:rPr>
          <w:sz w:val="18"/>
          <w:szCs w:val="18"/>
          <w:lang w:val="pl-PL"/>
        </w:rPr>
        <w:t xml:space="preserve"> </w:t>
      </w:r>
      <w:proofErr w:type="spellStart"/>
      <w:r w:rsidRPr="00930DB5">
        <w:rPr>
          <w:sz w:val="18"/>
          <w:szCs w:val="18"/>
          <w:lang w:val="pl-PL"/>
        </w:rPr>
        <w:t>Prakt</w:t>
      </w:r>
      <w:proofErr w:type="spellEnd"/>
      <w:r w:rsidRPr="00930DB5">
        <w:rPr>
          <w:sz w:val="18"/>
          <w:szCs w:val="18"/>
          <w:lang w:val="pl-PL"/>
        </w:rPr>
        <w:t>–</w:t>
      </w:r>
      <w:proofErr w:type="spellStart"/>
      <w:r w:rsidRPr="00930DB5">
        <w:rPr>
          <w:sz w:val="18"/>
          <w:szCs w:val="18"/>
          <w:lang w:val="pl-PL"/>
        </w:rPr>
        <w:t>Wyd</w:t>
      </w:r>
      <w:proofErr w:type="spellEnd"/>
      <w:r w:rsidRPr="00930DB5">
        <w:rPr>
          <w:sz w:val="18"/>
          <w:szCs w:val="18"/>
          <w:lang w:val="pl-PL"/>
        </w:rPr>
        <w:t xml:space="preserve"> Spec, 2024;</w:t>
      </w:r>
      <w:r w:rsidRPr="00930DB5">
        <w:rPr>
          <w:i/>
          <w:iCs/>
          <w:sz w:val="18"/>
          <w:szCs w:val="18"/>
          <w:lang w:val="pl-PL"/>
        </w:rPr>
        <w:t xml:space="preserve"> </w:t>
      </w:r>
      <w:r>
        <w:fldChar w:fldCharType="begin"/>
      </w:r>
      <w:r w:rsidRPr="006A3BCD">
        <w:rPr>
          <w:lang w:val="pl-PL"/>
        </w:rPr>
        <w:instrText>HYPERLINK "https://ptlo.org.pl/aktualnosci/258-zalecenia_kliniczne_dotyczace_postepowania_u_chorych_na_otylosc_2024_stanowisko_polskiego_towarzystwa_leczenia_otylosci"</w:instrText>
      </w:r>
      <w:r>
        <w:fldChar w:fldCharType="separate"/>
      </w:r>
      <w:r w:rsidRPr="00930DB5">
        <w:rPr>
          <w:rStyle w:val="Hipercze"/>
          <w:i/>
          <w:iCs/>
          <w:sz w:val="18"/>
          <w:szCs w:val="18"/>
          <w:lang w:val="pl-PL"/>
        </w:rPr>
        <w:t>https://ptlo.org.pl/aktualnosci/258-zalecenia_kliniczne_dotyczace_postepowania_u_chorych_na_otylosc_2024_stanowisko_polskiego_towarzystwa_leczenia_otylosci</w:t>
      </w:r>
      <w:r>
        <w:fldChar w:fldCharType="end"/>
      </w:r>
    </w:p>
  </w:footnote>
  <w:footnote w:id="10">
    <w:p w14:paraId="14D366BB" w14:textId="77777777" w:rsidR="00190A71" w:rsidRPr="00930DB5" w:rsidRDefault="00190A71" w:rsidP="00190A71">
      <w:pPr>
        <w:pStyle w:val="Tekstprzypisudolnego"/>
        <w:rPr>
          <w:sz w:val="18"/>
          <w:szCs w:val="18"/>
        </w:rPr>
      </w:pPr>
      <w:r w:rsidRPr="00930DB5">
        <w:rPr>
          <w:rStyle w:val="Odwoanieprzypisudolnego"/>
          <w:sz w:val="18"/>
          <w:szCs w:val="18"/>
        </w:rPr>
        <w:footnoteRef/>
      </w:r>
      <w:r w:rsidRPr="008E787B">
        <w:rPr>
          <w:sz w:val="18"/>
          <w:szCs w:val="18"/>
          <w:lang w:val="it-IT"/>
        </w:rPr>
        <w:t xml:space="preserve"> Van Galen KA., et al. </w:t>
      </w:r>
      <w:r w:rsidRPr="00930DB5">
        <w:rPr>
          <w:sz w:val="18"/>
          <w:szCs w:val="18"/>
        </w:rPr>
        <w:t>Brain responses to nutrients are severely impaired and not reversed by weight loss in humans with obesity: a randomized crossover study. Nature Metabolism, 2023, 5.6: 1059-1072</w:t>
      </w:r>
    </w:p>
  </w:footnote>
  <w:footnote w:id="11">
    <w:p w14:paraId="0D18CFCE" w14:textId="77777777" w:rsidR="00190A71" w:rsidRPr="006328FA" w:rsidRDefault="00190A71" w:rsidP="00190A71">
      <w:pPr>
        <w:pStyle w:val="Tekstprzypisudolnego"/>
        <w:rPr>
          <w:sz w:val="18"/>
          <w:szCs w:val="18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Sumithran P. et al Long-term persistence of hormonal adaptations to weight loss. </w:t>
      </w:r>
      <w:r w:rsidRPr="006328FA">
        <w:rPr>
          <w:sz w:val="18"/>
          <w:szCs w:val="18"/>
        </w:rPr>
        <w:t>N Engl J Med. 2011 Oct 27;365(17):1597-604</w:t>
      </w:r>
    </w:p>
  </w:footnote>
  <w:footnote w:id="12">
    <w:p w14:paraId="7325745E" w14:textId="77777777" w:rsidR="00E55F96" w:rsidRPr="00E55F96" w:rsidRDefault="00E55F96" w:rsidP="00E55F96">
      <w:pPr>
        <w:pStyle w:val="Tekstprzypisudolnego"/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Definition and diagnostic criteria of clinical obesity, Journal: The lancet. Diabetes &amp; endocrinology 2025;13(3):221-262, F. Rubino et.al.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D8E1B6" w14:paraId="385222C0" w14:textId="77777777" w:rsidTr="30D8E1B6">
      <w:trPr>
        <w:trHeight w:val="300"/>
      </w:trPr>
      <w:tc>
        <w:tcPr>
          <w:tcW w:w="3120" w:type="dxa"/>
        </w:tcPr>
        <w:p w14:paraId="2A4BD241" w14:textId="469CA4A9" w:rsidR="30D8E1B6" w:rsidRDefault="30D8E1B6" w:rsidP="30D8E1B6">
          <w:pPr>
            <w:pStyle w:val="Nagwek"/>
            <w:ind w:left="-115"/>
          </w:pPr>
        </w:p>
      </w:tc>
      <w:tc>
        <w:tcPr>
          <w:tcW w:w="3120" w:type="dxa"/>
        </w:tcPr>
        <w:p w14:paraId="13DD2573" w14:textId="08E406EE" w:rsidR="30D8E1B6" w:rsidRDefault="30D8E1B6" w:rsidP="30D8E1B6">
          <w:pPr>
            <w:pStyle w:val="Nagwek"/>
            <w:jc w:val="center"/>
          </w:pPr>
        </w:p>
      </w:tc>
      <w:tc>
        <w:tcPr>
          <w:tcW w:w="3120" w:type="dxa"/>
        </w:tcPr>
        <w:p w14:paraId="264AF3DC" w14:textId="0A29B6DF" w:rsidR="30D8E1B6" w:rsidRDefault="30D8E1B6" w:rsidP="30D8E1B6">
          <w:pPr>
            <w:pStyle w:val="Nagwek"/>
            <w:ind w:right="-115"/>
            <w:jc w:val="right"/>
          </w:pPr>
        </w:p>
      </w:tc>
    </w:tr>
  </w:tbl>
  <w:p w14:paraId="6415E9B9" w14:textId="5DA33316" w:rsidR="00460857" w:rsidRDefault="004608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1B6B" w14:textId="21388382" w:rsidR="00A10973" w:rsidRPr="00A10973" w:rsidRDefault="00A10973" w:rsidP="00A10973">
    <w:pPr>
      <w:pStyle w:val="Nagwek"/>
      <w:jc w:val="right"/>
      <w:rPr>
        <w:lang w:val="pl-PL"/>
      </w:rPr>
    </w:pPr>
  </w:p>
  <w:p w14:paraId="627341FB" w14:textId="77777777" w:rsidR="005A0A16" w:rsidRPr="0041650F" w:rsidRDefault="005A0A16" w:rsidP="005A0A16">
    <w:pPr>
      <w:pStyle w:val="Nagwek"/>
      <w:jc w:val="right"/>
    </w:pPr>
    <w:r>
      <w:rPr>
        <w:noProof/>
      </w:rPr>
      <w:drawing>
        <wp:anchor distT="0" distB="0" distL="114300" distR="114300" simplePos="0" relativeHeight="251660289" behindDoc="1" locked="0" layoutInCell="1" allowOverlap="1" wp14:anchorId="7AB73104" wp14:editId="26AA5412">
          <wp:simplePos x="0" y="0"/>
          <wp:positionH relativeFrom="column">
            <wp:posOffset>5110543</wp:posOffset>
          </wp:positionH>
          <wp:positionV relativeFrom="page">
            <wp:posOffset>288906</wp:posOffset>
          </wp:positionV>
          <wp:extent cx="1142365" cy="622935"/>
          <wp:effectExtent l="0" t="0" r="635" b="1206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6229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ei="http://schemas.microsoft.com/office/word/2026/wordml/cei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B6B16" w14:textId="287E608E" w:rsidR="005A0A16" w:rsidRPr="0041650F" w:rsidRDefault="005A0A16" w:rsidP="005A0A16">
    <w:pPr>
      <w:pStyle w:val="Nagwek"/>
      <w:jc w:val="right"/>
    </w:pPr>
    <w:r>
      <w:rPr>
        <w:noProof/>
      </w:rPr>
      <w:t xml:space="preserve"> </w:t>
    </w:r>
  </w:p>
  <w:p w14:paraId="03690195" w14:textId="108E1B58" w:rsidR="005A0A16" w:rsidRPr="0041650F" w:rsidRDefault="005A0A16" w:rsidP="005A0A16">
    <w:pPr>
      <w:pStyle w:val="Nagwek"/>
      <w:tabs>
        <w:tab w:val="clear" w:pos="4320"/>
        <w:tab w:val="clear" w:pos="8640"/>
        <w:tab w:val="left" w:pos="1237"/>
      </w:tabs>
    </w:pPr>
    <w:r>
      <w:tab/>
    </w:r>
  </w:p>
  <w:p w14:paraId="1EFD1EFE" w14:textId="68AB0198" w:rsidR="00B76CC3" w:rsidRDefault="00B76CC3" w:rsidP="005A0A16">
    <w:pPr>
      <w:pStyle w:val="Nagwek"/>
      <w:tabs>
        <w:tab w:val="clear" w:pos="4320"/>
        <w:tab w:val="clear" w:pos="8640"/>
        <w:tab w:val="left" w:pos="954"/>
      </w:tabs>
      <w:ind w:left="6966" w:firstLine="9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E2B8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B5127"/>
    <w:multiLevelType w:val="hybridMultilevel"/>
    <w:tmpl w:val="F118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113D"/>
    <w:multiLevelType w:val="multilevel"/>
    <w:tmpl w:val="E468E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D241A4"/>
    <w:multiLevelType w:val="hybridMultilevel"/>
    <w:tmpl w:val="990A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17A7D"/>
    <w:multiLevelType w:val="multilevel"/>
    <w:tmpl w:val="AB68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D38E9"/>
    <w:multiLevelType w:val="hybridMultilevel"/>
    <w:tmpl w:val="E3E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5846"/>
    <w:multiLevelType w:val="hybridMultilevel"/>
    <w:tmpl w:val="7C30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2983"/>
    <w:multiLevelType w:val="hybridMultilevel"/>
    <w:tmpl w:val="A3988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09FD"/>
    <w:multiLevelType w:val="hybridMultilevel"/>
    <w:tmpl w:val="BE9E2AD6"/>
    <w:lvl w:ilvl="0" w:tplc="DC960648">
      <w:start w:val="1"/>
      <w:numFmt w:val="decimal"/>
      <w:lvlText w:val="%1."/>
      <w:lvlJc w:val="left"/>
      <w:pPr>
        <w:ind w:left="1020" w:hanging="360"/>
      </w:pPr>
    </w:lvl>
    <w:lvl w:ilvl="1" w:tplc="523C1DA6">
      <w:start w:val="1"/>
      <w:numFmt w:val="decimal"/>
      <w:lvlText w:val="%2."/>
      <w:lvlJc w:val="left"/>
      <w:pPr>
        <w:ind w:left="1020" w:hanging="360"/>
      </w:pPr>
    </w:lvl>
    <w:lvl w:ilvl="2" w:tplc="D458EBDA">
      <w:start w:val="1"/>
      <w:numFmt w:val="decimal"/>
      <w:lvlText w:val="%3."/>
      <w:lvlJc w:val="left"/>
      <w:pPr>
        <w:ind w:left="1020" w:hanging="360"/>
      </w:pPr>
    </w:lvl>
    <w:lvl w:ilvl="3" w:tplc="C48EF6FC">
      <w:start w:val="1"/>
      <w:numFmt w:val="decimal"/>
      <w:lvlText w:val="%4."/>
      <w:lvlJc w:val="left"/>
      <w:pPr>
        <w:ind w:left="1020" w:hanging="360"/>
      </w:pPr>
    </w:lvl>
    <w:lvl w:ilvl="4" w:tplc="E21A7C1C">
      <w:start w:val="1"/>
      <w:numFmt w:val="decimal"/>
      <w:lvlText w:val="%5."/>
      <w:lvlJc w:val="left"/>
      <w:pPr>
        <w:ind w:left="1020" w:hanging="360"/>
      </w:pPr>
    </w:lvl>
    <w:lvl w:ilvl="5" w:tplc="9F643E92">
      <w:start w:val="1"/>
      <w:numFmt w:val="decimal"/>
      <w:lvlText w:val="%6."/>
      <w:lvlJc w:val="left"/>
      <w:pPr>
        <w:ind w:left="1020" w:hanging="360"/>
      </w:pPr>
    </w:lvl>
    <w:lvl w:ilvl="6" w:tplc="F9247B96">
      <w:start w:val="1"/>
      <w:numFmt w:val="decimal"/>
      <w:lvlText w:val="%7."/>
      <w:lvlJc w:val="left"/>
      <w:pPr>
        <w:ind w:left="1020" w:hanging="360"/>
      </w:pPr>
    </w:lvl>
    <w:lvl w:ilvl="7" w:tplc="8F9A83F2">
      <w:start w:val="1"/>
      <w:numFmt w:val="decimal"/>
      <w:lvlText w:val="%8."/>
      <w:lvlJc w:val="left"/>
      <w:pPr>
        <w:ind w:left="1020" w:hanging="360"/>
      </w:pPr>
    </w:lvl>
    <w:lvl w:ilvl="8" w:tplc="72F48736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5A021CE"/>
    <w:multiLevelType w:val="hybridMultilevel"/>
    <w:tmpl w:val="0D20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CA7"/>
    <w:multiLevelType w:val="hybridMultilevel"/>
    <w:tmpl w:val="60762CC0"/>
    <w:lvl w:ilvl="0" w:tplc="3034B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A25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C28A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5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4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A8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61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62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8E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324DA"/>
    <w:multiLevelType w:val="hybridMultilevel"/>
    <w:tmpl w:val="EFF6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387E"/>
    <w:multiLevelType w:val="hybridMultilevel"/>
    <w:tmpl w:val="DE9A3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95AA"/>
    <w:multiLevelType w:val="hybridMultilevel"/>
    <w:tmpl w:val="E0F829AE"/>
    <w:lvl w:ilvl="0" w:tplc="541E8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A3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26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06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4A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C9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C6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45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2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9435D"/>
    <w:multiLevelType w:val="hybridMultilevel"/>
    <w:tmpl w:val="ED0E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00DE7"/>
    <w:multiLevelType w:val="multilevel"/>
    <w:tmpl w:val="F042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B3421"/>
    <w:multiLevelType w:val="hybridMultilevel"/>
    <w:tmpl w:val="3716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D026F"/>
    <w:multiLevelType w:val="hybridMultilevel"/>
    <w:tmpl w:val="205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50C3A"/>
    <w:multiLevelType w:val="hybridMultilevel"/>
    <w:tmpl w:val="5D14234A"/>
    <w:lvl w:ilvl="0" w:tplc="28303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27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87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C9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ED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EC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26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A2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25463"/>
    <w:multiLevelType w:val="multilevel"/>
    <w:tmpl w:val="206C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326861">
    <w:abstractNumId w:val="0"/>
  </w:num>
  <w:num w:numId="2" w16cid:durableId="324669873">
    <w:abstractNumId w:val="13"/>
  </w:num>
  <w:num w:numId="3" w16cid:durableId="1007171684">
    <w:abstractNumId w:val="1"/>
  </w:num>
  <w:num w:numId="4" w16cid:durableId="1620838809">
    <w:abstractNumId w:val="16"/>
  </w:num>
  <w:num w:numId="5" w16cid:durableId="1739790502">
    <w:abstractNumId w:val="14"/>
  </w:num>
  <w:num w:numId="6" w16cid:durableId="671568580">
    <w:abstractNumId w:val="17"/>
  </w:num>
  <w:num w:numId="7" w16cid:durableId="346518880">
    <w:abstractNumId w:val="7"/>
  </w:num>
  <w:num w:numId="8" w16cid:durableId="1018850325">
    <w:abstractNumId w:val="12"/>
  </w:num>
  <w:num w:numId="9" w16cid:durableId="1865945542">
    <w:abstractNumId w:val="15"/>
  </w:num>
  <w:num w:numId="10" w16cid:durableId="1285036529">
    <w:abstractNumId w:val="8"/>
  </w:num>
  <w:num w:numId="11" w16cid:durableId="161315525">
    <w:abstractNumId w:val="4"/>
  </w:num>
  <w:num w:numId="12" w16cid:durableId="16443898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59"/>
    <w:rsid w:val="0000277E"/>
    <w:rsid w:val="00007FE5"/>
    <w:rsid w:val="00013E27"/>
    <w:rsid w:val="00016123"/>
    <w:rsid w:val="00017086"/>
    <w:rsid w:val="0002007B"/>
    <w:rsid w:val="00022002"/>
    <w:rsid w:val="00023A28"/>
    <w:rsid w:val="00023C0F"/>
    <w:rsid w:val="0002442B"/>
    <w:rsid w:val="00024853"/>
    <w:rsid w:val="00034326"/>
    <w:rsid w:val="00037B43"/>
    <w:rsid w:val="0004539C"/>
    <w:rsid w:val="000469E4"/>
    <w:rsid w:val="00052A75"/>
    <w:rsid w:val="00053F2F"/>
    <w:rsid w:val="000555F8"/>
    <w:rsid w:val="00055AB1"/>
    <w:rsid w:val="00056165"/>
    <w:rsid w:val="000626B0"/>
    <w:rsid w:val="00063940"/>
    <w:rsid w:val="000713A7"/>
    <w:rsid w:val="000729C7"/>
    <w:rsid w:val="00082C48"/>
    <w:rsid w:val="000831C2"/>
    <w:rsid w:val="00086097"/>
    <w:rsid w:val="00086BC6"/>
    <w:rsid w:val="00090318"/>
    <w:rsid w:val="0009230F"/>
    <w:rsid w:val="00095AF1"/>
    <w:rsid w:val="00095ED7"/>
    <w:rsid w:val="00097421"/>
    <w:rsid w:val="000A13B4"/>
    <w:rsid w:val="000B1E26"/>
    <w:rsid w:val="000C093C"/>
    <w:rsid w:val="000C3BF4"/>
    <w:rsid w:val="000C4B9F"/>
    <w:rsid w:val="000C4E36"/>
    <w:rsid w:val="000D4D0C"/>
    <w:rsid w:val="000E2431"/>
    <w:rsid w:val="000F2888"/>
    <w:rsid w:val="000F2E21"/>
    <w:rsid w:val="000F7A47"/>
    <w:rsid w:val="00103EF8"/>
    <w:rsid w:val="00114B6B"/>
    <w:rsid w:val="001173A9"/>
    <w:rsid w:val="001271E9"/>
    <w:rsid w:val="00130226"/>
    <w:rsid w:val="00135694"/>
    <w:rsid w:val="00140F28"/>
    <w:rsid w:val="001413A1"/>
    <w:rsid w:val="001431BD"/>
    <w:rsid w:val="001439E5"/>
    <w:rsid w:val="00144AD9"/>
    <w:rsid w:val="00145489"/>
    <w:rsid w:val="00150FDE"/>
    <w:rsid w:val="00153D6B"/>
    <w:rsid w:val="00154AD6"/>
    <w:rsid w:val="001563F3"/>
    <w:rsid w:val="00157C34"/>
    <w:rsid w:val="00160659"/>
    <w:rsid w:val="001625C8"/>
    <w:rsid w:val="001634E4"/>
    <w:rsid w:val="00163D1B"/>
    <w:rsid w:val="001643CD"/>
    <w:rsid w:val="00164B68"/>
    <w:rsid w:val="00166DD0"/>
    <w:rsid w:val="00171C45"/>
    <w:rsid w:val="00181BC7"/>
    <w:rsid w:val="00190A71"/>
    <w:rsid w:val="00197B51"/>
    <w:rsid w:val="001A1330"/>
    <w:rsid w:val="001A48B4"/>
    <w:rsid w:val="001B10AD"/>
    <w:rsid w:val="001B1BD3"/>
    <w:rsid w:val="001B3679"/>
    <w:rsid w:val="001C05E7"/>
    <w:rsid w:val="001C1868"/>
    <w:rsid w:val="001C2AE1"/>
    <w:rsid w:val="001C7943"/>
    <w:rsid w:val="001C7E60"/>
    <w:rsid w:val="001D0E0C"/>
    <w:rsid w:val="001D6BC9"/>
    <w:rsid w:val="001E014B"/>
    <w:rsid w:val="001E32C8"/>
    <w:rsid w:val="001E4E79"/>
    <w:rsid w:val="001E4FB3"/>
    <w:rsid w:val="001E6898"/>
    <w:rsid w:val="001E7AA3"/>
    <w:rsid w:val="001E7B46"/>
    <w:rsid w:val="001F22EC"/>
    <w:rsid w:val="001F2D1A"/>
    <w:rsid w:val="001F52E5"/>
    <w:rsid w:val="001F6515"/>
    <w:rsid w:val="001F7AE5"/>
    <w:rsid w:val="00210078"/>
    <w:rsid w:val="00211A55"/>
    <w:rsid w:val="00213814"/>
    <w:rsid w:val="00215C2F"/>
    <w:rsid w:val="00217142"/>
    <w:rsid w:val="00217ED5"/>
    <w:rsid w:val="00222110"/>
    <w:rsid w:val="00223FD5"/>
    <w:rsid w:val="0022790D"/>
    <w:rsid w:val="00231D9B"/>
    <w:rsid w:val="0023525A"/>
    <w:rsid w:val="00236A0D"/>
    <w:rsid w:val="00237C16"/>
    <w:rsid w:val="0024138D"/>
    <w:rsid w:val="002453A6"/>
    <w:rsid w:val="00262840"/>
    <w:rsid w:val="00263436"/>
    <w:rsid w:val="00265270"/>
    <w:rsid w:val="002732B7"/>
    <w:rsid w:val="0027541A"/>
    <w:rsid w:val="0027549F"/>
    <w:rsid w:val="002761A0"/>
    <w:rsid w:val="00280D68"/>
    <w:rsid w:val="00287604"/>
    <w:rsid w:val="00291EF9"/>
    <w:rsid w:val="0029260E"/>
    <w:rsid w:val="00292E5D"/>
    <w:rsid w:val="00296978"/>
    <w:rsid w:val="002A5259"/>
    <w:rsid w:val="002A5FC8"/>
    <w:rsid w:val="002B0C88"/>
    <w:rsid w:val="002B1A85"/>
    <w:rsid w:val="002B7526"/>
    <w:rsid w:val="002C1ED1"/>
    <w:rsid w:val="002C3FAB"/>
    <w:rsid w:val="002C5DE6"/>
    <w:rsid w:val="002C7427"/>
    <w:rsid w:val="002D0E90"/>
    <w:rsid w:val="002D25A7"/>
    <w:rsid w:val="002D6965"/>
    <w:rsid w:val="002E3B7D"/>
    <w:rsid w:val="002E58D8"/>
    <w:rsid w:val="002E647F"/>
    <w:rsid w:val="002E6515"/>
    <w:rsid w:val="002F3DAB"/>
    <w:rsid w:val="002F6163"/>
    <w:rsid w:val="003014FB"/>
    <w:rsid w:val="00301F2B"/>
    <w:rsid w:val="00303005"/>
    <w:rsid w:val="00314440"/>
    <w:rsid w:val="0032114B"/>
    <w:rsid w:val="00321CAA"/>
    <w:rsid w:val="003230BE"/>
    <w:rsid w:val="00334FCE"/>
    <w:rsid w:val="00335590"/>
    <w:rsid w:val="003409CF"/>
    <w:rsid w:val="003426AA"/>
    <w:rsid w:val="003438C6"/>
    <w:rsid w:val="00345EB0"/>
    <w:rsid w:val="00346860"/>
    <w:rsid w:val="00351026"/>
    <w:rsid w:val="00351921"/>
    <w:rsid w:val="003533B8"/>
    <w:rsid w:val="00355385"/>
    <w:rsid w:val="00360390"/>
    <w:rsid w:val="0036240B"/>
    <w:rsid w:val="00366F86"/>
    <w:rsid w:val="00374F54"/>
    <w:rsid w:val="00380A76"/>
    <w:rsid w:val="00381F04"/>
    <w:rsid w:val="00383990"/>
    <w:rsid w:val="00387C09"/>
    <w:rsid w:val="003909D3"/>
    <w:rsid w:val="00392059"/>
    <w:rsid w:val="00392DE1"/>
    <w:rsid w:val="00393B3A"/>
    <w:rsid w:val="00396CE2"/>
    <w:rsid w:val="00397075"/>
    <w:rsid w:val="003A2294"/>
    <w:rsid w:val="003A59C1"/>
    <w:rsid w:val="003A5B1F"/>
    <w:rsid w:val="003B1807"/>
    <w:rsid w:val="003B2048"/>
    <w:rsid w:val="003B3508"/>
    <w:rsid w:val="003B526D"/>
    <w:rsid w:val="003C6551"/>
    <w:rsid w:val="003C6EAE"/>
    <w:rsid w:val="003C7714"/>
    <w:rsid w:val="003D0193"/>
    <w:rsid w:val="003D3B73"/>
    <w:rsid w:val="003D60AD"/>
    <w:rsid w:val="003E1587"/>
    <w:rsid w:val="003E1ACB"/>
    <w:rsid w:val="003E248A"/>
    <w:rsid w:val="003E45AB"/>
    <w:rsid w:val="003E7425"/>
    <w:rsid w:val="003F098D"/>
    <w:rsid w:val="003F0C1E"/>
    <w:rsid w:val="003F224F"/>
    <w:rsid w:val="003F5687"/>
    <w:rsid w:val="004039D4"/>
    <w:rsid w:val="00406D0D"/>
    <w:rsid w:val="0041239F"/>
    <w:rsid w:val="00415CAA"/>
    <w:rsid w:val="0041650F"/>
    <w:rsid w:val="00416A38"/>
    <w:rsid w:val="00421A2C"/>
    <w:rsid w:val="00425E62"/>
    <w:rsid w:val="00430E1D"/>
    <w:rsid w:val="004323D2"/>
    <w:rsid w:val="00432EBA"/>
    <w:rsid w:val="00433E0D"/>
    <w:rsid w:val="0043567B"/>
    <w:rsid w:val="004378C3"/>
    <w:rsid w:val="00441D27"/>
    <w:rsid w:val="00445467"/>
    <w:rsid w:val="004454D6"/>
    <w:rsid w:val="00450F3F"/>
    <w:rsid w:val="00451BE6"/>
    <w:rsid w:val="00454372"/>
    <w:rsid w:val="00460857"/>
    <w:rsid w:val="0046177C"/>
    <w:rsid w:val="0046185E"/>
    <w:rsid w:val="00463FE9"/>
    <w:rsid w:val="00464CDB"/>
    <w:rsid w:val="00470188"/>
    <w:rsid w:val="0047327F"/>
    <w:rsid w:val="004738A2"/>
    <w:rsid w:val="00473A95"/>
    <w:rsid w:val="004741F6"/>
    <w:rsid w:val="0047700F"/>
    <w:rsid w:val="00480B81"/>
    <w:rsid w:val="00481837"/>
    <w:rsid w:val="004854A0"/>
    <w:rsid w:val="00486B85"/>
    <w:rsid w:val="00490909"/>
    <w:rsid w:val="00491033"/>
    <w:rsid w:val="004925F2"/>
    <w:rsid w:val="004932D5"/>
    <w:rsid w:val="00497298"/>
    <w:rsid w:val="00497848"/>
    <w:rsid w:val="00497B62"/>
    <w:rsid w:val="004A1FFB"/>
    <w:rsid w:val="004A3EFE"/>
    <w:rsid w:val="004A4AA5"/>
    <w:rsid w:val="004A4DA8"/>
    <w:rsid w:val="004A565A"/>
    <w:rsid w:val="004A6B1D"/>
    <w:rsid w:val="004B0487"/>
    <w:rsid w:val="004B1F0A"/>
    <w:rsid w:val="004B6CB9"/>
    <w:rsid w:val="004C2E0E"/>
    <w:rsid w:val="004C484F"/>
    <w:rsid w:val="004C684D"/>
    <w:rsid w:val="004C7063"/>
    <w:rsid w:val="004D3A5B"/>
    <w:rsid w:val="004D3EED"/>
    <w:rsid w:val="004D4548"/>
    <w:rsid w:val="004D47FA"/>
    <w:rsid w:val="004D57BC"/>
    <w:rsid w:val="004E7347"/>
    <w:rsid w:val="004F7228"/>
    <w:rsid w:val="004F76AE"/>
    <w:rsid w:val="00500C4A"/>
    <w:rsid w:val="0050116C"/>
    <w:rsid w:val="005056B3"/>
    <w:rsid w:val="005102D3"/>
    <w:rsid w:val="00511517"/>
    <w:rsid w:val="005123DD"/>
    <w:rsid w:val="00523F9C"/>
    <w:rsid w:val="00524383"/>
    <w:rsid w:val="005250A4"/>
    <w:rsid w:val="00526FAC"/>
    <w:rsid w:val="00534B13"/>
    <w:rsid w:val="00535648"/>
    <w:rsid w:val="00541075"/>
    <w:rsid w:val="005558EB"/>
    <w:rsid w:val="00557126"/>
    <w:rsid w:val="00560A49"/>
    <w:rsid w:val="00561D7F"/>
    <w:rsid w:val="00564859"/>
    <w:rsid w:val="00565194"/>
    <w:rsid w:val="00565641"/>
    <w:rsid w:val="005664EF"/>
    <w:rsid w:val="00571B51"/>
    <w:rsid w:val="005745D3"/>
    <w:rsid w:val="0058177E"/>
    <w:rsid w:val="0058189E"/>
    <w:rsid w:val="00581B37"/>
    <w:rsid w:val="00585B7D"/>
    <w:rsid w:val="005932B9"/>
    <w:rsid w:val="005956A5"/>
    <w:rsid w:val="0059580A"/>
    <w:rsid w:val="0059651D"/>
    <w:rsid w:val="00596574"/>
    <w:rsid w:val="00597955"/>
    <w:rsid w:val="005A0A16"/>
    <w:rsid w:val="005A2D4B"/>
    <w:rsid w:val="005A600C"/>
    <w:rsid w:val="005B0215"/>
    <w:rsid w:val="005B0FDA"/>
    <w:rsid w:val="005B1214"/>
    <w:rsid w:val="005B30B5"/>
    <w:rsid w:val="005B3EFA"/>
    <w:rsid w:val="005B7886"/>
    <w:rsid w:val="005C5E61"/>
    <w:rsid w:val="005D333A"/>
    <w:rsid w:val="005D7267"/>
    <w:rsid w:val="005D7AF0"/>
    <w:rsid w:val="005D7C46"/>
    <w:rsid w:val="005E14E6"/>
    <w:rsid w:val="005E370A"/>
    <w:rsid w:val="005E7653"/>
    <w:rsid w:val="005F1555"/>
    <w:rsid w:val="005F215A"/>
    <w:rsid w:val="005F4987"/>
    <w:rsid w:val="005F7CF0"/>
    <w:rsid w:val="00602F23"/>
    <w:rsid w:val="00602F89"/>
    <w:rsid w:val="006030EB"/>
    <w:rsid w:val="00603718"/>
    <w:rsid w:val="00604BAC"/>
    <w:rsid w:val="006057B1"/>
    <w:rsid w:val="00607712"/>
    <w:rsid w:val="006124F8"/>
    <w:rsid w:val="00617061"/>
    <w:rsid w:val="00625762"/>
    <w:rsid w:val="00626D3A"/>
    <w:rsid w:val="00631782"/>
    <w:rsid w:val="006328FA"/>
    <w:rsid w:val="00635126"/>
    <w:rsid w:val="00635843"/>
    <w:rsid w:val="00640D94"/>
    <w:rsid w:val="0064160F"/>
    <w:rsid w:val="00642318"/>
    <w:rsid w:val="00642B86"/>
    <w:rsid w:val="006460A0"/>
    <w:rsid w:val="00646190"/>
    <w:rsid w:val="00646A6E"/>
    <w:rsid w:val="006515DA"/>
    <w:rsid w:val="00654677"/>
    <w:rsid w:val="00655F9A"/>
    <w:rsid w:val="00661E9A"/>
    <w:rsid w:val="00662B80"/>
    <w:rsid w:val="0066608C"/>
    <w:rsid w:val="0066734E"/>
    <w:rsid w:val="00671230"/>
    <w:rsid w:val="006756DF"/>
    <w:rsid w:val="00675E70"/>
    <w:rsid w:val="006801CE"/>
    <w:rsid w:val="0068373B"/>
    <w:rsid w:val="00686235"/>
    <w:rsid w:val="006867AB"/>
    <w:rsid w:val="00690C2A"/>
    <w:rsid w:val="00691349"/>
    <w:rsid w:val="00693D41"/>
    <w:rsid w:val="006A0ED6"/>
    <w:rsid w:val="006A1BCF"/>
    <w:rsid w:val="006A3BCD"/>
    <w:rsid w:val="006A596E"/>
    <w:rsid w:val="006B2E28"/>
    <w:rsid w:val="006B5CEF"/>
    <w:rsid w:val="006B6A78"/>
    <w:rsid w:val="006B714A"/>
    <w:rsid w:val="006B7737"/>
    <w:rsid w:val="006C5786"/>
    <w:rsid w:val="006D026A"/>
    <w:rsid w:val="006D0E9A"/>
    <w:rsid w:val="006D164F"/>
    <w:rsid w:val="006D3543"/>
    <w:rsid w:val="006D3B7D"/>
    <w:rsid w:val="006D7307"/>
    <w:rsid w:val="006D780A"/>
    <w:rsid w:val="006E00D6"/>
    <w:rsid w:val="006E586C"/>
    <w:rsid w:val="006E75ED"/>
    <w:rsid w:val="006F04B4"/>
    <w:rsid w:val="006F0B86"/>
    <w:rsid w:val="006F461D"/>
    <w:rsid w:val="006F5AC4"/>
    <w:rsid w:val="0070129E"/>
    <w:rsid w:val="0070159B"/>
    <w:rsid w:val="007045EC"/>
    <w:rsid w:val="0070767B"/>
    <w:rsid w:val="00711BB3"/>
    <w:rsid w:val="00711E7B"/>
    <w:rsid w:val="00711FEA"/>
    <w:rsid w:val="00714C36"/>
    <w:rsid w:val="0071644F"/>
    <w:rsid w:val="00720DBB"/>
    <w:rsid w:val="007221A1"/>
    <w:rsid w:val="00724C94"/>
    <w:rsid w:val="00726D68"/>
    <w:rsid w:val="0073062D"/>
    <w:rsid w:val="00734AB9"/>
    <w:rsid w:val="00735E8D"/>
    <w:rsid w:val="00737E65"/>
    <w:rsid w:val="00743B40"/>
    <w:rsid w:val="00750DE7"/>
    <w:rsid w:val="007511C5"/>
    <w:rsid w:val="007532E6"/>
    <w:rsid w:val="00754ABC"/>
    <w:rsid w:val="00755AC9"/>
    <w:rsid w:val="0076380C"/>
    <w:rsid w:val="00767276"/>
    <w:rsid w:val="007714CE"/>
    <w:rsid w:val="00773EC1"/>
    <w:rsid w:val="007750E7"/>
    <w:rsid w:val="00776232"/>
    <w:rsid w:val="007762C8"/>
    <w:rsid w:val="007828A6"/>
    <w:rsid w:val="0078601D"/>
    <w:rsid w:val="00786EF4"/>
    <w:rsid w:val="0078743C"/>
    <w:rsid w:val="00790710"/>
    <w:rsid w:val="00790C41"/>
    <w:rsid w:val="00791794"/>
    <w:rsid w:val="007946AE"/>
    <w:rsid w:val="007A2209"/>
    <w:rsid w:val="007A4ADF"/>
    <w:rsid w:val="007A5350"/>
    <w:rsid w:val="007B2CB8"/>
    <w:rsid w:val="007B3112"/>
    <w:rsid w:val="007B3AAB"/>
    <w:rsid w:val="007B55B8"/>
    <w:rsid w:val="007C005A"/>
    <w:rsid w:val="007C2B9F"/>
    <w:rsid w:val="007C4EBC"/>
    <w:rsid w:val="007D7C6D"/>
    <w:rsid w:val="007E1C01"/>
    <w:rsid w:val="007E42E8"/>
    <w:rsid w:val="007E4BE1"/>
    <w:rsid w:val="007E75E6"/>
    <w:rsid w:val="007F231B"/>
    <w:rsid w:val="00800D25"/>
    <w:rsid w:val="00801967"/>
    <w:rsid w:val="00801ABD"/>
    <w:rsid w:val="008046F2"/>
    <w:rsid w:val="00806A03"/>
    <w:rsid w:val="008151D1"/>
    <w:rsid w:val="00816E6C"/>
    <w:rsid w:val="008204BA"/>
    <w:rsid w:val="00820506"/>
    <w:rsid w:val="00825AEF"/>
    <w:rsid w:val="00826216"/>
    <w:rsid w:val="0082754A"/>
    <w:rsid w:val="0083051E"/>
    <w:rsid w:val="00830B03"/>
    <w:rsid w:val="00833B55"/>
    <w:rsid w:val="00834A2D"/>
    <w:rsid w:val="0084496C"/>
    <w:rsid w:val="00851B48"/>
    <w:rsid w:val="008568C3"/>
    <w:rsid w:val="00857056"/>
    <w:rsid w:val="00857FAD"/>
    <w:rsid w:val="00860B7E"/>
    <w:rsid w:val="00862707"/>
    <w:rsid w:val="00862814"/>
    <w:rsid w:val="00862CE1"/>
    <w:rsid w:val="00866226"/>
    <w:rsid w:val="00867030"/>
    <w:rsid w:val="00872990"/>
    <w:rsid w:val="00873048"/>
    <w:rsid w:val="00875919"/>
    <w:rsid w:val="0088162B"/>
    <w:rsid w:val="00881F8E"/>
    <w:rsid w:val="00884CB9"/>
    <w:rsid w:val="00884F29"/>
    <w:rsid w:val="00885D9C"/>
    <w:rsid w:val="00887BDA"/>
    <w:rsid w:val="00892644"/>
    <w:rsid w:val="008A00E2"/>
    <w:rsid w:val="008A150E"/>
    <w:rsid w:val="008A1C35"/>
    <w:rsid w:val="008A442D"/>
    <w:rsid w:val="008A454D"/>
    <w:rsid w:val="008A53AA"/>
    <w:rsid w:val="008A5C21"/>
    <w:rsid w:val="008A7062"/>
    <w:rsid w:val="008B20F8"/>
    <w:rsid w:val="008B244D"/>
    <w:rsid w:val="008B3E9B"/>
    <w:rsid w:val="008B588B"/>
    <w:rsid w:val="008D0E8F"/>
    <w:rsid w:val="008D13FA"/>
    <w:rsid w:val="008D25BC"/>
    <w:rsid w:val="008D4084"/>
    <w:rsid w:val="008E01FE"/>
    <w:rsid w:val="008E40B0"/>
    <w:rsid w:val="008E422B"/>
    <w:rsid w:val="008E5738"/>
    <w:rsid w:val="008E787B"/>
    <w:rsid w:val="008F1362"/>
    <w:rsid w:val="008F426F"/>
    <w:rsid w:val="008F6A8D"/>
    <w:rsid w:val="00906C8A"/>
    <w:rsid w:val="0091013A"/>
    <w:rsid w:val="009119C5"/>
    <w:rsid w:val="009160F1"/>
    <w:rsid w:val="00917C0A"/>
    <w:rsid w:val="0092151F"/>
    <w:rsid w:val="00924A22"/>
    <w:rsid w:val="009258FF"/>
    <w:rsid w:val="00926EB1"/>
    <w:rsid w:val="00930DB5"/>
    <w:rsid w:val="00933E3F"/>
    <w:rsid w:val="009413CE"/>
    <w:rsid w:val="009424C6"/>
    <w:rsid w:val="00943A7B"/>
    <w:rsid w:val="00944740"/>
    <w:rsid w:val="00944A8F"/>
    <w:rsid w:val="00945380"/>
    <w:rsid w:val="00945C8F"/>
    <w:rsid w:val="00947584"/>
    <w:rsid w:val="00952FD0"/>
    <w:rsid w:val="0095423B"/>
    <w:rsid w:val="009554EF"/>
    <w:rsid w:val="00956631"/>
    <w:rsid w:val="00957830"/>
    <w:rsid w:val="00964FE4"/>
    <w:rsid w:val="00966036"/>
    <w:rsid w:val="00975660"/>
    <w:rsid w:val="0097738A"/>
    <w:rsid w:val="00980D2D"/>
    <w:rsid w:val="00983162"/>
    <w:rsid w:val="00993B02"/>
    <w:rsid w:val="00994BDF"/>
    <w:rsid w:val="009954CE"/>
    <w:rsid w:val="0099714E"/>
    <w:rsid w:val="00997B4D"/>
    <w:rsid w:val="009A49AF"/>
    <w:rsid w:val="009A4E08"/>
    <w:rsid w:val="009A64A7"/>
    <w:rsid w:val="009A73D1"/>
    <w:rsid w:val="009B4461"/>
    <w:rsid w:val="009B458D"/>
    <w:rsid w:val="009B7479"/>
    <w:rsid w:val="009B7578"/>
    <w:rsid w:val="009C0BCF"/>
    <w:rsid w:val="009C6972"/>
    <w:rsid w:val="009C74EE"/>
    <w:rsid w:val="009D025B"/>
    <w:rsid w:val="009D3E0A"/>
    <w:rsid w:val="009D79A0"/>
    <w:rsid w:val="009E0256"/>
    <w:rsid w:val="009E1529"/>
    <w:rsid w:val="009E1D15"/>
    <w:rsid w:val="009E66D6"/>
    <w:rsid w:val="009E6A3B"/>
    <w:rsid w:val="009F0B93"/>
    <w:rsid w:val="009F1005"/>
    <w:rsid w:val="009F2F26"/>
    <w:rsid w:val="009F36E3"/>
    <w:rsid w:val="009F39FB"/>
    <w:rsid w:val="009F4BA3"/>
    <w:rsid w:val="00A001D7"/>
    <w:rsid w:val="00A029D9"/>
    <w:rsid w:val="00A05774"/>
    <w:rsid w:val="00A059EF"/>
    <w:rsid w:val="00A073B8"/>
    <w:rsid w:val="00A10973"/>
    <w:rsid w:val="00A11746"/>
    <w:rsid w:val="00A1597C"/>
    <w:rsid w:val="00A1621F"/>
    <w:rsid w:val="00A16BEA"/>
    <w:rsid w:val="00A20604"/>
    <w:rsid w:val="00A265C8"/>
    <w:rsid w:val="00A27E8C"/>
    <w:rsid w:val="00A30BBE"/>
    <w:rsid w:val="00A332F0"/>
    <w:rsid w:val="00A35D73"/>
    <w:rsid w:val="00A36021"/>
    <w:rsid w:val="00A4515F"/>
    <w:rsid w:val="00A45C99"/>
    <w:rsid w:val="00A54352"/>
    <w:rsid w:val="00A56521"/>
    <w:rsid w:val="00A62082"/>
    <w:rsid w:val="00A63930"/>
    <w:rsid w:val="00A63AD5"/>
    <w:rsid w:val="00A64FE4"/>
    <w:rsid w:val="00A656F9"/>
    <w:rsid w:val="00A664B5"/>
    <w:rsid w:val="00A66573"/>
    <w:rsid w:val="00A73A49"/>
    <w:rsid w:val="00A815C1"/>
    <w:rsid w:val="00A86FCE"/>
    <w:rsid w:val="00A920A7"/>
    <w:rsid w:val="00A92FFC"/>
    <w:rsid w:val="00A9365E"/>
    <w:rsid w:val="00A96226"/>
    <w:rsid w:val="00AA744A"/>
    <w:rsid w:val="00AB5B92"/>
    <w:rsid w:val="00AB6726"/>
    <w:rsid w:val="00AC024C"/>
    <w:rsid w:val="00AC0E9D"/>
    <w:rsid w:val="00AC3CDF"/>
    <w:rsid w:val="00AC44D0"/>
    <w:rsid w:val="00AC5FC1"/>
    <w:rsid w:val="00AC6E8C"/>
    <w:rsid w:val="00AD2404"/>
    <w:rsid w:val="00AD67CD"/>
    <w:rsid w:val="00AD7148"/>
    <w:rsid w:val="00AD76B3"/>
    <w:rsid w:val="00AF125A"/>
    <w:rsid w:val="00AF1403"/>
    <w:rsid w:val="00AF6469"/>
    <w:rsid w:val="00AF6DB0"/>
    <w:rsid w:val="00AF7AD4"/>
    <w:rsid w:val="00B0411E"/>
    <w:rsid w:val="00B0438E"/>
    <w:rsid w:val="00B06F67"/>
    <w:rsid w:val="00B1251E"/>
    <w:rsid w:val="00B142F0"/>
    <w:rsid w:val="00B152C8"/>
    <w:rsid w:val="00B178FE"/>
    <w:rsid w:val="00B22169"/>
    <w:rsid w:val="00B22942"/>
    <w:rsid w:val="00B24A8A"/>
    <w:rsid w:val="00B25AF4"/>
    <w:rsid w:val="00B25B67"/>
    <w:rsid w:val="00B265B0"/>
    <w:rsid w:val="00B31951"/>
    <w:rsid w:val="00B42A76"/>
    <w:rsid w:val="00B44EB5"/>
    <w:rsid w:val="00B44EBF"/>
    <w:rsid w:val="00B45E84"/>
    <w:rsid w:val="00B47B95"/>
    <w:rsid w:val="00B50215"/>
    <w:rsid w:val="00B53F2D"/>
    <w:rsid w:val="00B55CB5"/>
    <w:rsid w:val="00B57323"/>
    <w:rsid w:val="00B57ECE"/>
    <w:rsid w:val="00B57F87"/>
    <w:rsid w:val="00B64FDD"/>
    <w:rsid w:val="00B66824"/>
    <w:rsid w:val="00B66940"/>
    <w:rsid w:val="00B66B6E"/>
    <w:rsid w:val="00B675FD"/>
    <w:rsid w:val="00B67ABD"/>
    <w:rsid w:val="00B75C71"/>
    <w:rsid w:val="00B76CC3"/>
    <w:rsid w:val="00B7711C"/>
    <w:rsid w:val="00B81567"/>
    <w:rsid w:val="00B84702"/>
    <w:rsid w:val="00B85F53"/>
    <w:rsid w:val="00B91EA2"/>
    <w:rsid w:val="00B93416"/>
    <w:rsid w:val="00B93EB3"/>
    <w:rsid w:val="00B95328"/>
    <w:rsid w:val="00B9536D"/>
    <w:rsid w:val="00BA0D8F"/>
    <w:rsid w:val="00BA158E"/>
    <w:rsid w:val="00BA2703"/>
    <w:rsid w:val="00BA3A09"/>
    <w:rsid w:val="00BA3EED"/>
    <w:rsid w:val="00BB24A9"/>
    <w:rsid w:val="00BB6619"/>
    <w:rsid w:val="00BC2CA4"/>
    <w:rsid w:val="00BC4991"/>
    <w:rsid w:val="00BD124A"/>
    <w:rsid w:val="00BD795C"/>
    <w:rsid w:val="00BE1363"/>
    <w:rsid w:val="00BE339D"/>
    <w:rsid w:val="00BE7198"/>
    <w:rsid w:val="00BF13F2"/>
    <w:rsid w:val="00BF366D"/>
    <w:rsid w:val="00C00250"/>
    <w:rsid w:val="00C015E8"/>
    <w:rsid w:val="00C02787"/>
    <w:rsid w:val="00C02FD8"/>
    <w:rsid w:val="00C0693F"/>
    <w:rsid w:val="00C11389"/>
    <w:rsid w:val="00C11F5C"/>
    <w:rsid w:val="00C170C7"/>
    <w:rsid w:val="00C1793C"/>
    <w:rsid w:val="00C23E4E"/>
    <w:rsid w:val="00C25854"/>
    <w:rsid w:val="00C32C40"/>
    <w:rsid w:val="00C33B2C"/>
    <w:rsid w:val="00C341FC"/>
    <w:rsid w:val="00C35589"/>
    <w:rsid w:val="00C359C1"/>
    <w:rsid w:val="00C36BF3"/>
    <w:rsid w:val="00C44AF8"/>
    <w:rsid w:val="00C53C0B"/>
    <w:rsid w:val="00C606E7"/>
    <w:rsid w:val="00C614A3"/>
    <w:rsid w:val="00C62FA3"/>
    <w:rsid w:val="00C63574"/>
    <w:rsid w:val="00C635FB"/>
    <w:rsid w:val="00C64278"/>
    <w:rsid w:val="00C65E6E"/>
    <w:rsid w:val="00C662AA"/>
    <w:rsid w:val="00C6644E"/>
    <w:rsid w:val="00C678A8"/>
    <w:rsid w:val="00C732A8"/>
    <w:rsid w:val="00C809FB"/>
    <w:rsid w:val="00C80A97"/>
    <w:rsid w:val="00C80D81"/>
    <w:rsid w:val="00C818FA"/>
    <w:rsid w:val="00C876D7"/>
    <w:rsid w:val="00C91092"/>
    <w:rsid w:val="00C9223B"/>
    <w:rsid w:val="00C9404A"/>
    <w:rsid w:val="00C977F0"/>
    <w:rsid w:val="00CA4089"/>
    <w:rsid w:val="00CA6525"/>
    <w:rsid w:val="00CA6AD9"/>
    <w:rsid w:val="00CB072B"/>
    <w:rsid w:val="00CB103B"/>
    <w:rsid w:val="00CB1A38"/>
    <w:rsid w:val="00CB3730"/>
    <w:rsid w:val="00CB6D49"/>
    <w:rsid w:val="00CC0121"/>
    <w:rsid w:val="00CC0AF9"/>
    <w:rsid w:val="00CC40B3"/>
    <w:rsid w:val="00CD04D4"/>
    <w:rsid w:val="00CD3C36"/>
    <w:rsid w:val="00CD65D7"/>
    <w:rsid w:val="00CD70EE"/>
    <w:rsid w:val="00CD7BF4"/>
    <w:rsid w:val="00CE007C"/>
    <w:rsid w:val="00CE1BE3"/>
    <w:rsid w:val="00CE3330"/>
    <w:rsid w:val="00CE509B"/>
    <w:rsid w:val="00CF1A2D"/>
    <w:rsid w:val="00CF7B00"/>
    <w:rsid w:val="00CF7BE5"/>
    <w:rsid w:val="00D04BDC"/>
    <w:rsid w:val="00D12F8A"/>
    <w:rsid w:val="00D23C64"/>
    <w:rsid w:val="00D24AA0"/>
    <w:rsid w:val="00D25E40"/>
    <w:rsid w:val="00D35921"/>
    <w:rsid w:val="00D35DF8"/>
    <w:rsid w:val="00D4160F"/>
    <w:rsid w:val="00D420E3"/>
    <w:rsid w:val="00D42651"/>
    <w:rsid w:val="00D45075"/>
    <w:rsid w:val="00D579D3"/>
    <w:rsid w:val="00D61769"/>
    <w:rsid w:val="00D6693C"/>
    <w:rsid w:val="00D7225C"/>
    <w:rsid w:val="00D77AC3"/>
    <w:rsid w:val="00D80384"/>
    <w:rsid w:val="00D83C85"/>
    <w:rsid w:val="00D86B45"/>
    <w:rsid w:val="00D909EC"/>
    <w:rsid w:val="00D90F50"/>
    <w:rsid w:val="00D97E59"/>
    <w:rsid w:val="00D97F5A"/>
    <w:rsid w:val="00DA125C"/>
    <w:rsid w:val="00DA5B59"/>
    <w:rsid w:val="00DA7EF1"/>
    <w:rsid w:val="00DB01DD"/>
    <w:rsid w:val="00DB36F3"/>
    <w:rsid w:val="00DB42B6"/>
    <w:rsid w:val="00DB4507"/>
    <w:rsid w:val="00DC0345"/>
    <w:rsid w:val="00DC0688"/>
    <w:rsid w:val="00DC3E96"/>
    <w:rsid w:val="00DC4268"/>
    <w:rsid w:val="00DC6920"/>
    <w:rsid w:val="00DC6DC7"/>
    <w:rsid w:val="00DC6ED3"/>
    <w:rsid w:val="00DD1646"/>
    <w:rsid w:val="00DD1819"/>
    <w:rsid w:val="00DD1B43"/>
    <w:rsid w:val="00DD3D96"/>
    <w:rsid w:val="00DE0E12"/>
    <w:rsid w:val="00DE2A6A"/>
    <w:rsid w:val="00DE70DC"/>
    <w:rsid w:val="00DE7E56"/>
    <w:rsid w:val="00DF57A6"/>
    <w:rsid w:val="00DF57DF"/>
    <w:rsid w:val="00DF588A"/>
    <w:rsid w:val="00DF7EB6"/>
    <w:rsid w:val="00E012DE"/>
    <w:rsid w:val="00E024DA"/>
    <w:rsid w:val="00E02D25"/>
    <w:rsid w:val="00E0519A"/>
    <w:rsid w:val="00E05CDD"/>
    <w:rsid w:val="00E154EA"/>
    <w:rsid w:val="00E163E4"/>
    <w:rsid w:val="00E1725C"/>
    <w:rsid w:val="00E17363"/>
    <w:rsid w:val="00E24456"/>
    <w:rsid w:val="00E248A1"/>
    <w:rsid w:val="00E26FC6"/>
    <w:rsid w:val="00E27F14"/>
    <w:rsid w:val="00E34434"/>
    <w:rsid w:val="00E42A3B"/>
    <w:rsid w:val="00E43992"/>
    <w:rsid w:val="00E46480"/>
    <w:rsid w:val="00E50BAF"/>
    <w:rsid w:val="00E51143"/>
    <w:rsid w:val="00E511EB"/>
    <w:rsid w:val="00E526BB"/>
    <w:rsid w:val="00E52C96"/>
    <w:rsid w:val="00E54650"/>
    <w:rsid w:val="00E55F96"/>
    <w:rsid w:val="00E57366"/>
    <w:rsid w:val="00E60905"/>
    <w:rsid w:val="00E61DE2"/>
    <w:rsid w:val="00E63864"/>
    <w:rsid w:val="00E70439"/>
    <w:rsid w:val="00E70943"/>
    <w:rsid w:val="00E71DD4"/>
    <w:rsid w:val="00E76555"/>
    <w:rsid w:val="00E847F3"/>
    <w:rsid w:val="00E852D6"/>
    <w:rsid w:val="00E90E89"/>
    <w:rsid w:val="00E92AE3"/>
    <w:rsid w:val="00EA0526"/>
    <w:rsid w:val="00EA45BA"/>
    <w:rsid w:val="00EA6E7D"/>
    <w:rsid w:val="00EB2A8C"/>
    <w:rsid w:val="00EC06AA"/>
    <w:rsid w:val="00EC186D"/>
    <w:rsid w:val="00EC1F99"/>
    <w:rsid w:val="00EC2FBB"/>
    <w:rsid w:val="00EC46E6"/>
    <w:rsid w:val="00ED2580"/>
    <w:rsid w:val="00ED425B"/>
    <w:rsid w:val="00ED68A0"/>
    <w:rsid w:val="00ED7BB7"/>
    <w:rsid w:val="00EE37EE"/>
    <w:rsid w:val="00EE5901"/>
    <w:rsid w:val="00EE6CC0"/>
    <w:rsid w:val="00EF317E"/>
    <w:rsid w:val="00EF50A4"/>
    <w:rsid w:val="00EF7AEE"/>
    <w:rsid w:val="00F008C9"/>
    <w:rsid w:val="00F035D2"/>
    <w:rsid w:val="00F058B9"/>
    <w:rsid w:val="00F130A5"/>
    <w:rsid w:val="00F13FE0"/>
    <w:rsid w:val="00F15024"/>
    <w:rsid w:val="00F15ACC"/>
    <w:rsid w:val="00F2042B"/>
    <w:rsid w:val="00F225E4"/>
    <w:rsid w:val="00F2643D"/>
    <w:rsid w:val="00F2682A"/>
    <w:rsid w:val="00F336E4"/>
    <w:rsid w:val="00F40826"/>
    <w:rsid w:val="00F40BC7"/>
    <w:rsid w:val="00F41DA8"/>
    <w:rsid w:val="00F435DB"/>
    <w:rsid w:val="00F46573"/>
    <w:rsid w:val="00F512E4"/>
    <w:rsid w:val="00F53250"/>
    <w:rsid w:val="00F53C94"/>
    <w:rsid w:val="00F61793"/>
    <w:rsid w:val="00F62AE5"/>
    <w:rsid w:val="00F62E68"/>
    <w:rsid w:val="00F65260"/>
    <w:rsid w:val="00F666F1"/>
    <w:rsid w:val="00F71433"/>
    <w:rsid w:val="00F76264"/>
    <w:rsid w:val="00F80377"/>
    <w:rsid w:val="00F83087"/>
    <w:rsid w:val="00F831C9"/>
    <w:rsid w:val="00F86049"/>
    <w:rsid w:val="00F87263"/>
    <w:rsid w:val="00F87B84"/>
    <w:rsid w:val="00F90403"/>
    <w:rsid w:val="00F964F0"/>
    <w:rsid w:val="00FA2716"/>
    <w:rsid w:val="00FB1C4B"/>
    <w:rsid w:val="00FB442C"/>
    <w:rsid w:val="00FB4E1E"/>
    <w:rsid w:val="00FC0DD8"/>
    <w:rsid w:val="00FD48E8"/>
    <w:rsid w:val="00FD6B15"/>
    <w:rsid w:val="00FE1448"/>
    <w:rsid w:val="00FE3227"/>
    <w:rsid w:val="00FE5D77"/>
    <w:rsid w:val="00FE66A9"/>
    <w:rsid w:val="00FE7479"/>
    <w:rsid w:val="00FF04D0"/>
    <w:rsid w:val="00FF2644"/>
    <w:rsid w:val="00FF5036"/>
    <w:rsid w:val="02B6BBA2"/>
    <w:rsid w:val="0338ECE0"/>
    <w:rsid w:val="0D220692"/>
    <w:rsid w:val="119E02DD"/>
    <w:rsid w:val="1A468C50"/>
    <w:rsid w:val="1CA298F0"/>
    <w:rsid w:val="2A29EE8E"/>
    <w:rsid w:val="2F625102"/>
    <w:rsid w:val="30D8E1B6"/>
    <w:rsid w:val="3293CAEA"/>
    <w:rsid w:val="3715434B"/>
    <w:rsid w:val="43BE7961"/>
    <w:rsid w:val="47CCCAA4"/>
    <w:rsid w:val="4D145E0E"/>
    <w:rsid w:val="4E9BC824"/>
    <w:rsid w:val="6572557C"/>
    <w:rsid w:val="66B8F0E2"/>
    <w:rsid w:val="67E2D209"/>
    <w:rsid w:val="6AC68788"/>
    <w:rsid w:val="7CB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BA836A"/>
  <w14:defaultImageDpi w14:val="300"/>
  <w15:docId w15:val="{E085BDBB-DC21-4933-AB71-CD8B119F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6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433E0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0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059"/>
  </w:style>
  <w:style w:type="paragraph" w:styleId="Stopka">
    <w:name w:val="footer"/>
    <w:basedOn w:val="Normalny"/>
    <w:link w:val="StopkaZnak"/>
    <w:uiPriority w:val="99"/>
    <w:unhideWhenUsed/>
    <w:rsid w:val="003920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059"/>
  </w:style>
  <w:style w:type="paragraph" w:styleId="Tekstdymka">
    <w:name w:val="Balloon Text"/>
    <w:basedOn w:val="Normalny"/>
    <w:link w:val="TekstdymkaZnak"/>
    <w:uiPriority w:val="99"/>
    <w:semiHidden/>
    <w:unhideWhenUsed/>
    <w:rsid w:val="003920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059"/>
    <w:rPr>
      <w:rFonts w:ascii="Lucida Grande" w:hAnsi="Lucida Grande" w:cs="Lucida Grande"/>
      <w:sz w:val="18"/>
      <w:szCs w:val="18"/>
    </w:rPr>
  </w:style>
  <w:style w:type="paragraph" w:customStyle="1" w:styleId="Address">
    <w:name w:val="Address"/>
    <w:basedOn w:val="Normalny"/>
    <w:rsid w:val="00994BDF"/>
    <w:pPr>
      <w:spacing w:line="200" w:lineRule="exact"/>
      <w:ind w:left="6437"/>
    </w:pPr>
    <w:rPr>
      <w:rFonts w:ascii="Arial" w:eastAsia="Times New Roman" w:hAnsi="Arial" w:cs="Times New Roman"/>
      <w:sz w:val="16"/>
      <w:szCs w:val="20"/>
    </w:rPr>
  </w:style>
  <w:style w:type="character" w:styleId="Hipercze">
    <w:name w:val="Hyperlink"/>
    <w:basedOn w:val="Domylnaczcionkaakapitu"/>
    <w:rsid w:val="00994BD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94BDF"/>
    <w:pPr>
      <w:suppressAutoHyphens/>
      <w:spacing w:line="28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94BDF"/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aliases w:val="Questions,Bullets,Bullet List,FooterText,List Paragraph1,Colorful List Accent 1,Colorful List - Accent 11,Colorful List - Accent 111,MCHIP_list paragraph,Recommendation"/>
    <w:basedOn w:val="Normalny"/>
    <w:link w:val="AkapitzlistZnak"/>
    <w:uiPriority w:val="34"/>
    <w:qFormat/>
    <w:rsid w:val="00994BDF"/>
    <w:pPr>
      <w:tabs>
        <w:tab w:val="left" w:pos="360"/>
      </w:tabs>
      <w:autoSpaceDE w:val="0"/>
      <w:autoSpaceDN w:val="0"/>
      <w:adjustRightInd w:val="0"/>
      <w:spacing w:after="120" w:line="276" w:lineRule="auto"/>
      <w:ind w:left="720"/>
      <w:contextualSpacing/>
      <w:textAlignment w:val="center"/>
    </w:pPr>
    <w:rPr>
      <w:rFonts w:ascii="Verdana" w:hAnsi="Verdana" w:cs="Kulturista"/>
      <w:sz w:val="18"/>
      <w:szCs w:val="18"/>
    </w:rPr>
  </w:style>
  <w:style w:type="paragraph" w:customStyle="1" w:styleId="trademark">
    <w:name w:val="trademark"/>
    <w:basedOn w:val="Normalny"/>
    <w:rsid w:val="006A1BCF"/>
    <w:pPr>
      <w:tabs>
        <w:tab w:val="left" w:pos="1440"/>
        <w:tab w:val="left" w:pos="2160"/>
      </w:tabs>
      <w:spacing w:line="360" w:lineRule="atLeast"/>
      <w:ind w:left="720" w:hanging="720"/>
    </w:pPr>
    <w:rPr>
      <w:rFonts w:ascii="New Century Schlbk" w:eastAsia="Times New Roman" w:hAnsi="New Century Schlbk" w:cs="Times New Roman"/>
      <w:szCs w:val="20"/>
    </w:rPr>
  </w:style>
  <w:style w:type="paragraph" w:styleId="NormalnyWeb">
    <w:name w:val="Normal (Web)"/>
    <w:basedOn w:val="Normalny"/>
    <w:uiPriority w:val="99"/>
    <w:unhideWhenUsed/>
    <w:rsid w:val="006A1BC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apple-converted-space">
    <w:name w:val="apple-converted-space"/>
    <w:basedOn w:val="Domylnaczcionkaakapitu"/>
    <w:rsid w:val="006A1BCF"/>
  </w:style>
  <w:style w:type="table" w:styleId="Tabela-Siatka">
    <w:name w:val="Table Grid"/>
    <w:basedOn w:val="Standardowy"/>
    <w:uiPriority w:val="59"/>
    <w:rsid w:val="006A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EA45BA"/>
    <w:pPr>
      <w:autoSpaceDE w:val="0"/>
      <w:autoSpaceDN w:val="0"/>
    </w:pPr>
    <w:rPr>
      <w:rFonts w:ascii="Garamond" w:eastAsiaTheme="minorHAnsi" w:hAnsi="Garamond" w:cs="Times New Roman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56485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AC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433E0D"/>
    <w:rPr>
      <w:rFonts w:ascii="Times" w:hAnsi="Times"/>
      <w:b/>
      <w:bCs/>
    </w:rPr>
  </w:style>
  <w:style w:type="character" w:customStyle="1" w:styleId="AkapitzlistZnak">
    <w:name w:val="Akapit z listą Znak"/>
    <w:aliases w:val="Questions Znak,Bullets Znak,Bullet List Znak,FooterText Znak,List Paragraph1 Znak,Colorful List Accent 1 Znak,Colorful List - Accent 11 Znak,Colorful List - Accent 111 Znak,MCHIP_list paragraph Znak,Recommendation Znak"/>
    <w:basedOn w:val="Domylnaczcionkaakapitu"/>
    <w:link w:val="Akapitzlist"/>
    <w:uiPriority w:val="34"/>
    <w:locked/>
    <w:rsid w:val="00433E0D"/>
    <w:rPr>
      <w:rFonts w:ascii="Verdana" w:hAnsi="Verdana" w:cs="Kulturista"/>
      <w:sz w:val="18"/>
      <w:szCs w:val="18"/>
    </w:rPr>
  </w:style>
  <w:style w:type="character" w:customStyle="1" w:styleId="normaltextrun">
    <w:name w:val="normaltextrun"/>
    <w:basedOn w:val="Domylnaczcionkaakapitu"/>
    <w:rsid w:val="00433E0D"/>
  </w:style>
  <w:style w:type="character" w:customStyle="1" w:styleId="Nagwek1Znak">
    <w:name w:val="Nagłówek 1 Znak"/>
    <w:basedOn w:val="Domylnaczcionkaakapitu"/>
    <w:link w:val="Nagwek1"/>
    <w:uiPriority w:val="9"/>
    <w:rsid w:val="005656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5641"/>
    <w:pPr>
      <w:ind w:left="10" w:hanging="10"/>
    </w:pPr>
    <w:rPr>
      <w:rFonts w:ascii="Garamond" w:eastAsia="Garamond" w:hAnsi="Garamond" w:cs="Garamond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641"/>
    <w:rPr>
      <w:rFonts w:ascii="Garamond" w:eastAsia="Garamond" w:hAnsi="Garamond" w:cs="Garamond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26"/>
    <w:semiHidden/>
    <w:unhideWhenUsed/>
    <w:rsid w:val="00565641"/>
    <w:rPr>
      <w:vertAlign w:val="superscript"/>
    </w:rPr>
  </w:style>
  <w:style w:type="paragraph" w:customStyle="1" w:styleId="xxmsonormal">
    <w:name w:val="x_x_msonormal"/>
    <w:basedOn w:val="Normalny"/>
    <w:rsid w:val="006801CE"/>
    <w:rPr>
      <w:rFonts w:ascii="Calibri" w:eastAsiaTheme="minorHAnsi" w:hAnsi="Calibri" w:cs="Calibri"/>
      <w:sz w:val="22"/>
      <w:szCs w:val="22"/>
    </w:rPr>
  </w:style>
  <w:style w:type="paragraph" w:styleId="Listapunktowana">
    <w:name w:val="List Bullet"/>
    <w:aliases w:val="ListBul 1"/>
    <w:basedOn w:val="Normalny"/>
    <w:uiPriority w:val="17"/>
    <w:semiHidden/>
    <w:unhideWhenUsed/>
    <w:qFormat/>
    <w:rsid w:val="00557126"/>
    <w:pPr>
      <w:widowControl w:val="0"/>
      <w:numPr>
        <w:numId w:val="1"/>
      </w:numPr>
      <w:spacing w:after="240"/>
    </w:pPr>
    <w:rPr>
      <w:rFonts w:eastAsiaTheme="minorHAns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A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A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5E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5E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E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294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132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882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276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lly.com/pl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lilly.com/pl/znajdz-opieke-zdrowotn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lly.com/pl/choroby/otylosc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ta.miller@mslgroup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yna.pawlikowska@mslgrou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7dc185eb-fc7b-4255-a380-9842d9f81572">Business</Area>
    <Author0 xmlns="7dc185eb-fc7b-4255-a380-9842d9f81572" xsi:nil="true"/>
    <Topic xmlns="7dc185eb-fc7b-4255-a380-9842d9f81572">Other</Topic>
    <RecordClass xmlns="7dc185eb-fc7b-4255-a380-9842d9f81572">PBRL-001</RecordClass>
    <ReleaseTitle xmlns="7dc185eb-fc7b-4255-a380-9842d9f81572" xsi:nil="true"/>
    <lcf76f155ced4ddcb4097134ff3c332f xmlns="7dc185eb-fc7b-4255-a380-9842d9f81572">
      <Terms xmlns="http://schemas.microsoft.com/office/infopath/2007/PartnerControls"/>
    </lcf76f155ced4ddcb4097134ff3c332f>
    <TaxCatchAll xmlns="b796e1d3-3a6c-465b-a08c-47c2e399f5b6" xsi:nil="true"/>
    <CARNumber xmlns="7dc185eb-fc7b-4255-a380-9842d9f81572" xsi:nil="true"/>
    <ReleaseDate xmlns="7dc185eb-fc7b-4255-a380-9842d9f81572" xsi:nil="true"/>
    <TaxKeywordTaxHTField xmlns="b796e1d3-3a6c-465b-a08c-47c2e399f5b6">
      <Terms xmlns="http://schemas.microsoft.com/office/infopath/2007/PartnerControls"/>
    </TaxKeywordTaxHTField>
    <CAR_x0023_ xmlns="7dc185eb-fc7b-4255-a380-9842d9f815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020EFD4FB3C4EA7A4798FF80DA3D9" ma:contentTypeVersion="22" ma:contentTypeDescription="Create a new document." ma:contentTypeScope="" ma:versionID="b304c2fa0378b0d6f165db7d58c8fd66">
  <xsd:schema xmlns:xsd="http://www.w3.org/2001/XMLSchema" xmlns:xs="http://www.w3.org/2001/XMLSchema" xmlns:p="http://schemas.microsoft.com/office/2006/metadata/properties" xmlns:ns2="7dc185eb-fc7b-4255-a380-9842d9f81572" xmlns:ns3="b796e1d3-3a6c-465b-a08c-47c2e399f5b6" targetNamespace="http://schemas.microsoft.com/office/2006/metadata/properties" ma:root="true" ma:fieldsID="fbf956c4e1d6e02f4b6aa22135529e11" ns2:_="" ns3:_="">
    <xsd:import namespace="7dc185eb-fc7b-4255-a380-9842d9f81572"/>
    <xsd:import namespace="b796e1d3-3a6c-465b-a08c-47c2e399f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ReleaseDate" minOccurs="0"/>
                <xsd:element ref="ns2:ReleaseTitle" minOccurs="0"/>
                <xsd:element ref="ns2:Author0" minOccurs="0"/>
                <xsd:element ref="ns2:Area" minOccurs="0"/>
                <xsd:element ref="ns2:Topic" minOccurs="0"/>
                <xsd:element ref="ns2:RecordClas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RNumber" minOccurs="0"/>
                <xsd:element ref="ns2:CAR_x0023_" minOccurs="0"/>
                <xsd:element ref="ns2:MediaServiceObjectDetectorVersions" minOccurs="0"/>
                <xsd:element ref="ns3:TaxKeywordTaxHTFiel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185eb-fc7b-4255-a380-9842d9f81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ReleaseDate" ma:index="12" nillable="true" ma:displayName="Release_Date" ma:description="Date of the Press Release" ma:format="Dropdown" ma:internalName="ReleaseDate">
      <xsd:simpleType>
        <xsd:restriction base="dms:Text">
          <xsd:maxLength value="255"/>
        </xsd:restriction>
      </xsd:simpleType>
    </xsd:element>
    <xsd:element name="ReleaseTitle" ma:index="13" nillable="true" ma:displayName="Release Title" ma:description="Title of Press Release" ma:format="Dropdown" ma:internalName="ReleaseTitle">
      <xsd:simpleType>
        <xsd:restriction base="dms:Text">
          <xsd:maxLength value="255"/>
        </xsd:restriction>
      </xsd:simpleType>
    </xsd:element>
    <xsd:element name="Author0" ma:index="1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Area" ma:index="15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Topic" ma:index="16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cordClass" ma:index="17" nillable="true" ma:displayName="Record Class" ma:format="Dropdown" ma:internalName="RecordClass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db9bf-65a7-4dcd-b9fe-2cabe70ed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CARNumber" ma:index="24" nillable="true" ma:displayName="CAR Number" ma:description="Use this column to add the CAR Number" ma:format="Dropdown" ma:internalName="CARNumber">
      <xsd:simpleType>
        <xsd:restriction base="dms:Text">
          <xsd:maxLength value="255"/>
        </xsd:restriction>
      </xsd:simpleType>
    </xsd:element>
    <xsd:element name="CAR_x0023_" ma:index="25" nillable="true" ma:displayName="CAR #" ma:format="Dropdown" ma:internalName="CAR_x0023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6e1d3-3a6c-465b-a08c-47c2e399f5b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ac2c4f-f545-46c5-8032-eef046eafb85}" ma:internalName="TaxCatchAll" ma:showField="CatchAllData" ma:web="b796e1d3-3a6c-465b-a08c-47c2e399f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f9adb9bf-65a7-4dcd-b9fe-2cabe70ed69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D035D5-04A8-43C8-AE65-80A3D253C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F1FDA-1CF9-4012-996F-DE2D5BCDF1CD}">
  <ds:schemaRefs>
    <ds:schemaRef ds:uri="http://schemas.microsoft.com/office/2006/metadata/properties"/>
    <ds:schemaRef ds:uri="http://schemas.microsoft.com/office/infopath/2007/PartnerControls"/>
    <ds:schemaRef ds:uri="7dc185eb-fc7b-4255-a380-9842d9f81572"/>
    <ds:schemaRef ds:uri="b796e1d3-3a6c-465b-a08c-47c2e399f5b6"/>
  </ds:schemaRefs>
</ds:datastoreItem>
</file>

<file path=customXml/itemProps3.xml><?xml version="1.0" encoding="utf-8"?>
<ds:datastoreItem xmlns:ds="http://schemas.openxmlformats.org/officeDocument/2006/customXml" ds:itemID="{08A54918-0B11-413A-A3CE-3B2AFE8F0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185eb-fc7b-4255-a380-9842d9f81572"/>
    <ds:schemaRef ds:uri="b796e1d3-3a6c-465b-a08c-47c2e399f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6E9A5-C044-4CCA-ADE8-9B4105CE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8702</Characters>
  <Application>Microsoft Office Word</Application>
  <DocSecurity>0</DocSecurity>
  <Lines>116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Weber/Design Inc</Company>
  <LinksUpToDate>false</LinksUpToDate>
  <CharactersWithSpaces>10039</CharactersWithSpaces>
  <SharedDoc>false</SharedDoc>
  <HLinks>
    <vt:vector size="30" baseType="variant">
      <vt:variant>
        <vt:i4>3997761</vt:i4>
      </vt:variant>
      <vt:variant>
        <vt:i4>9</vt:i4>
      </vt:variant>
      <vt:variant>
        <vt:i4>0</vt:i4>
      </vt:variant>
      <vt:variant>
        <vt:i4>5</vt:i4>
      </vt:variant>
      <vt:variant>
        <vt:lpwstr>mailto:marta.miller@mslgroup.com</vt:lpwstr>
      </vt:variant>
      <vt:variant>
        <vt:lpwstr/>
      </vt:variant>
      <vt:variant>
        <vt:i4>3211341</vt:i4>
      </vt:variant>
      <vt:variant>
        <vt:i4>6</vt:i4>
      </vt:variant>
      <vt:variant>
        <vt:i4>0</vt:i4>
      </vt:variant>
      <vt:variant>
        <vt:i4>5</vt:i4>
      </vt:variant>
      <vt:variant>
        <vt:lpwstr>mailto:martyna.pawlikowska@mslgroup.com</vt:lpwstr>
      </vt:variant>
      <vt:variant>
        <vt:lpwstr/>
      </vt:variant>
      <vt:variant>
        <vt:i4>5177415</vt:i4>
      </vt:variant>
      <vt:variant>
        <vt:i4>3</vt:i4>
      </vt:variant>
      <vt:variant>
        <vt:i4>0</vt:i4>
      </vt:variant>
      <vt:variant>
        <vt:i4>5</vt:i4>
      </vt:variant>
      <vt:variant>
        <vt:lpwstr>https://www.lilly.com/pl/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http://www.zrozumiecotylosc.pl/</vt:lpwstr>
      </vt:variant>
      <vt:variant>
        <vt:lpwstr/>
      </vt:variant>
      <vt:variant>
        <vt:i4>7405588</vt:i4>
      </vt:variant>
      <vt:variant>
        <vt:i4>0</vt:i4>
      </vt:variant>
      <vt:variant>
        <vt:i4>0</vt:i4>
      </vt:variant>
      <vt:variant>
        <vt:i4>5</vt:i4>
      </vt:variant>
      <vt:variant>
        <vt:lpwstr>https://ptlo.org.pl/aktualnosci/258-zalecenia_kliniczne_dotyczace_postepowania_u_chorych_na_otylosc_2024_stanowisko_polskiego_towarzystwa_leczenia_otylosci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cmp@lilly.com</dc:creator>
  <cp:keywords/>
  <cp:lastModifiedBy>Szymon Lagowski</cp:lastModifiedBy>
  <cp:revision>2</cp:revision>
  <cp:lastPrinted>2026-05-14T13:52:00Z</cp:lastPrinted>
  <dcterms:created xsi:type="dcterms:W3CDTF">2026-07-13T09:46:00Z</dcterms:created>
  <dcterms:modified xsi:type="dcterms:W3CDTF">2026-07-13T09:46:00Z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0x010100B26020EFD4FB3C4EA7A4798FF80DA3D9</vt:lpwstr>
  </property>
  <property fmtid="{D5CDD505-2E9C-101B-9397-08002B2CF9AE}" pid="3" name="EnterpriseDocumentLanguage">
    <vt:lpwstr>2;#eng|39540796-0396-4e54-afe9-a602f28bbe8f</vt:lpwstr>
  </property>
  <property fmtid="{D5CDD505-2E9C-101B-9397-08002B2CF9AE}" pid="4" name="EnterpriseRecordSeriesCode">
    <vt:lpwstr>6;#PUB310|62785fa6-24ff-46a0-9685-0ce523fda304</vt:lpwstr>
  </property>
  <property fmtid="{D5CDD505-2E9C-101B-9397-08002B2CF9AE}" pid="5" name="EnterpriseSensitivityClassification">
    <vt:lpwstr>3;#GREEN|ec74153f-63be-46a4-ae5f-1b86c809897d</vt:lpwstr>
  </property>
  <property fmtid="{D5CDD505-2E9C-101B-9397-08002B2CF9AE}" pid="6" name="Order">
    <vt:r8>432700</vt:r8>
  </property>
  <property fmtid="{D5CDD505-2E9C-101B-9397-08002B2CF9AE}" pid="7" name="EnterpriseSensitivityClassificationTaxHTField0">
    <vt:lpwstr>GREEN|ec74153f-63be-46a4-ae5f-1b86c809897d</vt:lpwstr>
  </property>
  <property fmtid="{D5CDD505-2E9C-101B-9397-08002B2CF9AE}" pid="8" name="GrammarlyDocumentId">
    <vt:lpwstr>4fd66ed3301d8d75376ed185f4273be07beaaf0ed4789fc36880a941573ff2e6</vt:lpwstr>
  </property>
  <property fmtid="{D5CDD505-2E9C-101B-9397-08002B2CF9AE}" pid="9" name="TaxKeyword">
    <vt:lpwstr/>
  </property>
  <property fmtid="{D5CDD505-2E9C-101B-9397-08002B2CF9AE}" pid="10" name="MediaServiceImageTags">
    <vt:lpwstr/>
  </property>
</Properties>
</file>