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E154" w14:textId="77777777" w:rsidR="006F342F" w:rsidRPr="00EE41BA" w:rsidRDefault="006F342F" w:rsidP="00E319EA">
      <w:pPr>
        <w:pBdr>
          <w:bottom w:val="single" w:sz="12" w:space="1" w:color="auto"/>
        </w:pBdr>
        <w:jc w:val="both"/>
        <w:rPr>
          <w:rFonts w:ascii="Cambria" w:hAnsi="Cambria" w:cs="Times New Roman"/>
          <w:bCs/>
          <w:color w:val="auto"/>
          <w:sz w:val="21"/>
          <w:szCs w:val="21"/>
        </w:rPr>
      </w:pPr>
      <w:r w:rsidRPr="00EE41BA">
        <w:rPr>
          <w:rFonts w:ascii="Cambria" w:hAnsi="Cambria"/>
          <w:bCs/>
          <w:sz w:val="21"/>
          <w:szCs w:val="21"/>
        </w:rPr>
        <w:t>INFORMACJA PRASOWA</w:t>
      </w:r>
    </w:p>
    <w:p w14:paraId="4772FF46" w14:textId="63E609CF" w:rsidR="006F342F" w:rsidRPr="00EE41BA" w:rsidRDefault="006F342F" w:rsidP="00E319EA">
      <w:pPr>
        <w:jc w:val="both"/>
        <w:rPr>
          <w:rFonts w:ascii="Cambria" w:hAnsi="Cambria"/>
          <w:bCs/>
          <w:sz w:val="21"/>
          <w:szCs w:val="21"/>
        </w:rPr>
      </w:pPr>
      <w:r w:rsidRPr="00EE41BA">
        <w:rPr>
          <w:rFonts w:ascii="Cambria" w:hAnsi="Cambria"/>
          <w:bCs/>
          <w:sz w:val="21"/>
          <w:szCs w:val="21"/>
        </w:rPr>
        <w:t>Gdańsk,</w:t>
      </w:r>
      <w:r w:rsidR="00362D16">
        <w:rPr>
          <w:rFonts w:ascii="Cambria" w:hAnsi="Cambria"/>
          <w:bCs/>
          <w:sz w:val="21"/>
          <w:szCs w:val="21"/>
        </w:rPr>
        <w:t xml:space="preserve"> 22</w:t>
      </w:r>
      <w:r w:rsidR="006A551D" w:rsidRPr="00EE41BA">
        <w:rPr>
          <w:rFonts w:ascii="Cambria" w:hAnsi="Cambria"/>
          <w:bCs/>
          <w:sz w:val="21"/>
          <w:szCs w:val="21"/>
        </w:rPr>
        <w:t xml:space="preserve"> lipca</w:t>
      </w:r>
      <w:r w:rsidRPr="00EE41BA">
        <w:rPr>
          <w:rFonts w:ascii="Cambria" w:hAnsi="Cambria"/>
          <w:bCs/>
          <w:sz w:val="21"/>
          <w:szCs w:val="21"/>
        </w:rPr>
        <w:t xml:space="preserve"> 2026 r.</w:t>
      </w:r>
    </w:p>
    <w:p w14:paraId="1B8AC276" w14:textId="77777777" w:rsidR="003773C0" w:rsidRDefault="003773C0" w:rsidP="00331404">
      <w:pPr>
        <w:jc w:val="both"/>
        <w:rPr>
          <w:rFonts w:ascii="Cambria" w:hAnsi="Cambria" w:cs="Calibri"/>
          <w:bCs/>
          <w:iCs/>
          <w:color w:val="215E99" w:themeColor="text2" w:themeTint="BF"/>
          <w:spacing w:val="-2"/>
          <w:sz w:val="28"/>
          <w:szCs w:val="28"/>
        </w:rPr>
      </w:pPr>
    </w:p>
    <w:p w14:paraId="17E6F25D" w14:textId="28772548" w:rsidR="006A551D" w:rsidRPr="00BA1EC7" w:rsidRDefault="002C50B6" w:rsidP="00331404">
      <w:pPr>
        <w:jc w:val="both"/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</w:pPr>
      <w:r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>Trzy ważne</w:t>
      </w:r>
      <w:r w:rsidR="006A551D" w:rsidRPr="00BA1EC7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 xml:space="preserve"> regulacje prawne, które</w:t>
      </w:r>
      <w:r w:rsidR="004D4C56" w:rsidRPr="00BA1EC7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 xml:space="preserve"> </w:t>
      </w:r>
      <w:r w:rsidR="00161557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 xml:space="preserve">warto śledzić </w:t>
      </w:r>
      <w:r w:rsidR="006A551D" w:rsidRPr="00BA1EC7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 xml:space="preserve">w </w:t>
      </w:r>
      <w:r w:rsidR="00E05849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>drugiej połowie</w:t>
      </w:r>
      <w:r w:rsidR="006A551D" w:rsidRPr="00BA1EC7">
        <w:rPr>
          <w:rFonts w:ascii="Cambria" w:hAnsi="Cambria" w:cs="Calibri"/>
          <w:b/>
          <w:iCs/>
          <w:color w:val="215E99" w:themeColor="text2" w:themeTint="BF"/>
          <w:spacing w:val="-2"/>
          <w:sz w:val="28"/>
          <w:szCs w:val="28"/>
        </w:rPr>
        <w:t xml:space="preserve"> 2026 roku</w:t>
      </w:r>
    </w:p>
    <w:p w14:paraId="0B9FB498" w14:textId="77777777" w:rsidR="00EA2B9B" w:rsidRDefault="00EA2B9B" w:rsidP="00EE41BA">
      <w:pPr>
        <w:jc w:val="both"/>
        <w:rPr>
          <w:rFonts w:ascii="Cambria" w:hAnsi="Cambria"/>
          <w:sz w:val="21"/>
          <w:szCs w:val="21"/>
        </w:rPr>
      </w:pPr>
    </w:p>
    <w:p w14:paraId="43ED509D" w14:textId="362DB744" w:rsidR="00EE41BA" w:rsidRPr="003F742D" w:rsidRDefault="00EE41BA" w:rsidP="00EE41BA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Nowe zasady dotyczące kredytu konsumenckiego, krajowy nadzór nad </w:t>
      </w:r>
      <w:r w:rsidR="004127C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AI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i zmiany w unijnym systemie przeciwdziałania praniu pieniędzy</w:t>
      </w:r>
      <w:r w:rsidR="003F742D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– </w:t>
      </w:r>
      <w:r w:rsidR="00BA1EC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to 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trzy obszary </w:t>
      </w:r>
      <w:r w:rsidR="0016155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regulacyjne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, które</w:t>
      </w:r>
      <w:r w:rsidR="00BA1EC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w</w:t>
      </w:r>
      <w:r w:rsidR="0033702E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edług</w:t>
      </w:r>
      <w:r w:rsidR="00BA1EC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ZPF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będą mieć </w:t>
      </w:r>
      <w:r w:rsidR="0016155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duże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znaczenie dla </w:t>
      </w:r>
      <w:r w:rsidR="00161557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sektora</w:t>
      </w:r>
      <w:r w:rsidR="00E05849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finansowego</w:t>
      </w:r>
      <w:r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w </w:t>
      </w:r>
      <w:r w:rsidR="00E05849" w:rsidRPr="003F74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najbliższych miesiącach.</w:t>
      </w:r>
    </w:p>
    <w:p w14:paraId="790EE16E" w14:textId="77777777" w:rsidR="00E92E5F" w:rsidRDefault="00E92E5F" w:rsidP="00EE41BA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</w:p>
    <w:p w14:paraId="49925691" w14:textId="25310977" w:rsidR="00EE41BA" w:rsidRPr="004A4276" w:rsidRDefault="00EE41BA" w:rsidP="00EE41BA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  <w:r w:rsidRPr="004A4276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Marcin Czugan, radca prawny, prezes Związku Przedsiębiorstw Finansowych</w:t>
      </w:r>
      <w:r w:rsidR="003773C0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</w:t>
      </w:r>
      <w:r w:rsidRPr="004A4276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w Polsce</w:t>
      </w:r>
      <w:r w:rsidR="00C40DE9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 (ZPF)</w:t>
      </w:r>
    </w:p>
    <w:p w14:paraId="38992C2C" w14:textId="77777777" w:rsidR="00EE41BA" w:rsidRPr="00EE41BA" w:rsidRDefault="00EE41BA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00B6D68D" w14:textId="16143DB8" w:rsidR="002C0CBF" w:rsidRPr="00EE41BA" w:rsidRDefault="002C0CBF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2C0CB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Druga połowa 2026 r. przyniesie kolejne zmiany w otoczeniu prawnym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firm zrzeszonych w ZPF</w:t>
      </w:r>
      <w:r w:rsidR="004C1381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, jak i w całym sektorze finansowym</w:t>
      </w:r>
      <w:r w:rsidRPr="002C0CB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 Wybraliśmy trzy obszary regulacyjne, które szczególnie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="0060071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należy</w:t>
      </w:r>
      <w:r w:rsidRPr="002C0CB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obserwow</w:t>
      </w:r>
      <w:r w:rsidR="004C1381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ać</w:t>
      </w:r>
      <w:r w:rsidRPr="002C0CB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</w:p>
    <w:p w14:paraId="2EBC1E13" w14:textId="77777777" w:rsidR="00EE41BA" w:rsidRPr="00EE41BA" w:rsidRDefault="00EE41BA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069B6B3" w14:textId="20285A72" w:rsidR="00BC5B52" w:rsidRPr="00C752BC" w:rsidRDefault="00C752BC" w:rsidP="00475880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  <w:r w:rsidRPr="00C752BC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Kredyt konsumencki: fundamentaln</w:t>
      </w:r>
      <w:r w:rsidR="00161557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a zmiana na lata</w:t>
      </w:r>
    </w:p>
    <w:p w14:paraId="50390286" w14:textId="77777777" w:rsidR="00C752BC" w:rsidRDefault="00C752BC" w:rsidP="00475880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4B0B66A" w14:textId="336E4D62" w:rsidR="00475880" w:rsidRPr="00027096" w:rsidRDefault="00BC5B52" w:rsidP="00475880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</w:t>
      </w:r>
      <w:r w:rsidR="00EE41BA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ajważniejszy</w:t>
      </w:r>
      <w:r w:rsidR="004A4276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m</w:t>
      </w:r>
      <w:r w:rsidR="00EE41BA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proces</w:t>
      </w:r>
      <w:r w:rsidR="004A4276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em </w:t>
      </w:r>
      <w:r w:rsidR="00EE41BA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legislacyjn</w:t>
      </w:r>
      <w:r w:rsidR="004A4276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ym</w:t>
      </w:r>
      <w:r w:rsidR="00A31345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w najbliższych miesiącach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będzie i</w:t>
      </w:r>
      <w:r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mplementacja Dyrektywy o kredycie konsumenckim II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(CCD II). 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Jest to regulacja unijna wymagająca wdrożenia do polskiego porządku prawnego. W </w:t>
      </w:r>
      <w:r w:rsidR="00982748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drugim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półroczu 2026 r. będzie trwała dyskusja nad kształtem nowych przepisów i sposobem ich </w:t>
      </w:r>
      <w:r w:rsidR="00161557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implementacji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do </w:t>
      </w:r>
      <w:r w:rsidR="00A31345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krajowego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systemu prawnego. 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Przyszła ustawa powinna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właściwie wyważy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ć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konieczność zapewnienia 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wysokiego poziomu 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ochrony konsumentów i słusznych interesów kredytodawców</w:t>
      </w:r>
      <w:r w:rsidR="00CF5314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</w:p>
    <w:p w14:paraId="1951DDA5" w14:textId="3A52F88B" w:rsidR="00475880" w:rsidRPr="00027096" w:rsidRDefault="00475880" w:rsidP="00407B82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39503A96" w14:textId="4862142D" w:rsidR="00407B82" w:rsidRPr="00EE41BA" w:rsidRDefault="00CD02DA" w:rsidP="00407B82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Nie powinniśmy się śpieszyć, jeśli chodzi o tempo prac. </w:t>
      </w:r>
      <w:r w:rsidR="00F05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Jeżeli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="00CC0BB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weźmiemy pod uwagę przykłady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innych państw członkowskich, to niewiele krajów będzie w stanie ukończyć prace legislacyjne nad implementacją </w:t>
      </w:r>
      <w:r w:rsidR="004849F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D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yrektywy CCD II przed 20 listopada 2026. Powinniśmy skupić się więc na merytor</w:t>
      </w:r>
      <w:r w:rsidR="00F05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yce</w:t>
      </w:r>
      <w:r w:rsidR="00407B82" w:rsidRP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 i przejść kolejne fazy pracy nad projektem ustawy, a ostatecznym efektem powinno być dobre prawo.</w:t>
      </w:r>
    </w:p>
    <w:p w14:paraId="19F0789F" w14:textId="55E469A1" w:rsidR="00407B82" w:rsidRDefault="00407B82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4C957332" w14:textId="24B5104B" w:rsidR="00EC545C" w:rsidRDefault="00EE41BA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Nowe przepisy będą miały 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fundamentalne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znaczenie</w:t>
      </w:r>
      <w:r w:rsid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dla wielu sektorów rynku usług finansowych, </w:t>
      </w:r>
      <w:r w:rsidR="004A4276" w:rsidRP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począwszy od kredytodawców bankowych i </w:t>
      </w:r>
      <w:proofErr w:type="spellStart"/>
      <w:r w:rsidR="004A4276" w:rsidRP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niebankowych</w:t>
      </w:r>
      <w:proofErr w:type="spellEnd"/>
      <w:r w:rsidR="004A4276" w:rsidRP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, przez pośredników kredytowych, skończywszy na biurach informacji gospodarczej </w:t>
      </w:r>
      <w:r w:rsidR="006C360E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oraz</w:t>
      </w:r>
      <w:r w:rsidR="004A4276" w:rsidRP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podmiotach technologicznych wspierających procesy decyzyjne </w:t>
      </w:r>
      <w:r w:rsidR="006C360E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firm działających na rynku</w:t>
      </w:r>
      <w:r w:rsidR="004A4276" w:rsidRPr="004A427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finansow</w:t>
      </w:r>
      <w:r w:rsidR="006C360E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ym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  <w:r w:rsidR="0002709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Skala zmian </w:t>
      </w:r>
      <w:r w:rsidR="004122F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będzie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bardzo </w:t>
      </w:r>
      <w:r w:rsidR="00CF5314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znacząca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I</w:t>
      </w:r>
      <w:r w:rsidR="00EC545C"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mplementacja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tego aktu prawnego</w:t>
      </w:r>
      <w:r w:rsidR="00EC545C"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wpłynie więc na wiele procesów funkcjonujących dziś na rynku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– od reklamy i obowiązków przedkontraktowych, przez zawarcie i wykonywanie umowy, aż po jej zakończenie</w:t>
      </w:r>
      <w:r w:rsid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</w:p>
    <w:p w14:paraId="59D3484E" w14:textId="77777777" w:rsidR="00027096" w:rsidRDefault="00027096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3A0D030E" w14:textId="72110CAA" w:rsidR="00EC545C" w:rsidRPr="00EE41BA" w:rsidRDefault="00EC545C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Jako ZPF </w:t>
      </w:r>
      <w:r w:rsidRP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będziemy </w:t>
      </w:r>
      <w:r w:rsidR="00135D23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kontynuować</w:t>
      </w:r>
      <w:r w:rsidR="0097208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nasz</w:t>
      </w:r>
      <w:r w:rsidRPr="00EC545C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aktywny udział w tym procesie legislacyjnym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.</w:t>
      </w:r>
    </w:p>
    <w:p w14:paraId="29620D76" w14:textId="77777777" w:rsidR="00EE41BA" w:rsidRPr="00EE41BA" w:rsidRDefault="00EE41BA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6614656A" w14:textId="2B9F272E" w:rsidR="00163FB0" w:rsidRDefault="009A5DB1" w:rsidP="00EE41BA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AI pod nadzorem</w:t>
      </w:r>
    </w:p>
    <w:p w14:paraId="36BBA97C" w14:textId="77777777" w:rsidR="009A5DB1" w:rsidRDefault="009A5DB1" w:rsidP="00EE41BA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</w:p>
    <w:p w14:paraId="28694B20" w14:textId="20D4FE7B" w:rsidR="00163FB0" w:rsidRDefault="00163FB0" w:rsidP="00163FB0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Prace parlamentarne nad ustawą o systemach sztucznej inteligencji zostały zakończone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,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a ustaw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ę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skierowano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do podpisu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Prezydent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a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RP. </w:t>
      </w:r>
      <w:r w:rsidR="002B598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Nowe przepisy zapewn</w:t>
      </w:r>
      <w:r w:rsidR="00A2227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iają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stosowanie w Polsce unijnego AI </w:t>
      </w:r>
      <w:proofErr w:type="spellStart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Act</w:t>
      </w:r>
      <w:proofErr w:type="spellEnd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i powo</w:t>
      </w:r>
      <w:r w:rsidR="00A2227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łują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Komisję Rozwoju i Bezpieczeństwa Sztucznej Inteligencji (</w:t>
      </w:r>
      <w:proofErr w:type="spellStart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KRiBSI</w:t>
      </w:r>
      <w:proofErr w:type="spellEnd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). Jako rozporządzenie UE AI </w:t>
      </w:r>
      <w:proofErr w:type="spellStart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Act</w:t>
      </w:r>
      <w:proofErr w:type="spellEnd"/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obowiązuje bezpośrednio, natomiast krajowa ustawa</w:t>
      </w:r>
      <w:r w:rsidR="000C6EE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okreś</w:t>
      </w:r>
      <w:r w:rsidR="000C6EE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la</w:t>
      </w:r>
      <w:r w:rsidRPr="00163F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organizację i sposób sprawowania nadzoru nad rynkiem wykorzystania systemów sztucznej inteligencji oraz nad modelami sztucznej inteligencji ogólnego przeznaczenia.</w:t>
      </w:r>
    </w:p>
    <w:p w14:paraId="3BF0C24C" w14:textId="77777777" w:rsidR="00754F8F" w:rsidRDefault="00754F8F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753DE70" w14:textId="702FDB0D" w:rsidR="00754F8F" w:rsidRDefault="002B5982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Nowe</w:t>
      </w:r>
      <w:r w:rsidR="00754F8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="00754F8F" w:rsidRPr="00754F8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przepisy będą miały znaczenie nie tylko dla dostawców technologii, ale także dla podmiotów, które już stosują systemy AI w codziennej działalności. W przypadku firm członkowskich ZPF dotyczy to m.in. </w:t>
      </w:r>
      <w:proofErr w:type="spellStart"/>
      <w:r w:rsidR="00754F8F" w:rsidRPr="00754F8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scoringu</w:t>
      </w:r>
      <w:proofErr w:type="spellEnd"/>
      <w:r w:rsidR="00754F8F" w:rsidRPr="00754F8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kredytowego, analizy ryzyka, monitorowania transakcji, przeciwdziałania nadużyciom, obsługi klienta, zarządzania wierzytelnościami czy dokumentowania decyzji.</w:t>
      </w:r>
    </w:p>
    <w:p w14:paraId="34606661" w14:textId="77777777" w:rsidR="00754F8F" w:rsidRPr="00EE41BA" w:rsidRDefault="00754F8F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3F00FD8" w14:textId="775CF564" w:rsidR="00A22272" w:rsidRDefault="00EE41BA" w:rsidP="00F22B1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ZPF aktywnie uczestniczył w pracach nad ustawą o systemach sztucznej inteligencji i przedstawiał swoje stanowiska w toku procesu legislacyjnego. W najbliższych miesiącach będziemy </w:t>
      </w:r>
      <w:r w:rsidR="00750BE1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kontynuować naszą aktywność w tym obszarze i </w:t>
      </w:r>
      <w:r w:rsidR="00277FE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szczegółowo 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przyglądać się temu, jak będzie organizowany</w:t>
      </w:r>
      <w:r w:rsidR="00750BE1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w praktyce</w:t>
      </w:r>
      <w:r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nowy system nadzoru</w:t>
      </w:r>
      <w:r w:rsidR="00A22272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. </w:t>
      </w:r>
    </w:p>
    <w:p w14:paraId="41495E37" w14:textId="77777777" w:rsidR="008923A4" w:rsidRDefault="008923A4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6BA45F7D" w14:textId="458005A3" w:rsidR="00EE41BA" w:rsidRPr="00EE41BA" w:rsidRDefault="008923A4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8923A4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Sztuczna inteligencja już od dawna jest wykorzystywana w procesach analitycznych, operacyjnych i decyzyjnych naszych członków. Jako największa </w:t>
      </w:r>
      <w:proofErr w:type="spellStart"/>
      <w:r w:rsidRPr="008923A4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multisektorowa</w:t>
      </w:r>
      <w:proofErr w:type="spellEnd"/>
      <w:r w:rsidRPr="008923A4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organizacja podmiotów rynku finansowego chcemy,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aby polski model nadzoru nad AI wzmacniał bezpieczeństwo klientów, a jednocześnie pozwalał przedsiębiorcom na wdrażanie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i stosowanie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nowych technologii.</w:t>
      </w:r>
    </w:p>
    <w:p w14:paraId="6B924E0A" w14:textId="77777777" w:rsidR="0009382D" w:rsidRDefault="0009382D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4BE00B19" w14:textId="26CF7287" w:rsidR="00C55B1B" w:rsidRPr="0009382D" w:rsidRDefault="0009382D" w:rsidP="00C55B1B">
      <w:pPr>
        <w:jc w:val="both"/>
        <w:rPr>
          <w:rFonts w:ascii="Cambria" w:hAnsi="Cambria" w:cs="Calibri"/>
          <w:b/>
          <w:iCs/>
          <w:color w:val="auto"/>
          <w:spacing w:val="-2"/>
          <w:sz w:val="21"/>
          <w:szCs w:val="21"/>
        </w:rPr>
      </w:pPr>
      <w:r w:rsidRPr="000938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 xml:space="preserve">AMLA – nowy </w:t>
      </w:r>
      <w:r w:rsidR="00C55B1B" w:rsidRPr="000938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unijn</w:t>
      </w:r>
      <w:r w:rsidRPr="0009382D">
        <w:rPr>
          <w:rFonts w:ascii="Cambria" w:hAnsi="Cambria" w:cs="Calibri"/>
          <w:b/>
          <w:iCs/>
          <w:color w:val="auto"/>
          <w:spacing w:val="-2"/>
          <w:sz w:val="21"/>
          <w:szCs w:val="21"/>
        </w:rPr>
        <w:t>y urząd</w:t>
      </w:r>
    </w:p>
    <w:p w14:paraId="6D16A4A8" w14:textId="77777777" w:rsidR="00C55B1B" w:rsidRPr="00C55B1B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8B7B46C" w14:textId="45D139FB" w:rsidR="00C55B1B" w:rsidRPr="00C55B1B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W </w:t>
      </w:r>
      <w:r w:rsidR="00F01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drugim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półroczu 2026 r. warto </w:t>
      </w:r>
      <w:r w:rsidR="00974CD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także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uważnie śledzić rozwój nowego unijnego pakietu przepisów dotyczących przeciwdziałania praniu pieniędzy i finansowaniu terroryzmu. Jednym z jego elementów jest Rozporządzenie AML, które jako akt prawa unijnego będzie stosowane bezpośrednio. Dla części członków ZPF, którzy są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instytucjami obowiązanymi, nowe regulacje mogą mieć znaczenie dla sposobu wykonywania obowiązków AML, m.in. w zakresie oceny ryzyka i stosowania środków bezpieczeństwa finansowego.</w:t>
      </w:r>
    </w:p>
    <w:p w14:paraId="5A916295" w14:textId="77777777" w:rsidR="00C55B1B" w:rsidRPr="00C55B1B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67FD5AF" w14:textId="75ACE506" w:rsidR="00C55B1B" w:rsidRPr="00C55B1B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W nowym systemie ważną rolę odgrywa AMLA –  unijny urząd nadzorujący wykonywanie </w:t>
      </w:r>
      <w:r w:rsidR="005D6A91"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obowiązków </w:t>
      </w:r>
      <w:r w:rsidR="00280E7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przez podmioty rynku finansowego objęte nadzorem.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W </w:t>
      </w:r>
      <w:r w:rsidR="00F01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najbliższych miesiącach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można spodziewać się dużej aktywności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tego organu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, w tym dalszych prac nad rozwiązaniami doprecyzowującymi sposób wykonywania</w:t>
      </w:r>
      <w:r w:rsidR="00280E7F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obowiązków wynikających z nowych przepisów.</w:t>
      </w:r>
    </w:p>
    <w:p w14:paraId="41354F19" w14:textId="77777777" w:rsidR="00C55B1B" w:rsidRPr="00C55B1B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4329262" w14:textId="1B740C60" w:rsidR="00EE41BA" w:rsidRPr="00EE41BA" w:rsidRDefault="00C55B1B" w:rsidP="00C55B1B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ZPF już uczestniczy w tym procesie, konsultując 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projekt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wytyczn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ych AMLA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dotycząc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ych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środków bezpieczeństwa finansowego, </w:t>
      </w:r>
      <w:r w:rsidR="00CD02DA"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wyda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nych</w:t>
      </w:r>
      <w:r w:rsidR="00CD02DA"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na podstawie Rozporządzenia AML. To pokazuje, że dziś skuteczne reprezentowanie interesów przedsiębiorstw wymaga aktywności nie tylko w krajowym procesie legislacyjnym, ale również bezpośrednio na poziomie Unii Europejskiej. </w:t>
      </w:r>
      <w:r w:rsidR="00F01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T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am </w:t>
      </w:r>
      <w:r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bowiem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powstają rozwiązania, które mogą później przełożyć się na </w:t>
      </w:r>
      <w:r w:rsidR="00F010B0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codzienną </w:t>
      </w:r>
      <w:r w:rsidRPr="00C55B1B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praktykę działania 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podmiotów rynku finansowego. </w:t>
      </w:r>
    </w:p>
    <w:p w14:paraId="6620FC19" w14:textId="77777777" w:rsidR="00C55B1B" w:rsidRPr="00C55B1B" w:rsidRDefault="00C55B1B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1620F47" w14:textId="4E0B737A" w:rsidR="00EE41BA" w:rsidRPr="004D4C56" w:rsidRDefault="00CF5314" w:rsidP="00EE41BA">
      <w:pPr>
        <w:jc w:val="both"/>
        <w:rPr>
          <w:rFonts w:ascii="Cambria" w:hAnsi="Cambria"/>
          <w:color w:val="auto"/>
          <w:sz w:val="21"/>
          <w:szCs w:val="21"/>
          <w:shd w:val="clear" w:color="auto" w:fill="FFFFFF"/>
        </w:rPr>
      </w:pPr>
      <w:r>
        <w:rPr>
          <w:rFonts w:ascii="Cambria" w:hAnsi="Cambria"/>
          <w:color w:val="auto"/>
          <w:sz w:val="21"/>
          <w:szCs w:val="21"/>
          <w:shd w:val="clear" w:color="auto" w:fill="FFFFFF"/>
        </w:rPr>
        <w:t>W</w:t>
      </w:r>
      <w:r w:rsidR="004D4C56">
        <w:rPr>
          <w:rFonts w:ascii="Cambria" w:hAnsi="Cambria"/>
          <w:color w:val="auto"/>
          <w:sz w:val="21"/>
          <w:szCs w:val="21"/>
          <w:shd w:val="clear" w:color="auto" w:fill="FFFFFF"/>
        </w:rPr>
        <w:t xml:space="preserve">arto zauważyć, że </w:t>
      </w:r>
      <w:r w:rsidR="004D4C5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s</w:t>
      </w:r>
      <w:r w:rsidR="004D4C56"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kuteczn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e wsparcie przedsiębiorstw </w:t>
      </w:r>
      <w:r w:rsidR="004D4C56" w:rsidRPr="00EE41B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nie zaczyna się w momencie wejścia nowych przepisów w życie</w:t>
      </w:r>
      <w:r w:rsidR="004D4C5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, tylko wiele miesięcy</w:t>
      </w:r>
      <w:r w:rsidR="00CD02DA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>, a czasami lat,</w:t>
      </w:r>
      <w:r w:rsidR="004D4C56"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  <w:t xml:space="preserve"> wcześniej. </w:t>
      </w:r>
      <w:r w:rsidR="00C55B1B" w:rsidRPr="00C55B1B">
        <w:rPr>
          <w:rFonts w:ascii="Cambria" w:hAnsi="Cambria"/>
          <w:color w:val="auto"/>
          <w:sz w:val="21"/>
          <w:szCs w:val="21"/>
          <w:shd w:val="clear" w:color="auto" w:fill="FFFFFF"/>
        </w:rPr>
        <w:t>ZPF od ponad 25 lat aktywnie współtworzy otoczenie regulacyjne dla sektora finansowego, angażując się zarówno w krajowe inicjatywy legislacyjne, jak i prace prowadzone na poziomie Unii Europejskiej.</w:t>
      </w:r>
      <w:r w:rsidR="004D4C56">
        <w:rPr>
          <w:rFonts w:ascii="Cambria" w:hAnsi="Cambria"/>
          <w:color w:val="auto"/>
          <w:sz w:val="21"/>
          <w:szCs w:val="21"/>
          <w:shd w:val="clear" w:color="auto" w:fill="FFFFFF"/>
        </w:rPr>
        <w:t xml:space="preserve"> </w:t>
      </w:r>
    </w:p>
    <w:p w14:paraId="59F102FD" w14:textId="77777777" w:rsidR="00EE41BA" w:rsidRPr="00EE41BA" w:rsidRDefault="00EE41BA" w:rsidP="00EE41B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B82CC44" w14:textId="77777777" w:rsidR="006A551D" w:rsidRDefault="006A551D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05730B93" w14:textId="77777777" w:rsidR="00B95A74" w:rsidRDefault="00B95A74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07A477E4" w14:textId="77777777" w:rsidR="00B95A74" w:rsidRDefault="00B95A74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5ECED0D" w14:textId="77777777" w:rsidR="00B95A74" w:rsidRDefault="00B95A74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528C9BD" w14:textId="77777777" w:rsidR="00B95A74" w:rsidRPr="00EE41BA" w:rsidRDefault="00B95A74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1523A4F" w14:textId="77777777" w:rsidR="006A551D" w:rsidRPr="00EE41BA" w:rsidRDefault="006A551D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08D0FB3" w14:textId="77777777" w:rsidR="00FE6BC4" w:rsidRDefault="00FE6BC4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53E54B44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79B6B2ED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6BEA7739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3E8EBA23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659824E2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AFC7D15" w14:textId="77777777" w:rsidR="00FC24A5" w:rsidRDefault="00FC24A5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7CEC91E" w14:textId="77777777" w:rsidR="00FC24A5" w:rsidRDefault="00FC24A5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FCFD384" w14:textId="77777777" w:rsidR="00CD685F" w:rsidRDefault="00CD685F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5FAEB373" w14:textId="77777777" w:rsidR="00722487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17D45948" w14:textId="77777777" w:rsidR="00722487" w:rsidRPr="00EE41BA" w:rsidRDefault="00722487" w:rsidP="00331404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0EDE37CB" w14:textId="77777777" w:rsidR="002C6DB1" w:rsidRPr="00EE41BA" w:rsidRDefault="002C6DB1" w:rsidP="00E319EA">
      <w:pPr>
        <w:jc w:val="both"/>
        <w:rPr>
          <w:rFonts w:ascii="Cambria" w:hAnsi="Cambria" w:cs="Calibri"/>
          <w:bCs/>
          <w:iCs/>
          <w:color w:val="auto"/>
          <w:spacing w:val="-2"/>
          <w:sz w:val="21"/>
          <w:szCs w:val="21"/>
        </w:rPr>
      </w:pPr>
    </w:p>
    <w:p w14:paraId="203EA17E" w14:textId="77777777" w:rsidR="006F342F" w:rsidRPr="00EE41BA" w:rsidRDefault="006F342F" w:rsidP="00FF60A6">
      <w:pPr>
        <w:jc w:val="center"/>
        <w:rPr>
          <w:rFonts w:ascii="Cambria" w:hAnsi="Cambria" w:cs="Calibri"/>
          <w:bCs/>
          <w:iCs/>
          <w:color w:val="auto"/>
          <w:spacing w:val="-2"/>
          <w:sz w:val="18"/>
          <w:szCs w:val="18"/>
        </w:rPr>
      </w:pPr>
      <w:r w:rsidRPr="00EE41BA">
        <w:rPr>
          <w:rFonts w:ascii="Cambria" w:hAnsi="Cambria" w:cs="Calibri"/>
          <w:bCs/>
          <w:iCs/>
          <w:color w:val="auto"/>
          <w:spacing w:val="-2"/>
          <w:sz w:val="18"/>
          <w:szCs w:val="18"/>
        </w:rPr>
        <w:lastRenderedPageBreak/>
        <w:t>***</w:t>
      </w:r>
    </w:p>
    <w:p w14:paraId="411E3F87" w14:textId="77777777" w:rsidR="0065044E" w:rsidRPr="00EE41BA" w:rsidRDefault="0065044E" w:rsidP="0065044E">
      <w:pPr>
        <w:rPr>
          <w:rFonts w:ascii="Cambria" w:hAnsi="Cambria"/>
          <w:bCs/>
          <w:sz w:val="18"/>
          <w:szCs w:val="18"/>
        </w:rPr>
      </w:pPr>
    </w:p>
    <w:p w14:paraId="400398A9" w14:textId="77777777" w:rsidR="0065044E" w:rsidRPr="00EE41BA" w:rsidRDefault="0065044E" w:rsidP="0065044E">
      <w:pPr>
        <w:spacing w:line="276" w:lineRule="auto"/>
        <w:jc w:val="both"/>
        <w:rPr>
          <w:rFonts w:ascii="Cambria" w:hAnsi="Cambria"/>
          <w:bCs/>
          <w:sz w:val="18"/>
          <w:szCs w:val="18"/>
        </w:rPr>
      </w:pPr>
      <w:r w:rsidRPr="00EE41BA">
        <w:rPr>
          <w:rFonts w:ascii="Cambria" w:hAnsi="Cambria"/>
          <w:bCs/>
          <w:sz w:val="18"/>
          <w:szCs w:val="18"/>
        </w:rPr>
        <w:t xml:space="preserve">Związek Przedsiębiorstw Finansowych w Polsce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EE41BA">
        <w:rPr>
          <w:rFonts w:ascii="Cambria" w:hAnsi="Cambria"/>
          <w:bCs/>
          <w:sz w:val="18"/>
          <w:szCs w:val="18"/>
        </w:rPr>
        <w:t>fintech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. Jest największą </w:t>
      </w:r>
      <w:proofErr w:type="spellStart"/>
      <w:r w:rsidRPr="00EE41BA">
        <w:rPr>
          <w:rFonts w:ascii="Cambria" w:hAnsi="Cambria"/>
          <w:bCs/>
          <w:sz w:val="18"/>
          <w:szCs w:val="18"/>
        </w:rPr>
        <w:t>multisektorową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organizacją podmiotów rynku finansowego w Polsce.</w:t>
      </w:r>
    </w:p>
    <w:p w14:paraId="650450C7" w14:textId="77777777" w:rsidR="0065044E" w:rsidRPr="00EE41BA" w:rsidRDefault="0065044E" w:rsidP="0065044E">
      <w:pPr>
        <w:spacing w:line="276" w:lineRule="auto"/>
        <w:jc w:val="both"/>
        <w:rPr>
          <w:rFonts w:ascii="Cambria" w:hAnsi="Cambria"/>
          <w:bCs/>
          <w:sz w:val="18"/>
          <w:szCs w:val="18"/>
        </w:rPr>
      </w:pPr>
    </w:p>
    <w:p w14:paraId="719BC3C6" w14:textId="77777777" w:rsidR="0065044E" w:rsidRPr="00EE41BA" w:rsidRDefault="0065044E" w:rsidP="0065044E">
      <w:pPr>
        <w:spacing w:line="276" w:lineRule="auto"/>
        <w:jc w:val="both"/>
        <w:rPr>
          <w:rFonts w:ascii="Cambria" w:hAnsi="Cambria"/>
          <w:bCs/>
          <w:sz w:val="18"/>
          <w:szCs w:val="18"/>
        </w:rPr>
      </w:pPr>
      <w:r w:rsidRPr="00EE41BA">
        <w:rPr>
          <w:rFonts w:ascii="Cambria" w:hAnsi="Cambria"/>
          <w:bCs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EE41BA">
        <w:rPr>
          <w:rFonts w:ascii="Cambria" w:hAnsi="Cambria"/>
          <w:bCs/>
          <w:sz w:val="18"/>
          <w:szCs w:val="18"/>
        </w:rPr>
        <w:t>European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EE41BA">
        <w:rPr>
          <w:rFonts w:ascii="Cambria" w:hAnsi="Cambria"/>
          <w:bCs/>
          <w:sz w:val="18"/>
          <w:szCs w:val="18"/>
        </w:rPr>
        <w:t>Federation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of Finance House </w:t>
      </w:r>
      <w:proofErr w:type="spellStart"/>
      <w:r w:rsidRPr="00EE41BA">
        <w:rPr>
          <w:rFonts w:ascii="Cambria" w:hAnsi="Cambria"/>
          <w:bCs/>
          <w:sz w:val="18"/>
          <w:szCs w:val="18"/>
        </w:rPr>
        <w:t>Associations</w:t>
      </w:r>
      <w:proofErr w:type="spellEnd"/>
      <w:r w:rsidRPr="00EE41BA">
        <w:rPr>
          <w:rFonts w:ascii="Cambria" w:hAnsi="Cambria"/>
          <w:bCs/>
          <w:sz w:val="18"/>
          <w:szCs w:val="18"/>
        </w:rPr>
        <w:t>), zrzeszającej instytucje związane z rynkiem kredytu konsumenckiego w Europie oraz FENCA (</w:t>
      </w:r>
      <w:proofErr w:type="spellStart"/>
      <w:r w:rsidRPr="00EE41BA">
        <w:rPr>
          <w:rFonts w:ascii="Cambria" w:hAnsi="Cambria"/>
          <w:bCs/>
          <w:sz w:val="18"/>
          <w:szCs w:val="18"/>
        </w:rPr>
        <w:t>Federation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of </w:t>
      </w:r>
      <w:proofErr w:type="spellStart"/>
      <w:r w:rsidRPr="00EE41BA">
        <w:rPr>
          <w:rFonts w:ascii="Cambria" w:hAnsi="Cambria"/>
          <w:bCs/>
          <w:sz w:val="18"/>
          <w:szCs w:val="18"/>
        </w:rPr>
        <w:t>European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</w:t>
      </w:r>
      <w:proofErr w:type="spellStart"/>
      <w:r w:rsidRPr="00EE41BA">
        <w:rPr>
          <w:rFonts w:ascii="Cambria" w:hAnsi="Cambria"/>
          <w:bCs/>
          <w:sz w:val="18"/>
          <w:szCs w:val="18"/>
        </w:rPr>
        <w:t>National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Collection </w:t>
      </w:r>
      <w:proofErr w:type="spellStart"/>
      <w:r w:rsidRPr="00EE41BA">
        <w:rPr>
          <w:rFonts w:ascii="Cambria" w:hAnsi="Cambria"/>
          <w:bCs/>
          <w:sz w:val="18"/>
          <w:szCs w:val="18"/>
        </w:rPr>
        <w:t>Associations</w:t>
      </w:r>
      <w:proofErr w:type="spellEnd"/>
      <w:r w:rsidRPr="00EE41BA">
        <w:rPr>
          <w:rFonts w:ascii="Cambria" w:hAnsi="Cambria"/>
          <w:bCs/>
          <w:sz w:val="18"/>
          <w:szCs w:val="18"/>
        </w:rPr>
        <w:t>), która reprezentuje interesy sektora zarządzania wierzytelnościami w Europie.</w:t>
      </w:r>
    </w:p>
    <w:p w14:paraId="7FB268D4" w14:textId="77777777" w:rsidR="0065044E" w:rsidRPr="00EE41BA" w:rsidRDefault="0065044E" w:rsidP="0065044E">
      <w:pPr>
        <w:spacing w:line="276" w:lineRule="auto"/>
        <w:jc w:val="both"/>
        <w:rPr>
          <w:rFonts w:ascii="Cambria" w:hAnsi="Cambria"/>
          <w:bCs/>
          <w:sz w:val="18"/>
          <w:szCs w:val="18"/>
        </w:rPr>
      </w:pPr>
    </w:p>
    <w:p w14:paraId="7A6C8E6A" w14:textId="77777777" w:rsidR="0065044E" w:rsidRPr="00EE41BA" w:rsidRDefault="0065044E" w:rsidP="0065044E">
      <w:pPr>
        <w:spacing w:line="276" w:lineRule="auto"/>
        <w:jc w:val="both"/>
        <w:rPr>
          <w:rFonts w:ascii="Cambria" w:hAnsi="Cambria"/>
          <w:bCs/>
          <w:sz w:val="18"/>
          <w:szCs w:val="18"/>
        </w:rPr>
      </w:pPr>
      <w:r w:rsidRPr="00EE41BA">
        <w:rPr>
          <w:rFonts w:ascii="Cambria" w:hAnsi="Cambria"/>
          <w:bCs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EE41BA">
        <w:rPr>
          <w:rFonts w:ascii="Cambria" w:hAnsi="Cambria"/>
          <w:bCs/>
          <w:sz w:val="18"/>
          <w:szCs w:val="18"/>
        </w:rPr>
        <w:t>webinarów</w:t>
      </w:r>
      <w:proofErr w:type="spellEnd"/>
      <w:r w:rsidRPr="00EE41BA">
        <w:rPr>
          <w:rFonts w:ascii="Cambria" w:hAnsi="Cambria"/>
          <w:bCs/>
          <w:sz w:val="18"/>
          <w:szCs w:val="18"/>
        </w:rPr>
        <w:t xml:space="preserve"> i innych inicjatyw dla branży finansowej.</w:t>
      </w:r>
    </w:p>
    <w:p w14:paraId="31A06D06" w14:textId="77777777" w:rsidR="0065044E" w:rsidRPr="00EE41BA" w:rsidRDefault="0065044E" w:rsidP="0065044E">
      <w:pPr>
        <w:jc w:val="both"/>
        <w:rPr>
          <w:rFonts w:ascii="Cambria" w:hAnsi="Cambria"/>
          <w:bCs/>
          <w:sz w:val="18"/>
          <w:szCs w:val="18"/>
        </w:rPr>
      </w:pPr>
    </w:p>
    <w:p w14:paraId="72834409" w14:textId="43D74EF7" w:rsidR="0065044E" w:rsidRPr="00EE41BA" w:rsidRDefault="0065044E" w:rsidP="0065044E">
      <w:pPr>
        <w:jc w:val="both"/>
        <w:rPr>
          <w:rFonts w:ascii="Cambria" w:hAnsi="Cambria"/>
          <w:bCs/>
          <w:color w:val="000090"/>
          <w:sz w:val="18"/>
          <w:szCs w:val="18"/>
        </w:rPr>
      </w:pPr>
      <w:r w:rsidRPr="00EE41BA">
        <w:rPr>
          <w:rFonts w:ascii="Cambria" w:hAnsi="Cambria"/>
          <w:bCs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8938FE2" wp14:editId="0948F31B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611109592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60AB3" w14:textId="77777777" w:rsidR="0065044E" w:rsidRPr="00EE41BA" w:rsidRDefault="0065044E" w:rsidP="0065044E">
      <w:pPr>
        <w:jc w:val="both"/>
        <w:rPr>
          <w:rStyle w:val="Hipercze"/>
          <w:rFonts w:ascii="Cambria" w:eastAsiaTheme="majorEastAsia" w:hAnsi="Cambria"/>
          <w:bCs/>
          <w:sz w:val="18"/>
          <w:szCs w:val="18"/>
        </w:rPr>
      </w:pPr>
      <w:hyperlink r:id="rId8" w:history="1">
        <w:r w:rsidRPr="00EE41BA">
          <w:rPr>
            <w:rStyle w:val="Hipercze"/>
            <w:rFonts w:ascii="Cambria" w:eastAsiaTheme="majorEastAsia" w:hAnsi="Cambria"/>
            <w:bCs/>
            <w:sz w:val="18"/>
            <w:szCs w:val="18"/>
          </w:rPr>
          <w:t>http://www.linkedin.com/company/zpf</w:t>
        </w:r>
      </w:hyperlink>
    </w:p>
    <w:p w14:paraId="1DC618FF" w14:textId="77777777" w:rsidR="006F342F" w:rsidRPr="00EE41BA" w:rsidRDefault="006F342F" w:rsidP="00E319EA">
      <w:pPr>
        <w:spacing w:line="276" w:lineRule="auto"/>
        <w:jc w:val="both"/>
        <w:rPr>
          <w:rFonts w:ascii="Cambria" w:hAnsi="Cambria" w:cs="Calibri"/>
          <w:bCs/>
          <w:iCs/>
          <w:color w:val="auto"/>
          <w:spacing w:val="-2"/>
          <w:sz w:val="18"/>
          <w:szCs w:val="18"/>
        </w:rPr>
      </w:pPr>
    </w:p>
    <w:p w14:paraId="17BC34E6" w14:textId="77777777" w:rsidR="0065044E" w:rsidRPr="00EE41BA" w:rsidRDefault="0065044E" w:rsidP="00E319EA">
      <w:pPr>
        <w:spacing w:line="276" w:lineRule="auto"/>
        <w:jc w:val="both"/>
        <w:rPr>
          <w:rFonts w:ascii="Cambria" w:hAnsi="Cambria" w:cs="Calibri"/>
          <w:bCs/>
          <w:iCs/>
          <w:color w:val="auto"/>
          <w:spacing w:val="-2"/>
          <w:sz w:val="18"/>
          <w:szCs w:val="18"/>
        </w:rPr>
      </w:pPr>
    </w:p>
    <w:p w14:paraId="5C3CFD44" w14:textId="77777777" w:rsidR="0065044E" w:rsidRPr="00EE41BA" w:rsidRDefault="0065044E" w:rsidP="00E319EA">
      <w:pPr>
        <w:spacing w:line="276" w:lineRule="auto"/>
        <w:jc w:val="both"/>
        <w:rPr>
          <w:rFonts w:ascii="Cambria" w:hAnsi="Cambria" w:cs="Calibri"/>
          <w:bCs/>
          <w:iCs/>
          <w:color w:val="auto"/>
          <w:spacing w:val="-2"/>
          <w:sz w:val="18"/>
          <w:szCs w:val="18"/>
        </w:rPr>
      </w:pPr>
    </w:p>
    <w:p w14:paraId="14F78A9B" w14:textId="4F7C2505" w:rsidR="006F342F" w:rsidRPr="00EE41BA" w:rsidRDefault="006F342F" w:rsidP="00E319EA">
      <w:pPr>
        <w:jc w:val="both"/>
        <w:rPr>
          <w:rStyle w:val="Hipercze"/>
          <w:rFonts w:ascii="Cambria" w:hAnsi="Cambria" w:cs="Arial"/>
          <w:bCs/>
          <w:color w:val="000090"/>
          <w:sz w:val="18"/>
          <w:szCs w:val="18"/>
          <w:u w:val="none"/>
        </w:rPr>
      </w:pPr>
    </w:p>
    <w:p w14:paraId="778D21EA" w14:textId="77777777" w:rsidR="006F342F" w:rsidRPr="00EE41BA" w:rsidRDefault="006F342F" w:rsidP="00E319EA">
      <w:pPr>
        <w:jc w:val="both"/>
        <w:rPr>
          <w:rStyle w:val="Hipercze"/>
          <w:rFonts w:ascii="Cambria" w:hAnsi="Cambria"/>
          <w:bCs/>
          <w:sz w:val="18"/>
          <w:szCs w:val="18"/>
        </w:rPr>
      </w:pPr>
    </w:p>
    <w:p w14:paraId="7C5B0464" w14:textId="77777777" w:rsidR="006F342F" w:rsidRPr="00EE41BA" w:rsidRDefault="006F342F" w:rsidP="00E319EA">
      <w:pPr>
        <w:jc w:val="both"/>
        <w:rPr>
          <w:rFonts w:ascii="Cambria" w:hAnsi="Cambria"/>
          <w:bCs/>
          <w:iCs/>
          <w:color w:val="auto"/>
          <w:spacing w:val="-2"/>
          <w:sz w:val="18"/>
          <w:szCs w:val="18"/>
        </w:rPr>
      </w:pPr>
      <w:r w:rsidRPr="00EE41BA">
        <w:rPr>
          <w:rFonts w:ascii="Cambria" w:hAnsi="Cambria"/>
          <w:bCs/>
          <w:noProof/>
          <w:sz w:val="18"/>
          <w:szCs w:val="18"/>
        </w:rPr>
        <w:drawing>
          <wp:inline distT="0" distB="0" distL="0" distR="0" wp14:anchorId="207A1346" wp14:editId="5145C27F">
            <wp:extent cx="2369820" cy="601980"/>
            <wp:effectExtent l="0" t="0" r="0" b="7620"/>
            <wp:docPr id="1170994824" name="Obraz 4" descr="Obraz zawierający Grafika, zrzut ekranu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994824" name="Obraz 4" descr="Obraz zawierający Grafika, zrzut ekranu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9628" w14:textId="77777777" w:rsidR="00047E3C" w:rsidRPr="00EE41BA" w:rsidRDefault="00047E3C" w:rsidP="00E319EA">
      <w:pPr>
        <w:jc w:val="both"/>
        <w:rPr>
          <w:rFonts w:ascii="Cambria" w:hAnsi="Cambria"/>
          <w:bCs/>
          <w:sz w:val="21"/>
          <w:szCs w:val="21"/>
        </w:rPr>
      </w:pPr>
    </w:p>
    <w:sectPr w:rsidR="00047E3C" w:rsidRPr="00EE41BA" w:rsidSect="006F342F">
      <w:headerReference w:type="default" r:id="rId10"/>
      <w:footerReference w:type="default" r:id="rId11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88C18" w14:textId="77777777" w:rsidR="00EE2E7C" w:rsidRDefault="00EE2E7C">
      <w:r>
        <w:separator/>
      </w:r>
    </w:p>
  </w:endnote>
  <w:endnote w:type="continuationSeparator" w:id="0">
    <w:p w14:paraId="0FA23723" w14:textId="77777777" w:rsidR="00EE2E7C" w:rsidRDefault="00EE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2FBD410" w14:textId="77777777" w:rsidR="006F342F" w:rsidRPr="001A0714" w:rsidRDefault="006F342F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A0714"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B45800B" wp14:editId="544DF139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 w:rsidRPr="001A0714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 w:rsidRPr="001A0714"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 w:rsidRPr="001A0714">
              <w:rPr>
                <w:rFonts w:asciiTheme="majorHAnsi" w:hAnsiTheme="majorHAnsi"/>
                <w:sz w:val="18"/>
                <w:szCs w:val="18"/>
              </w:rPr>
              <w:t>3</w:t>
            </w:r>
            <w:r w:rsidRPr="001A0714"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46AAE" w14:textId="77777777" w:rsidR="00EE2E7C" w:rsidRDefault="00EE2E7C">
      <w:r>
        <w:separator/>
      </w:r>
    </w:p>
  </w:footnote>
  <w:footnote w:type="continuationSeparator" w:id="0">
    <w:p w14:paraId="219B41D1" w14:textId="77777777" w:rsidR="00EE2E7C" w:rsidRDefault="00EE2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9BAF" w14:textId="77777777" w:rsidR="006F342F" w:rsidRPr="001A0714" w:rsidRDefault="006F342F">
    <w:pPr>
      <w:pStyle w:val="Nagwek"/>
    </w:pPr>
    <w:r w:rsidRPr="001A0714">
      <w:rPr>
        <w:rFonts w:asciiTheme="minorHAnsi" w:hAnsiTheme="minorHAnsi"/>
        <w:noProof/>
        <w:color w:val="1C2442"/>
      </w:rPr>
      <w:drawing>
        <wp:inline distT="0" distB="0" distL="0" distR="0" wp14:anchorId="69AEBC12" wp14:editId="6F71FCCA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72"/>
    <w:rsid w:val="00002253"/>
    <w:rsid w:val="000045AA"/>
    <w:rsid w:val="0001654C"/>
    <w:rsid w:val="00021A13"/>
    <w:rsid w:val="00027096"/>
    <w:rsid w:val="00046861"/>
    <w:rsid w:val="00047E3C"/>
    <w:rsid w:val="00071F3A"/>
    <w:rsid w:val="00077387"/>
    <w:rsid w:val="00087B2C"/>
    <w:rsid w:val="00091189"/>
    <w:rsid w:val="0009382D"/>
    <w:rsid w:val="000A2B7B"/>
    <w:rsid w:val="000A2BC7"/>
    <w:rsid w:val="000A2D2B"/>
    <w:rsid w:val="000C3DB7"/>
    <w:rsid w:val="000C6EE6"/>
    <w:rsid w:val="000D19B0"/>
    <w:rsid w:val="000E1C75"/>
    <w:rsid w:val="000E7CAC"/>
    <w:rsid w:val="000F5F5B"/>
    <w:rsid w:val="0010471C"/>
    <w:rsid w:val="0012371C"/>
    <w:rsid w:val="00133DB5"/>
    <w:rsid w:val="00135D23"/>
    <w:rsid w:val="00161557"/>
    <w:rsid w:val="00163FB0"/>
    <w:rsid w:val="00166049"/>
    <w:rsid w:val="001770BA"/>
    <w:rsid w:val="00181B38"/>
    <w:rsid w:val="001A22CE"/>
    <w:rsid w:val="001A7604"/>
    <w:rsid w:val="001A7A1E"/>
    <w:rsid w:val="001D1F6F"/>
    <w:rsid w:val="001E0126"/>
    <w:rsid w:val="00202A6A"/>
    <w:rsid w:val="00211021"/>
    <w:rsid w:val="00222BCB"/>
    <w:rsid w:val="00223566"/>
    <w:rsid w:val="00273D81"/>
    <w:rsid w:val="002754A4"/>
    <w:rsid w:val="00277308"/>
    <w:rsid w:val="00277FE2"/>
    <w:rsid w:val="00280E7F"/>
    <w:rsid w:val="00284282"/>
    <w:rsid w:val="00287850"/>
    <w:rsid w:val="00290404"/>
    <w:rsid w:val="00293826"/>
    <w:rsid w:val="002979D1"/>
    <w:rsid w:val="002A45E3"/>
    <w:rsid w:val="002B3C65"/>
    <w:rsid w:val="002B4CE2"/>
    <w:rsid w:val="002B5982"/>
    <w:rsid w:val="002B7A4C"/>
    <w:rsid w:val="002C0CBF"/>
    <w:rsid w:val="002C50B6"/>
    <w:rsid w:val="002C6DB1"/>
    <w:rsid w:val="002D2BCF"/>
    <w:rsid w:val="003106CA"/>
    <w:rsid w:val="00310DA0"/>
    <w:rsid w:val="00317C37"/>
    <w:rsid w:val="00324EE7"/>
    <w:rsid w:val="0032608D"/>
    <w:rsid w:val="00331404"/>
    <w:rsid w:val="0033702E"/>
    <w:rsid w:val="00342C73"/>
    <w:rsid w:val="0034516A"/>
    <w:rsid w:val="00345891"/>
    <w:rsid w:val="00345D23"/>
    <w:rsid w:val="0035082B"/>
    <w:rsid w:val="00362D16"/>
    <w:rsid w:val="00366864"/>
    <w:rsid w:val="00373AB7"/>
    <w:rsid w:val="003773C0"/>
    <w:rsid w:val="00380DFD"/>
    <w:rsid w:val="003833A9"/>
    <w:rsid w:val="0039407C"/>
    <w:rsid w:val="003B18C4"/>
    <w:rsid w:val="003B1A16"/>
    <w:rsid w:val="003B22B4"/>
    <w:rsid w:val="003B6BFD"/>
    <w:rsid w:val="003C600B"/>
    <w:rsid w:val="003D37D9"/>
    <w:rsid w:val="003E19E0"/>
    <w:rsid w:val="003F742D"/>
    <w:rsid w:val="00402837"/>
    <w:rsid w:val="00403C68"/>
    <w:rsid w:val="00407B82"/>
    <w:rsid w:val="004122F6"/>
    <w:rsid w:val="004127C7"/>
    <w:rsid w:val="004171D5"/>
    <w:rsid w:val="00417BA6"/>
    <w:rsid w:val="00421374"/>
    <w:rsid w:val="00432028"/>
    <w:rsid w:val="004324A0"/>
    <w:rsid w:val="004368E8"/>
    <w:rsid w:val="00475880"/>
    <w:rsid w:val="0047698C"/>
    <w:rsid w:val="00482E07"/>
    <w:rsid w:val="004849F6"/>
    <w:rsid w:val="00494BC3"/>
    <w:rsid w:val="004A0D1A"/>
    <w:rsid w:val="004A4276"/>
    <w:rsid w:val="004C1381"/>
    <w:rsid w:val="004C65E9"/>
    <w:rsid w:val="004D21D2"/>
    <w:rsid w:val="004D4C56"/>
    <w:rsid w:val="004E1153"/>
    <w:rsid w:val="004E3305"/>
    <w:rsid w:val="004E4320"/>
    <w:rsid w:val="004E5551"/>
    <w:rsid w:val="004F29DC"/>
    <w:rsid w:val="00503F41"/>
    <w:rsid w:val="0051584F"/>
    <w:rsid w:val="00516A99"/>
    <w:rsid w:val="00524787"/>
    <w:rsid w:val="0055151D"/>
    <w:rsid w:val="00555C2D"/>
    <w:rsid w:val="00582A18"/>
    <w:rsid w:val="0059099C"/>
    <w:rsid w:val="005958A0"/>
    <w:rsid w:val="005B706F"/>
    <w:rsid w:val="005D6A91"/>
    <w:rsid w:val="005E75D0"/>
    <w:rsid w:val="00600712"/>
    <w:rsid w:val="0060096A"/>
    <w:rsid w:val="006026DC"/>
    <w:rsid w:val="00621466"/>
    <w:rsid w:val="006215EA"/>
    <w:rsid w:val="0064104D"/>
    <w:rsid w:val="00641109"/>
    <w:rsid w:val="00642D09"/>
    <w:rsid w:val="0064313B"/>
    <w:rsid w:val="0065044E"/>
    <w:rsid w:val="00653584"/>
    <w:rsid w:val="00666831"/>
    <w:rsid w:val="0066746D"/>
    <w:rsid w:val="0067127E"/>
    <w:rsid w:val="00674383"/>
    <w:rsid w:val="00684210"/>
    <w:rsid w:val="00692840"/>
    <w:rsid w:val="006A551D"/>
    <w:rsid w:val="006C0C3D"/>
    <w:rsid w:val="006C360E"/>
    <w:rsid w:val="006C7409"/>
    <w:rsid w:val="006F342F"/>
    <w:rsid w:val="00707472"/>
    <w:rsid w:val="00712641"/>
    <w:rsid w:val="007132F2"/>
    <w:rsid w:val="00714EBB"/>
    <w:rsid w:val="00722487"/>
    <w:rsid w:val="00726FC7"/>
    <w:rsid w:val="007278FF"/>
    <w:rsid w:val="00735AB0"/>
    <w:rsid w:val="00740778"/>
    <w:rsid w:val="007456CE"/>
    <w:rsid w:val="00750BE1"/>
    <w:rsid w:val="00754F8F"/>
    <w:rsid w:val="007712B5"/>
    <w:rsid w:val="00777671"/>
    <w:rsid w:val="00786875"/>
    <w:rsid w:val="00795DA0"/>
    <w:rsid w:val="00795E50"/>
    <w:rsid w:val="007A2912"/>
    <w:rsid w:val="007C3703"/>
    <w:rsid w:val="007C4559"/>
    <w:rsid w:val="008035D2"/>
    <w:rsid w:val="00823614"/>
    <w:rsid w:val="00832BF9"/>
    <w:rsid w:val="00836B87"/>
    <w:rsid w:val="008467E6"/>
    <w:rsid w:val="008468BE"/>
    <w:rsid w:val="00862BCC"/>
    <w:rsid w:val="00863EAE"/>
    <w:rsid w:val="0087078E"/>
    <w:rsid w:val="00872BBF"/>
    <w:rsid w:val="00876647"/>
    <w:rsid w:val="00886E46"/>
    <w:rsid w:val="008923A4"/>
    <w:rsid w:val="00893FAB"/>
    <w:rsid w:val="0089694A"/>
    <w:rsid w:val="008B0D0D"/>
    <w:rsid w:val="008D06D3"/>
    <w:rsid w:val="008D5BBD"/>
    <w:rsid w:val="008D72B8"/>
    <w:rsid w:val="008F2115"/>
    <w:rsid w:val="00925D8F"/>
    <w:rsid w:val="00927DDA"/>
    <w:rsid w:val="00932C66"/>
    <w:rsid w:val="0093375F"/>
    <w:rsid w:val="00940B47"/>
    <w:rsid w:val="0097020C"/>
    <w:rsid w:val="0097208B"/>
    <w:rsid w:val="00974CDB"/>
    <w:rsid w:val="00982748"/>
    <w:rsid w:val="009A3330"/>
    <w:rsid w:val="009A5DB1"/>
    <w:rsid w:val="009A5DF1"/>
    <w:rsid w:val="009B082A"/>
    <w:rsid w:val="009B7871"/>
    <w:rsid w:val="009C4D8B"/>
    <w:rsid w:val="009C511E"/>
    <w:rsid w:val="009C5C23"/>
    <w:rsid w:val="009C650C"/>
    <w:rsid w:val="009D3028"/>
    <w:rsid w:val="009E2F6A"/>
    <w:rsid w:val="009E3209"/>
    <w:rsid w:val="009E78BF"/>
    <w:rsid w:val="009F1B89"/>
    <w:rsid w:val="009F1CD9"/>
    <w:rsid w:val="00A1051E"/>
    <w:rsid w:val="00A21A21"/>
    <w:rsid w:val="00A22272"/>
    <w:rsid w:val="00A31345"/>
    <w:rsid w:val="00A424BC"/>
    <w:rsid w:val="00A533BE"/>
    <w:rsid w:val="00A55087"/>
    <w:rsid w:val="00A71DF3"/>
    <w:rsid w:val="00A80EE7"/>
    <w:rsid w:val="00A819A1"/>
    <w:rsid w:val="00A82BF2"/>
    <w:rsid w:val="00AC5271"/>
    <w:rsid w:val="00AC572E"/>
    <w:rsid w:val="00AC6B2F"/>
    <w:rsid w:val="00AD2BF7"/>
    <w:rsid w:val="00AD49DB"/>
    <w:rsid w:val="00AE1381"/>
    <w:rsid w:val="00B05512"/>
    <w:rsid w:val="00B11D70"/>
    <w:rsid w:val="00B12BF3"/>
    <w:rsid w:val="00B31DA5"/>
    <w:rsid w:val="00B5181D"/>
    <w:rsid w:val="00B95A74"/>
    <w:rsid w:val="00BA1EC7"/>
    <w:rsid w:val="00BA56BF"/>
    <w:rsid w:val="00BB332F"/>
    <w:rsid w:val="00BB781C"/>
    <w:rsid w:val="00BC3576"/>
    <w:rsid w:val="00BC5B52"/>
    <w:rsid w:val="00BD5288"/>
    <w:rsid w:val="00BE0E0C"/>
    <w:rsid w:val="00BF534E"/>
    <w:rsid w:val="00BF6788"/>
    <w:rsid w:val="00BF7182"/>
    <w:rsid w:val="00C07617"/>
    <w:rsid w:val="00C17E23"/>
    <w:rsid w:val="00C37831"/>
    <w:rsid w:val="00C40DE9"/>
    <w:rsid w:val="00C52D81"/>
    <w:rsid w:val="00C53807"/>
    <w:rsid w:val="00C55B1B"/>
    <w:rsid w:val="00C71EED"/>
    <w:rsid w:val="00C752BC"/>
    <w:rsid w:val="00C814FB"/>
    <w:rsid w:val="00C82019"/>
    <w:rsid w:val="00C85A3F"/>
    <w:rsid w:val="00CB16E8"/>
    <w:rsid w:val="00CB62A6"/>
    <w:rsid w:val="00CC0BBF"/>
    <w:rsid w:val="00CC207D"/>
    <w:rsid w:val="00CC7972"/>
    <w:rsid w:val="00CD02DA"/>
    <w:rsid w:val="00CD5274"/>
    <w:rsid w:val="00CD685F"/>
    <w:rsid w:val="00CF1903"/>
    <w:rsid w:val="00CF27FA"/>
    <w:rsid w:val="00CF5314"/>
    <w:rsid w:val="00D21A8A"/>
    <w:rsid w:val="00D23BC4"/>
    <w:rsid w:val="00D4749F"/>
    <w:rsid w:val="00D52C85"/>
    <w:rsid w:val="00D85409"/>
    <w:rsid w:val="00D87ABB"/>
    <w:rsid w:val="00DA19B3"/>
    <w:rsid w:val="00DB2915"/>
    <w:rsid w:val="00DD4014"/>
    <w:rsid w:val="00DD4922"/>
    <w:rsid w:val="00DE172B"/>
    <w:rsid w:val="00DE19F4"/>
    <w:rsid w:val="00DF2F24"/>
    <w:rsid w:val="00E05849"/>
    <w:rsid w:val="00E1770D"/>
    <w:rsid w:val="00E20C5B"/>
    <w:rsid w:val="00E20D8C"/>
    <w:rsid w:val="00E319EA"/>
    <w:rsid w:val="00E32EF3"/>
    <w:rsid w:val="00E407C7"/>
    <w:rsid w:val="00E62784"/>
    <w:rsid w:val="00E87E98"/>
    <w:rsid w:val="00E92E5F"/>
    <w:rsid w:val="00EA2B9B"/>
    <w:rsid w:val="00EB3176"/>
    <w:rsid w:val="00EB5A8F"/>
    <w:rsid w:val="00EC545C"/>
    <w:rsid w:val="00EC65D3"/>
    <w:rsid w:val="00EC6A52"/>
    <w:rsid w:val="00EC77FD"/>
    <w:rsid w:val="00ED4AEF"/>
    <w:rsid w:val="00ED586C"/>
    <w:rsid w:val="00EE2E7C"/>
    <w:rsid w:val="00EE41BA"/>
    <w:rsid w:val="00F004B8"/>
    <w:rsid w:val="00F010B0"/>
    <w:rsid w:val="00F050B0"/>
    <w:rsid w:val="00F070F9"/>
    <w:rsid w:val="00F077A0"/>
    <w:rsid w:val="00F15DF2"/>
    <w:rsid w:val="00F17973"/>
    <w:rsid w:val="00F22B1A"/>
    <w:rsid w:val="00F26DD7"/>
    <w:rsid w:val="00F31038"/>
    <w:rsid w:val="00F32614"/>
    <w:rsid w:val="00F34637"/>
    <w:rsid w:val="00FC24A5"/>
    <w:rsid w:val="00FC4C41"/>
    <w:rsid w:val="00FC7941"/>
    <w:rsid w:val="00FD2551"/>
    <w:rsid w:val="00FD330D"/>
    <w:rsid w:val="00FD5540"/>
    <w:rsid w:val="00FD6C34"/>
    <w:rsid w:val="00FD79B1"/>
    <w:rsid w:val="00FE4448"/>
    <w:rsid w:val="00FE6BC4"/>
    <w:rsid w:val="00FF60A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5263"/>
  <w15:chartTrackingRefBased/>
  <w15:docId w15:val="{76A52E5D-0D3D-410C-9CF5-C6D1824A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42F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79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9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9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9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9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9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9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9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9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97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C7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9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C7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9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C7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9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C79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9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9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F34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342F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rsid w:val="006F342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19EA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6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61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614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6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614"/>
    <w:rPr>
      <w:rFonts w:ascii="Trebuchet MS" w:eastAsia="Times New Roman" w:hAnsi="Trebuchet MS" w:cs="Arial"/>
      <w:b/>
      <w:bCs/>
      <w:color w:val="000000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23566"/>
    <w:pPr>
      <w:spacing w:after="0" w:line="240" w:lineRule="auto"/>
    </w:pPr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291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A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A52"/>
    <w:rPr>
      <w:rFonts w:ascii="Trebuchet MS" w:eastAsia="Times New Roman" w:hAnsi="Trebuchet MS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A52"/>
    <w:rPr>
      <w:vertAlign w:val="superscript"/>
    </w:rPr>
  </w:style>
  <w:style w:type="table" w:styleId="Tabela-Siatka">
    <w:name w:val="Table Grid"/>
    <w:basedOn w:val="Standardowy"/>
    <w:rsid w:val="007A29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company/zp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3A51-9BDB-44B8-A38A-5E7AFED6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2</cp:revision>
  <cp:lastPrinted>2026-07-21T06:27:00Z</cp:lastPrinted>
  <dcterms:created xsi:type="dcterms:W3CDTF">2026-07-21T07:16:00Z</dcterms:created>
  <dcterms:modified xsi:type="dcterms:W3CDTF">2026-07-21T07:16:00Z</dcterms:modified>
</cp:coreProperties>
</file>