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0F45" w14:textId="502C511B" w:rsidR="00521309" w:rsidRDefault="00250360" w:rsidP="00250360">
      <w:pPr>
        <w:jc w:val="right"/>
        <w:rPr>
          <w:rFonts w:ascii="Arial" w:hAnsi="Arial" w:cs="Arial"/>
          <w:b/>
          <w:bCs/>
        </w:rPr>
      </w:pPr>
      <w:r w:rsidRPr="00250360">
        <w:rPr>
          <w:rFonts w:ascii="Arial" w:hAnsi="Arial" w:cs="Arial"/>
          <w:b/>
          <w:bCs/>
        </w:rPr>
        <w:t xml:space="preserve">Warszawa, </w:t>
      </w:r>
      <w:r w:rsidR="00CC6A38" w:rsidRPr="00213C34">
        <w:rPr>
          <w:rFonts w:ascii="Arial" w:hAnsi="Arial" w:cs="Arial"/>
          <w:b/>
          <w:bCs/>
        </w:rPr>
        <w:t>23</w:t>
      </w:r>
      <w:r w:rsidR="00FA3A2F">
        <w:rPr>
          <w:rFonts w:ascii="Arial" w:hAnsi="Arial" w:cs="Arial"/>
          <w:b/>
          <w:bCs/>
        </w:rPr>
        <w:t xml:space="preserve"> lipca</w:t>
      </w:r>
      <w:r w:rsidRPr="00250360">
        <w:rPr>
          <w:rFonts w:ascii="Arial" w:hAnsi="Arial" w:cs="Arial"/>
          <w:b/>
          <w:bCs/>
        </w:rPr>
        <w:t xml:space="preserve"> 2026 r.</w:t>
      </w:r>
    </w:p>
    <w:p w14:paraId="5C445577" w14:textId="77777777" w:rsidR="00FA3A2F" w:rsidRDefault="00FA3A2F" w:rsidP="0052130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A3A2F">
        <w:rPr>
          <w:rFonts w:ascii="Arial" w:hAnsi="Arial" w:cs="Arial"/>
          <w:b/>
          <w:bCs/>
          <w:sz w:val="28"/>
          <w:szCs w:val="28"/>
        </w:rPr>
        <w:t>Energia dla cyfrowej Warszawy</w:t>
      </w:r>
    </w:p>
    <w:p w14:paraId="1D30649F" w14:textId="3E782ADD" w:rsidR="008862BA" w:rsidRDefault="008862BA" w:rsidP="00BE491F">
      <w:pPr>
        <w:jc w:val="both"/>
        <w:rPr>
          <w:rFonts w:ascii="Arial" w:hAnsi="Arial" w:cs="Arial"/>
          <w:b/>
          <w:bCs/>
        </w:rPr>
      </w:pPr>
      <w:r w:rsidRPr="008862BA">
        <w:rPr>
          <w:rFonts w:ascii="Arial" w:hAnsi="Arial" w:cs="Arial"/>
          <w:b/>
          <w:bCs/>
        </w:rPr>
        <w:t xml:space="preserve">Rozwój sztucznej inteligencji zwiększa znaczenie centrów danych, które odpowiadają za przetwarzanie i przechowywanie ogromnych ilości informacji. Wraz z ich rosnącą rolą coraz częściej pojawiają się pytania o energię potrzebną do funkcjonowania takich obiektów. Zależność tę widać również w </w:t>
      </w:r>
      <w:r w:rsidR="00B43481">
        <w:rPr>
          <w:rFonts w:ascii="Arial" w:hAnsi="Arial" w:cs="Arial"/>
          <w:b/>
          <w:bCs/>
        </w:rPr>
        <w:t>stolicy</w:t>
      </w:r>
      <w:r w:rsidRPr="008862BA">
        <w:rPr>
          <w:rFonts w:ascii="Arial" w:hAnsi="Arial" w:cs="Arial"/>
          <w:b/>
          <w:bCs/>
        </w:rPr>
        <w:t xml:space="preserve">, </w:t>
      </w:r>
      <w:r w:rsidR="00D275C1" w:rsidRPr="00D275C1">
        <w:rPr>
          <w:rFonts w:ascii="Arial" w:hAnsi="Arial" w:cs="Arial"/>
          <w:b/>
          <w:bCs/>
        </w:rPr>
        <w:t>która jest największym rynkiem centrów danych w Polsce</w:t>
      </w:r>
      <w:r w:rsidR="00E71850" w:rsidRPr="00E71850">
        <w:rPr>
          <w:rFonts w:ascii="Arial" w:hAnsi="Arial" w:cs="Arial"/>
          <w:b/>
          <w:bCs/>
        </w:rPr>
        <w:t>.</w:t>
      </w:r>
    </w:p>
    <w:p w14:paraId="626DB32B" w14:textId="25F0EADA" w:rsidR="008862BA" w:rsidRDefault="00D275C1" w:rsidP="00BE49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Usługi chmurowe, platformy cyfrowe i rozwiązania wykorzystujące sztuczną inteligencję potrzebują silnego zaplecza technologicznego. Są nimi c</w:t>
      </w:r>
      <w:r w:rsidR="008862BA" w:rsidRPr="008862BA">
        <w:rPr>
          <w:rFonts w:ascii="Arial" w:hAnsi="Arial" w:cs="Arial"/>
        </w:rPr>
        <w:t>entra danych</w:t>
      </w:r>
      <w:r>
        <w:rPr>
          <w:rFonts w:ascii="Arial" w:hAnsi="Arial" w:cs="Arial"/>
        </w:rPr>
        <w:t xml:space="preserve">, </w:t>
      </w:r>
      <w:r w:rsidRPr="00D275C1">
        <w:rPr>
          <w:rFonts w:ascii="Arial" w:hAnsi="Arial" w:cs="Arial"/>
        </w:rPr>
        <w:t xml:space="preserve">które odpowiadają za przetwarzanie i przechowywanie ogromnych ilości informacji. </w:t>
      </w:r>
      <w:r>
        <w:rPr>
          <w:rFonts w:ascii="Arial" w:hAnsi="Arial" w:cs="Arial"/>
        </w:rPr>
        <w:t>N</w:t>
      </w:r>
      <w:r w:rsidR="008862BA" w:rsidRPr="008862BA">
        <w:rPr>
          <w:rFonts w:ascii="Arial" w:hAnsi="Arial" w:cs="Arial"/>
        </w:rPr>
        <w:t xml:space="preserve">a koniec 2025 r. moc </w:t>
      </w:r>
      <w:r w:rsidR="00A21A61">
        <w:rPr>
          <w:rFonts w:ascii="Arial" w:hAnsi="Arial" w:cs="Arial"/>
        </w:rPr>
        <w:t xml:space="preserve">przyłączeniowa </w:t>
      </w:r>
      <w:r w:rsidR="008862BA" w:rsidRPr="008862BA">
        <w:rPr>
          <w:rFonts w:ascii="Arial" w:hAnsi="Arial" w:cs="Arial"/>
        </w:rPr>
        <w:t xml:space="preserve">takich obiektów w </w:t>
      </w:r>
      <w:r w:rsidR="00B43481">
        <w:rPr>
          <w:rFonts w:ascii="Arial" w:hAnsi="Arial" w:cs="Arial"/>
        </w:rPr>
        <w:t>rejonie</w:t>
      </w:r>
      <w:r w:rsidR="00193547">
        <w:rPr>
          <w:rFonts w:ascii="Arial" w:hAnsi="Arial" w:cs="Arial"/>
        </w:rPr>
        <w:t xml:space="preserve"> </w:t>
      </w:r>
      <w:r w:rsidR="00B43481">
        <w:rPr>
          <w:rFonts w:ascii="Arial" w:hAnsi="Arial" w:cs="Arial"/>
        </w:rPr>
        <w:t>W</w:t>
      </w:r>
      <w:r w:rsidR="00193547">
        <w:rPr>
          <w:rFonts w:ascii="Arial" w:hAnsi="Arial" w:cs="Arial"/>
        </w:rPr>
        <w:t>arszaw</w:t>
      </w:r>
      <w:r w:rsidR="00B43481">
        <w:rPr>
          <w:rFonts w:ascii="Arial" w:hAnsi="Arial" w:cs="Arial"/>
        </w:rPr>
        <w:t>y</w:t>
      </w:r>
      <w:r w:rsidR="008862BA" w:rsidRPr="008862BA">
        <w:rPr>
          <w:rFonts w:ascii="Arial" w:hAnsi="Arial" w:cs="Arial"/>
        </w:rPr>
        <w:t xml:space="preserve"> wynosiła 157 MW</w:t>
      </w:r>
      <w:r w:rsidR="008A2E27">
        <w:rPr>
          <w:rStyle w:val="Odwoanieprzypisudolnego"/>
          <w:rFonts w:ascii="Arial" w:hAnsi="Arial" w:cs="Arial"/>
        </w:rPr>
        <w:footnoteReference w:id="1"/>
      </w:r>
      <w:r w:rsidR="00A21A61">
        <w:rPr>
          <w:rFonts w:ascii="Arial" w:hAnsi="Arial" w:cs="Arial"/>
        </w:rPr>
        <w:t xml:space="preserve">, a kolejne umowy przekraczają już </w:t>
      </w:r>
      <w:r w:rsidR="009421AA">
        <w:rPr>
          <w:rFonts w:ascii="Arial" w:hAnsi="Arial" w:cs="Arial"/>
        </w:rPr>
        <w:t>0,5 G</w:t>
      </w:r>
      <w:r w:rsidR="00A21A61">
        <w:rPr>
          <w:rFonts w:ascii="Arial" w:hAnsi="Arial" w:cs="Arial"/>
        </w:rPr>
        <w:t>W</w:t>
      </w:r>
      <w:r w:rsidR="001A1EBA">
        <w:rPr>
          <w:rFonts w:ascii="Arial" w:hAnsi="Arial" w:cs="Arial"/>
        </w:rPr>
        <w:t>.</w:t>
      </w:r>
      <w:r w:rsidR="008862BA" w:rsidRPr="008862BA">
        <w:rPr>
          <w:rFonts w:ascii="Arial" w:hAnsi="Arial" w:cs="Arial"/>
        </w:rPr>
        <w:t xml:space="preserve"> </w:t>
      </w:r>
      <w:r w:rsidR="00193547" w:rsidRPr="00193547">
        <w:rPr>
          <w:rFonts w:ascii="Arial" w:hAnsi="Arial" w:cs="Arial"/>
        </w:rPr>
        <w:t>Liczb</w:t>
      </w:r>
      <w:r w:rsidR="00284B31">
        <w:rPr>
          <w:rFonts w:ascii="Arial" w:hAnsi="Arial" w:cs="Arial"/>
        </w:rPr>
        <w:t>y</w:t>
      </w:r>
      <w:r w:rsidR="00193547" w:rsidRPr="00193547">
        <w:rPr>
          <w:rFonts w:ascii="Arial" w:hAnsi="Arial" w:cs="Arial"/>
        </w:rPr>
        <w:t xml:space="preserve"> t</w:t>
      </w:r>
      <w:r w:rsidR="00284B31">
        <w:rPr>
          <w:rFonts w:ascii="Arial" w:hAnsi="Arial" w:cs="Arial"/>
        </w:rPr>
        <w:t>e</w:t>
      </w:r>
      <w:r w:rsidR="00193547" w:rsidRPr="00193547">
        <w:rPr>
          <w:rFonts w:ascii="Arial" w:hAnsi="Arial" w:cs="Arial"/>
        </w:rPr>
        <w:t xml:space="preserve"> </w:t>
      </w:r>
      <w:r w:rsidR="00050B8F">
        <w:rPr>
          <w:rFonts w:ascii="Arial" w:hAnsi="Arial" w:cs="Arial"/>
        </w:rPr>
        <w:t>wskazuj</w:t>
      </w:r>
      <w:r w:rsidR="00284B31">
        <w:rPr>
          <w:rFonts w:ascii="Arial" w:hAnsi="Arial" w:cs="Arial"/>
        </w:rPr>
        <w:t>ą</w:t>
      </w:r>
      <w:r w:rsidR="00050B8F">
        <w:rPr>
          <w:rFonts w:ascii="Arial" w:hAnsi="Arial" w:cs="Arial"/>
        </w:rPr>
        <w:t xml:space="preserve">, że rozwój </w:t>
      </w:r>
      <w:r w:rsidR="00193547" w:rsidRPr="00193547">
        <w:rPr>
          <w:rFonts w:ascii="Arial" w:hAnsi="Arial" w:cs="Arial"/>
        </w:rPr>
        <w:t xml:space="preserve">nowoczesnych usług </w:t>
      </w:r>
      <w:r w:rsidR="00050B8F">
        <w:rPr>
          <w:rFonts w:ascii="Arial" w:hAnsi="Arial" w:cs="Arial"/>
        </w:rPr>
        <w:t>silnie wiąże się z potrzebą tworzenia odpowiedniej</w:t>
      </w:r>
      <w:r w:rsidR="00193547" w:rsidRPr="00193547">
        <w:rPr>
          <w:rFonts w:ascii="Arial" w:hAnsi="Arial" w:cs="Arial"/>
        </w:rPr>
        <w:t xml:space="preserve"> infrastruktur</w:t>
      </w:r>
      <w:r w:rsidR="00050B8F">
        <w:rPr>
          <w:rFonts w:ascii="Arial" w:hAnsi="Arial" w:cs="Arial"/>
        </w:rPr>
        <w:t>y.</w:t>
      </w:r>
    </w:p>
    <w:p w14:paraId="2C0B2EC1" w14:textId="3AB5804D" w:rsidR="008862BA" w:rsidRPr="00521309" w:rsidRDefault="00521309" w:rsidP="008862BA">
      <w:pPr>
        <w:jc w:val="both"/>
        <w:rPr>
          <w:rFonts w:ascii="Arial" w:hAnsi="Arial" w:cs="Arial"/>
          <w:b/>
          <w:bCs/>
        </w:rPr>
      </w:pPr>
      <w:r w:rsidRPr="00521309">
        <w:rPr>
          <w:rFonts w:ascii="Arial" w:hAnsi="Arial" w:cs="Arial"/>
        </w:rPr>
        <w:t>–</w:t>
      </w:r>
      <w:r w:rsidR="008862BA" w:rsidRPr="00521309">
        <w:rPr>
          <w:rFonts w:ascii="Arial" w:hAnsi="Arial" w:cs="Arial"/>
        </w:rPr>
        <w:t xml:space="preserve"> </w:t>
      </w:r>
      <w:r w:rsidR="0015232B" w:rsidRPr="00C71FB3">
        <w:rPr>
          <w:rFonts w:ascii="Arial" w:hAnsi="Arial" w:cs="Arial"/>
          <w:i/>
          <w:iCs/>
        </w:rPr>
        <w:t>Cyfryzacja</w:t>
      </w:r>
      <w:r w:rsidR="0016746C">
        <w:rPr>
          <w:rFonts w:ascii="Arial" w:hAnsi="Arial" w:cs="Arial"/>
          <w:i/>
          <w:iCs/>
        </w:rPr>
        <w:t xml:space="preserve"> i elektryfikacj</w:t>
      </w:r>
      <w:r w:rsidR="003D66BE">
        <w:rPr>
          <w:rFonts w:ascii="Arial" w:hAnsi="Arial" w:cs="Arial"/>
          <w:i/>
          <w:iCs/>
        </w:rPr>
        <w:t>a</w:t>
      </w:r>
      <w:r w:rsidR="0016746C">
        <w:rPr>
          <w:rFonts w:ascii="Arial" w:hAnsi="Arial" w:cs="Arial"/>
          <w:i/>
          <w:iCs/>
        </w:rPr>
        <w:t xml:space="preserve"> </w:t>
      </w:r>
      <w:r w:rsidR="0015232B" w:rsidRPr="00C71FB3">
        <w:rPr>
          <w:rFonts w:ascii="Arial" w:hAnsi="Arial" w:cs="Arial"/>
          <w:i/>
          <w:iCs/>
        </w:rPr>
        <w:t>gospodarki</w:t>
      </w:r>
      <w:r w:rsidR="00CC6A38">
        <w:rPr>
          <w:rFonts w:ascii="Arial" w:hAnsi="Arial" w:cs="Arial"/>
          <w:i/>
          <w:iCs/>
        </w:rPr>
        <w:t xml:space="preserve"> </w:t>
      </w:r>
      <w:r w:rsidR="0015232B" w:rsidRPr="00C71FB3">
        <w:rPr>
          <w:rFonts w:ascii="Arial" w:hAnsi="Arial" w:cs="Arial"/>
          <w:i/>
          <w:iCs/>
        </w:rPr>
        <w:t xml:space="preserve">sprawia, że zmieniają się </w:t>
      </w:r>
      <w:r w:rsidR="00CC6A38">
        <w:rPr>
          <w:rFonts w:ascii="Arial" w:hAnsi="Arial" w:cs="Arial"/>
          <w:i/>
          <w:iCs/>
        </w:rPr>
        <w:t xml:space="preserve">wymagania związane z </w:t>
      </w:r>
      <w:r w:rsidR="0016746C">
        <w:rPr>
          <w:rFonts w:ascii="Arial" w:hAnsi="Arial" w:cs="Arial"/>
          <w:i/>
          <w:iCs/>
        </w:rPr>
        <w:t>rozwoj</w:t>
      </w:r>
      <w:r w:rsidR="00CC6A38">
        <w:rPr>
          <w:rFonts w:ascii="Arial" w:hAnsi="Arial" w:cs="Arial"/>
          <w:i/>
          <w:iCs/>
        </w:rPr>
        <w:t>em</w:t>
      </w:r>
      <w:r w:rsidR="0016746C">
        <w:rPr>
          <w:rFonts w:ascii="Arial" w:hAnsi="Arial" w:cs="Arial"/>
          <w:i/>
          <w:iCs/>
        </w:rPr>
        <w:t xml:space="preserve"> sieci elektroenergetycznej zarówno </w:t>
      </w:r>
      <w:r w:rsidR="00CC6A38">
        <w:rPr>
          <w:rFonts w:ascii="Arial" w:hAnsi="Arial" w:cs="Arial"/>
          <w:i/>
          <w:iCs/>
        </w:rPr>
        <w:t>w zakresie</w:t>
      </w:r>
      <w:r w:rsidR="0016746C">
        <w:rPr>
          <w:rFonts w:ascii="Arial" w:hAnsi="Arial" w:cs="Arial"/>
          <w:i/>
          <w:iCs/>
        </w:rPr>
        <w:t xml:space="preserve"> integracji OZE, </w:t>
      </w:r>
      <w:r w:rsidR="00CC6A38">
        <w:rPr>
          <w:rFonts w:ascii="Arial" w:hAnsi="Arial" w:cs="Arial"/>
          <w:i/>
          <w:iCs/>
        </w:rPr>
        <w:t>jak i</w:t>
      </w:r>
      <w:r w:rsidR="0016746C">
        <w:rPr>
          <w:rFonts w:ascii="Arial" w:hAnsi="Arial" w:cs="Arial"/>
          <w:i/>
          <w:iCs/>
        </w:rPr>
        <w:t xml:space="preserve"> </w:t>
      </w:r>
      <w:r w:rsidR="00CC6A38">
        <w:rPr>
          <w:rFonts w:ascii="Arial" w:hAnsi="Arial" w:cs="Arial"/>
          <w:i/>
          <w:iCs/>
        </w:rPr>
        <w:t>zapewnienia</w:t>
      </w:r>
      <w:r w:rsidR="0016746C">
        <w:rPr>
          <w:rFonts w:ascii="Arial" w:hAnsi="Arial" w:cs="Arial"/>
          <w:i/>
          <w:iCs/>
        </w:rPr>
        <w:t xml:space="preserve"> potrzeb </w:t>
      </w:r>
      <w:r w:rsidR="0015232B" w:rsidRPr="00C71FB3">
        <w:rPr>
          <w:rFonts w:ascii="Arial" w:hAnsi="Arial" w:cs="Arial"/>
          <w:i/>
          <w:iCs/>
        </w:rPr>
        <w:t xml:space="preserve">odbiorców energii. </w:t>
      </w:r>
      <w:r w:rsidR="00B43481" w:rsidRPr="00C71FB3">
        <w:rPr>
          <w:rFonts w:ascii="Arial" w:hAnsi="Arial" w:cs="Arial"/>
          <w:i/>
          <w:iCs/>
        </w:rPr>
        <w:t>W Warszawie</w:t>
      </w:r>
      <w:r w:rsidR="0016746C">
        <w:rPr>
          <w:rFonts w:ascii="Arial" w:hAnsi="Arial" w:cs="Arial"/>
          <w:i/>
          <w:iCs/>
        </w:rPr>
        <w:t xml:space="preserve"> </w:t>
      </w:r>
      <w:r w:rsidR="00B43481" w:rsidRPr="00C71FB3">
        <w:rPr>
          <w:rFonts w:ascii="Arial" w:hAnsi="Arial" w:cs="Arial"/>
          <w:i/>
          <w:iCs/>
        </w:rPr>
        <w:t>obserwujemy</w:t>
      </w:r>
      <w:r w:rsidR="00CC6A38">
        <w:rPr>
          <w:rFonts w:ascii="Arial" w:hAnsi="Arial" w:cs="Arial"/>
          <w:i/>
          <w:iCs/>
        </w:rPr>
        <w:t xml:space="preserve"> je</w:t>
      </w:r>
      <w:r w:rsidR="00B43481" w:rsidRPr="00C71FB3">
        <w:rPr>
          <w:rFonts w:ascii="Arial" w:hAnsi="Arial" w:cs="Arial"/>
          <w:i/>
          <w:iCs/>
        </w:rPr>
        <w:t xml:space="preserve"> szczególnie wyraźnie, ponieważ to miasto jest miejscem </w:t>
      </w:r>
      <w:r w:rsidR="00C71FB3" w:rsidRPr="00C71FB3">
        <w:rPr>
          <w:rFonts w:ascii="Arial" w:hAnsi="Arial" w:cs="Arial"/>
          <w:i/>
          <w:iCs/>
        </w:rPr>
        <w:t xml:space="preserve">dużej </w:t>
      </w:r>
      <w:r w:rsidR="00B43481" w:rsidRPr="00C71FB3">
        <w:rPr>
          <w:rFonts w:ascii="Arial" w:hAnsi="Arial" w:cs="Arial"/>
          <w:i/>
          <w:iCs/>
        </w:rPr>
        <w:t>koncentracji biznesu, usług i nowoczesnych technologii.</w:t>
      </w:r>
      <w:r w:rsidR="0015232B" w:rsidRPr="00C71FB3">
        <w:rPr>
          <w:rFonts w:ascii="Arial" w:hAnsi="Arial" w:cs="Arial"/>
          <w:i/>
          <w:iCs/>
        </w:rPr>
        <w:t xml:space="preserve"> Rolą operatora systemu dystrybucyjnego jest tworzenie warunków, które pozwolą bezpiecznie i niezawodnie dostarczać energię  mieszkańcom</w:t>
      </w:r>
      <w:r w:rsidR="003D66BE">
        <w:rPr>
          <w:rFonts w:ascii="Arial" w:hAnsi="Arial" w:cs="Arial"/>
          <w:i/>
          <w:iCs/>
        </w:rPr>
        <w:t xml:space="preserve">, na </w:t>
      </w:r>
      <w:r w:rsidR="007D43FA" w:rsidRPr="00C71FB3">
        <w:rPr>
          <w:rFonts w:ascii="Arial" w:hAnsi="Arial" w:cs="Arial"/>
          <w:i/>
          <w:iCs/>
        </w:rPr>
        <w:t>potrzeby</w:t>
      </w:r>
      <w:r w:rsidR="003D66BE">
        <w:rPr>
          <w:rFonts w:ascii="Arial" w:hAnsi="Arial" w:cs="Arial"/>
          <w:i/>
          <w:iCs/>
        </w:rPr>
        <w:t xml:space="preserve"> elektryfikacji transportu oraz </w:t>
      </w:r>
      <w:r w:rsidR="0015232B" w:rsidRPr="00C71FB3">
        <w:rPr>
          <w:rFonts w:ascii="Arial" w:hAnsi="Arial" w:cs="Arial"/>
          <w:i/>
          <w:iCs/>
        </w:rPr>
        <w:t>nowy</w:t>
      </w:r>
      <w:r w:rsidR="001A1EBA" w:rsidRPr="00C71FB3">
        <w:rPr>
          <w:rFonts w:ascii="Arial" w:hAnsi="Arial" w:cs="Arial"/>
          <w:i/>
          <w:iCs/>
        </w:rPr>
        <w:t>ch</w:t>
      </w:r>
      <w:r w:rsidR="0015232B" w:rsidRPr="00C71FB3">
        <w:rPr>
          <w:rFonts w:ascii="Arial" w:hAnsi="Arial" w:cs="Arial"/>
          <w:i/>
          <w:iCs/>
        </w:rPr>
        <w:t xml:space="preserve"> inwestycj</w:t>
      </w:r>
      <w:r w:rsidR="001A1EBA" w:rsidRPr="00C71FB3">
        <w:rPr>
          <w:rFonts w:ascii="Arial" w:hAnsi="Arial" w:cs="Arial"/>
          <w:i/>
          <w:iCs/>
        </w:rPr>
        <w:t>i</w:t>
      </w:r>
      <w:r w:rsidR="003D66BE">
        <w:rPr>
          <w:rFonts w:ascii="Arial" w:hAnsi="Arial" w:cs="Arial"/>
          <w:i/>
          <w:iCs/>
        </w:rPr>
        <w:t xml:space="preserve"> komercyjnych</w:t>
      </w:r>
      <w:r w:rsidR="0015232B" w:rsidRPr="00C71FB3">
        <w:rPr>
          <w:rFonts w:ascii="Arial" w:hAnsi="Arial" w:cs="Arial"/>
          <w:i/>
          <w:iCs/>
        </w:rPr>
        <w:t>.</w:t>
      </w:r>
      <w:r w:rsidR="00284B31">
        <w:rPr>
          <w:rFonts w:ascii="Arial" w:hAnsi="Arial" w:cs="Arial"/>
          <w:i/>
          <w:iCs/>
        </w:rPr>
        <w:t xml:space="preserve"> </w:t>
      </w:r>
      <w:r w:rsidR="0015232B" w:rsidRPr="00C71FB3">
        <w:rPr>
          <w:rFonts w:ascii="Arial" w:hAnsi="Arial" w:cs="Arial"/>
          <w:i/>
          <w:iCs/>
        </w:rPr>
        <w:t>Takie działania wymagają planowania z wieloletnim wyprzedzeniem</w:t>
      </w:r>
      <w:r w:rsidR="0015232B" w:rsidRPr="00521309">
        <w:rPr>
          <w:rFonts w:ascii="Arial" w:hAnsi="Arial" w:cs="Arial"/>
        </w:rPr>
        <w:t xml:space="preserve"> </w:t>
      </w:r>
      <w:r w:rsidR="0089448F" w:rsidRPr="00521309">
        <w:rPr>
          <w:rFonts w:ascii="Arial" w:hAnsi="Arial" w:cs="Arial"/>
        </w:rPr>
        <w:t>– mówi</w:t>
      </w:r>
      <w:r w:rsidR="009421AA">
        <w:rPr>
          <w:rFonts w:ascii="Arial" w:hAnsi="Arial" w:cs="Arial"/>
        </w:rPr>
        <w:t xml:space="preserve"> Maciej </w:t>
      </w:r>
      <w:proofErr w:type="spellStart"/>
      <w:r w:rsidR="009421AA">
        <w:rPr>
          <w:rFonts w:ascii="Arial" w:hAnsi="Arial" w:cs="Arial"/>
        </w:rPr>
        <w:t>Paśniewski</w:t>
      </w:r>
      <w:proofErr w:type="spellEnd"/>
      <w:r w:rsidR="009421AA">
        <w:rPr>
          <w:rFonts w:ascii="Arial" w:hAnsi="Arial" w:cs="Arial"/>
        </w:rPr>
        <w:t>, Dyrektor Zarządzania Majątkiem w</w:t>
      </w:r>
      <w:r w:rsidR="00CC6A38">
        <w:rPr>
          <w:rFonts w:ascii="Arial" w:hAnsi="Arial" w:cs="Arial"/>
        </w:rPr>
        <w:t xml:space="preserve"> </w:t>
      </w:r>
      <w:r w:rsidR="0089448F" w:rsidRPr="00521309">
        <w:rPr>
          <w:rFonts w:ascii="Arial" w:hAnsi="Arial" w:cs="Arial"/>
        </w:rPr>
        <w:t>Stoen Operator.</w:t>
      </w:r>
    </w:p>
    <w:p w14:paraId="17927AFD" w14:textId="77777777" w:rsidR="0086747A" w:rsidRPr="0086747A" w:rsidRDefault="0086747A" w:rsidP="0086747A">
      <w:pPr>
        <w:jc w:val="both"/>
        <w:rPr>
          <w:rFonts w:ascii="Arial" w:hAnsi="Arial" w:cs="Arial"/>
          <w:b/>
          <w:bCs/>
        </w:rPr>
      </w:pPr>
      <w:r w:rsidRPr="0086747A">
        <w:rPr>
          <w:rFonts w:ascii="Arial" w:hAnsi="Arial" w:cs="Arial"/>
          <w:b/>
          <w:bCs/>
        </w:rPr>
        <w:t>Nowe potrzeby gospodarki opartej na danych</w:t>
      </w:r>
    </w:p>
    <w:p w14:paraId="6984F441" w14:textId="4DD3BD99" w:rsidR="0086747A" w:rsidRPr="0086747A" w:rsidRDefault="0086747A" w:rsidP="0086747A">
      <w:pPr>
        <w:jc w:val="both"/>
        <w:rPr>
          <w:rFonts w:ascii="Arial" w:hAnsi="Arial" w:cs="Arial"/>
        </w:rPr>
      </w:pPr>
      <w:r w:rsidRPr="0086747A">
        <w:rPr>
          <w:rFonts w:ascii="Arial" w:hAnsi="Arial" w:cs="Arial"/>
        </w:rPr>
        <w:t xml:space="preserve">W ostatnich latach sektor centrów danych rozwijał się głównie dzięki upowszechnieniu usług chmurowych oraz digitalizacji przedsiębiorstw. Dziś </w:t>
      </w:r>
      <w:r w:rsidR="00050B8F">
        <w:rPr>
          <w:rFonts w:ascii="Arial" w:hAnsi="Arial" w:cs="Arial"/>
        </w:rPr>
        <w:t>zwiększa się</w:t>
      </w:r>
      <w:r w:rsidRPr="0086747A">
        <w:rPr>
          <w:rFonts w:ascii="Arial" w:hAnsi="Arial" w:cs="Arial"/>
        </w:rPr>
        <w:t xml:space="preserve"> wpływ sztuczn</w:t>
      </w:r>
      <w:r w:rsidR="00050B8F">
        <w:rPr>
          <w:rFonts w:ascii="Arial" w:hAnsi="Arial" w:cs="Arial"/>
        </w:rPr>
        <w:t>ej</w:t>
      </w:r>
      <w:r w:rsidRPr="0086747A">
        <w:rPr>
          <w:rFonts w:ascii="Arial" w:hAnsi="Arial" w:cs="Arial"/>
        </w:rPr>
        <w:t xml:space="preserve"> inteligencj</w:t>
      </w:r>
      <w:r w:rsidR="00050B8F">
        <w:rPr>
          <w:rFonts w:ascii="Arial" w:hAnsi="Arial" w:cs="Arial"/>
        </w:rPr>
        <w:t>i</w:t>
      </w:r>
      <w:r w:rsidRPr="0086747A">
        <w:rPr>
          <w:rFonts w:ascii="Arial" w:hAnsi="Arial" w:cs="Arial"/>
        </w:rPr>
        <w:t>, która trafia do kolejnych obszarów biznesu i codziennej pracy.</w:t>
      </w:r>
    </w:p>
    <w:p w14:paraId="2C9B523B" w14:textId="6FC8AF84" w:rsidR="0086747A" w:rsidRPr="0086747A" w:rsidRDefault="008A2E27" w:rsidP="0086747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</w:t>
      </w:r>
      <w:r w:rsidR="0086747A" w:rsidRPr="0086747A">
        <w:rPr>
          <w:rFonts w:ascii="Arial" w:hAnsi="Arial" w:cs="Arial"/>
        </w:rPr>
        <w:t xml:space="preserve"> skali globalnej</w:t>
      </w:r>
      <w:r>
        <w:rPr>
          <w:rFonts w:ascii="Arial" w:hAnsi="Arial" w:cs="Arial"/>
        </w:rPr>
        <w:t xml:space="preserve"> ta tendencja </w:t>
      </w:r>
      <w:r w:rsidR="001A1EBA">
        <w:rPr>
          <w:rFonts w:ascii="Arial" w:hAnsi="Arial" w:cs="Arial"/>
        </w:rPr>
        <w:t xml:space="preserve">pozwala </w:t>
      </w:r>
      <w:r>
        <w:rPr>
          <w:rFonts w:ascii="Arial" w:hAnsi="Arial" w:cs="Arial"/>
        </w:rPr>
        <w:t>ukaz</w:t>
      </w:r>
      <w:r w:rsidR="001A1EBA">
        <w:rPr>
          <w:rFonts w:ascii="Arial" w:hAnsi="Arial" w:cs="Arial"/>
        </w:rPr>
        <w:t>ać</w:t>
      </w:r>
      <w:r>
        <w:rPr>
          <w:rFonts w:ascii="Arial" w:hAnsi="Arial" w:cs="Arial"/>
        </w:rPr>
        <w:t xml:space="preserve"> pełn</w:t>
      </w:r>
      <w:r w:rsidR="001A1EBA">
        <w:rPr>
          <w:rFonts w:ascii="Arial" w:hAnsi="Arial" w:cs="Arial"/>
        </w:rPr>
        <w:t>y obraz</w:t>
      </w:r>
      <w:r>
        <w:rPr>
          <w:rFonts w:ascii="Arial" w:hAnsi="Arial" w:cs="Arial"/>
        </w:rPr>
        <w:t xml:space="preserve"> zagadnienia</w:t>
      </w:r>
      <w:r w:rsidR="0086747A" w:rsidRPr="0086747A">
        <w:rPr>
          <w:rFonts w:ascii="Arial" w:hAnsi="Arial" w:cs="Arial"/>
        </w:rPr>
        <w:t xml:space="preserve">. Międzynarodowa Agencja Energetyczna </w:t>
      </w:r>
      <w:r>
        <w:rPr>
          <w:rFonts w:ascii="Arial" w:hAnsi="Arial" w:cs="Arial"/>
        </w:rPr>
        <w:t xml:space="preserve">(IEA) </w:t>
      </w:r>
      <w:r w:rsidR="0086747A" w:rsidRPr="0086747A">
        <w:rPr>
          <w:rFonts w:ascii="Arial" w:hAnsi="Arial" w:cs="Arial"/>
        </w:rPr>
        <w:t xml:space="preserve">szacuje, że zużycie energii przez centra danych wzrośnie z około 415 </w:t>
      </w:r>
      <w:proofErr w:type="spellStart"/>
      <w:r w:rsidR="0086747A" w:rsidRPr="0086747A">
        <w:rPr>
          <w:rFonts w:ascii="Arial" w:hAnsi="Arial" w:cs="Arial"/>
        </w:rPr>
        <w:t>TWh</w:t>
      </w:r>
      <w:proofErr w:type="spellEnd"/>
      <w:r w:rsidR="0086747A" w:rsidRPr="0086747A">
        <w:rPr>
          <w:rFonts w:ascii="Arial" w:hAnsi="Arial" w:cs="Arial"/>
        </w:rPr>
        <w:t xml:space="preserve"> w 2024 r. do około 945 </w:t>
      </w:r>
      <w:proofErr w:type="spellStart"/>
      <w:r w:rsidR="0086747A" w:rsidRPr="0086747A">
        <w:rPr>
          <w:rFonts w:ascii="Arial" w:hAnsi="Arial" w:cs="Arial"/>
        </w:rPr>
        <w:t>TWh</w:t>
      </w:r>
      <w:proofErr w:type="spellEnd"/>
      <w:r w:rsidR="0086747A" w:rsidRPr="0086747A">
        <w:rPr>
          <w:rFonts w:ascii="Arial" w:hAnsi="Arial" w:cs="Arial"/>
        </w:rPr>
        <w:t xml:space="preserve"> w 2030 r.</w:t>
      </w:r>
      <w:r>
        <w:rPr>
          <w:rStyle w:val="Odwoanieprzypisudolnego"/>
          <w:rFonts w:ascii="Arial" w:hAnsi="Arial" w:cs="Arial"/>
        </w:rPr>
        <w:footnoteReference w:id="2"/>
      </w:r>
      <w:r w:rsidR="0086747A" w:rsidRPr="0086747A">
        <w:rPr>
          <w:rFonts w:ascii="Arial" w:hAnsi="Arial" w:cs="Arial"/>
        </w:rPr>
        <w:t xml:space="preserve"> Jednym z głównych </w:t>
      </w:r>
      <w:r w:rsidR="001A1EBA">
        <w:rPr>
          <w:rFonts w:ascii="Arial" w:hAnsi="Arial" w:cs="Arial"/>
        </w:rPr>
        <w:t>powodów</w:t>
      </w:r>
      <w:r w:rsidR="001A1EBA" w:rsidRPr="0086747A">
        <w:rPr>
          <w:rFonts w:ascii="Arial" w:hAnsi="Arial" w:cs="Arial"/>
        </w:rPr>
        <w:t xml:space="preserve"> </w:t>
      </w:r>
      <w:r w:rsidR="0086747A" w:rsidRPr="0086747A">
        <w:rPr>
          <w:rFonts w:ascii="Arial" w:hAnsi="Arial" w:cs="Arial"/>
        </w:rPr>
        <w:t xml:space="preserve">tego wzrostu jest </w:t>
      </w:r>
      <w:r>
        <w:rPr>
          <w:rFonts w:ascii="Arial" w:hAnsi="Arial" w:cs="Arial"/>
        </w:rPr>
        <w:t xml:space="preserve">właśnie </w:t>
      </w:r>
      <w:r w:rsidR="0086747A" w:rsidRPr="0086747A">
        <w:rPr>
          <w:rFonts w:ascii="Arial" w:hAnsi="Arial" w:cs="Arial"/>
        </w:rPr>
        <w:t xml:space="preserve">rozwój sztucznej inteligencji. </w:t>
      </w:r>
      <w:r>
        <w:rPr>
          <w:rFonts w:ascii="Arial" w:hAnsi="Arial" w:cs="Arial"/>
        </w:rPr>
        <w:t>IEA</w:t>
      </w:r>
      <w:r w:rsidR="0086747A" w:rsidRPr="0086747A">
        <w:rPr>
          <w:rFonts w:ascii="Arial" w:hAnsi="Arial" w:cs="Arial"/>
        </w:rPr>
        <w:t xml:space="preserve"> zwraca uwagę, że coraz większe znaczenie mają najbardziej zaawansowane zastosowania </w:t>
      </w:r>
      <w:r>
        <w:rPr>
          <w:rFonts w:ascii="Arial" w:hAnsi="Arial" w:cs="Arial"/>
        </w:rPr>
        <w:t>tej technologii. Wśród nich wymienia</w:t>
      </w:r>
      <w:r w:rsidR="0086747A" w:rsidRPr="0086747A">
        <w:rPr>
          <w:rFonts w:ascii="Arial" w:hAnsi="Arial" w:cs="Arial"/>
        </w:rPr>
        <w:t xml:space="preserve"> </w:t>
      </w:r>
      <w:r w:rsidR="001A1EBA">
        <w:rPr>
          <w:rFonts w:ascii="Arial" w:hAnsi="Arial" w:cs="Arial"/>
        </w:rPr>
        <w:t xml:space="preserve">się </w:t>
      </w:r>
      <w:r w:rsidR="0086747A" w:rsidRPr="0086747A">
        <w:rPr>
          <w:rFonts w:ascii="Arial" w:hAnsi="Arial" w:cs="Arial"/>
        </w:rPr>
        <w:t>generowanie materiałów wideo, wieloetapowe systemy wspierające podejmowanie decyzji czy autonomiczn</w:t>
      </w:r>
      <w:r w:rsidR="00284B31">
        <w:rPr>
          <w:rFonts w:ascii="Arial" w:hAnsi="Arial" w:cs="Arial"/>
        </w:rPr>
        <w:t>i</w:t>
      </w:r>
      <w:r w:rsidR="0086747A" w:rsidRPr="0086747A">
        <w:rPr>
          <w:rFonts w:ascii="Arial" w:hAnsi="Arial" w:cs="Arial"/>
        </w:rPr>
        <w:t xml:space="preserve"> agen</w:t>
      </w:r>
      <w:r w:rsidR="00284B31">
        <w:rPr>
          <w:rFonts w:ascii="Arial" w:hAnsi="Arial" w:cs="Arial"/>
        </w:rPr>
        <w:t xml:space="preserve">ci </w:t>
      </w:r>
      <w:r w:rsidR="0086747A" w:rsidRPr="0086747A">
        <w:rPr>
          <w:rFonts w:ascii="Arial" w:hAnsi="Arial" w:cs="Arial"/>
        </w:rPr>
        <w:t>AI. To właśnie one należą do najbardziej wymagających pod względem zużycia energii</w:t>
      </w:r>
      <w:r>
        <w:rPr>
          <w:rStyle w:val="Odwoanieprzypisudolnego"/>
          <w:rFonts w:ascii="Arial" w:hAnsi="Arial" w:cs="Arial"/>
        </w:rPr>
        <w:footnoteReference w:id="3"/>
      </w:r>
      <w:r w:rsidR="001A1EBA">
        <w:rPr>
          <w:rFonts w:ascii="Arial" w:hAnsi="Arial" w:cs="Arial"/>
        </w:rPr>
        <w:t>.</w:t>
      </w:r>
      <w:r w:rsidR="0086747A" w:rsidRPr="0086747A">
        <w:rPr>
          <w:rFonts w:ascii="Arial" w:hAnsi="Arial" w:cs="Arial"/>
          <w:b/>
          <w:bCs/>
        </w:rPr>
        <w:t xml:space="preserve"> </w:t>
      </w:r>
    </w:p>
    <w:p w14:paraId="5DAE7B7F" w14:textId="0259F83E" w:rsidR="0086747A" w:rsidRPr="008A2E27" w:rsidRDefault="006410D3" w:rsidP="0086747A">
      <w:pPr>
        <w:jc w:val="both"/>
        <w:rPr>
          <w:rFonts w:ascii="Arial" w:hAnsi="Arial" w:cs="Arial"/>
        </w:rPr>
      </w:pPr>
      <w:r w:rsidRPr="006410D3">
        <w:rPr>
          <w:rFonts w:ascii="Arial" w:hAnsi="Arial" w:cs="Arial"/>
        </w:rPr>
        <w:t xml:space="preserve">Rozwiązania oparte na sztucznej inteligencji </w:t>
      </w:r>
      <w:r w:rsidR="001A1EBA">
        <w:rPr>
          <w:rFonts w:ascii="Arial" w:hAnsi="Arial" w:cs="Arial"/>
        </w:rPr>
        <w:t>są wykorzystywane</w:t>
      </w:r>
      <w:r w:rsidR="001A1EBA" w:rsidRPr="006410D3">
        <w:rPr>
          <w:rFonts w:ascii="Arial" w:hAnsi="Arial" w:cs="Arial"/>
        </w:rPr>
        <w:t xml:space="preserve"> </w:t>
      </w:r>
      <w:r w:rsidR="001A1EBA">
        <w:rPr>
          <w:rFonts w:ascii="Arial" w:hAnsi="Arial" w:cs="Arial"/>
        </w:rPr>
        <w:t>w</w:t>
      </w:r>
      <w:r w:rsidR="001A1EBA" w:rsidRPr="006410D3">
        <w:rPr>
          <w:rFonts w:ascii="Arial" w:hAnsi="Arial" w:cs="Arial"/>
        </w:rPr>
        <w:t xml:space="preserve"> </w:t>
      </w:r>
      <w:r w:rsidRPr="006410D3">
        <w:rPr>
          <w:rFonts w:ascii="Arial" w:hAnsi="Arial" w:cs="Arial"/>
        </w:rPr>
        <w:t>kolejnych obszar</w:t>
      </w:r>
      <w:r w:rsidR="001A1EBA">
        <w:rPr>
          <w:rFonts w:ascii="Arial" w:hAnsi="Arial" w:cs="Arial"/>
        </w:rPr>
        <w:t>ach</w:t>
      </w:r>
      <w:r w:rsidRPr="006410D3">
        <w:rPr>
          <w:rFonts w:ascii="Arial" w:hAnsi="Arial" w:cs="Arial"/>
        </w:rPr>
        <w:t xml:space="preserve"> gospodarki. To zwraca uwagę także na warunki niezbędne do działania infrastruktury, która stoi za takimi rozwiązaniami.</w:t>
      </w:r>
      <w:r w:rsidR="0086747A" w:rsidRPr="008A2E27">
        <w:rPr>
          <w:rFonts w:ascii="Arial" w:hAnsi="Arial" w:cs="Arial"/>
        </w:rPr>
        <w:t xml:space="preserve"> O nowych inwestycjach decydują dziś nie tylko dostęp do specjalistów, klientów czy nowoczesnej łączności. Coraz większe znaczenie mają także dostępność mocy oraz możliwość przyłączenia do sieci. </w:t>
      </w:r>
      <w:r w:rsidR="00682094">
        <w:rPr>
          <w:rFonts w:ascii="Arial" w:hAnsi="Arial" w:cs="Arial"/>
        </w:rPr>
        <w:t xml:space="preserve">Zwracają na to uwagę również autorzy </w:t>
      </w:r>
      <w:r w:rsidR="00682094" w:rsidRPr="00682094">
        <w:rPr>
          <w:rFonts w:ascii="Arial" w:hAnsi="Arial" w:cs="Arial"/>
        </w:rPr>
        <w:t>analiz poświęconych rynkowi centrów danych</w:t>
      </w:r>
      <w:r w:rsidR="00682094">
        <w:rPr>
          <w:rStyle w:val="Odwoanieprzypisudolnego"/>
          <w:rFonts w:ascii="Arial" w:hAnsi="Arial" w:cs="Arial"/>
        </w:rPr>
        <w:footnoteReference w:id="4"/>
      </w:r>
      <w:r w:rsidR="009605B1">
        <w:rPr>
          <w:rFonts w:ascii="Arial" w:hAnsi="Arial" w:cs="Arial"/>
        </w:rPr>
        <w:t>.</w:t>
      </w:r>
    </w:p>
    <w:p w14:paraId="3E3D4B68" w14:textId="109293A5" w:rsidR="00D96AE8" w:rsidRPr="00521309" w:rsidRDefault="003804D1" w:rsidP="00250360">
      <w:pPr>
        <w:jc w:val="both"/>
        <w:rPr>
          <w:rFonts w:ascii="Arial" w:hAnsi="Arial" w:cs="Arial"/>
          <w:b/>
          <w:bCs/>
        </w:rPr>
      </w:pPr>
      <w:r w:rsidRPr="003804D1">
        <w:rPr>
          <w:rFonts w:ascii="Arial" w:hAnsi="Arial" w:cs="Arial"/>
        </w:rPr>
        <w:lastRenderedPageBreak/>
        <w:t>Skala projektów realizowanych w tym segmencie pokazuje, że rozwój sztucznej inteligencji i usług opartych na danych jest coraz silniej związany z kwestiami energetycznymi</w:t>
      </w:r>
      <w:r w:rsidR="006410D3" w:rsidRPr="006410D3">
        <w:rPr>
          <w:rFonts w:ascii="Arial" w:hAnsi="Arial" w:cs="Arial"/>
        </w:rPr>
        <w:t xml:space="preserve">. Dla stolicy jest to kolejny sygnał, że </w:t>
      </w:r>
      <w:r w:rsidR="006410D3">
        <w:rPr>
          <w:rFonts w:ascii="Arial" w:hAnsi="Arial" w:cs="Arial"/>
        </w:rPr>
        <w:t xml:space="preserve">jej </w:t>
      </w:r>
      <w:r w:rsidR="006410D3" w:rsidRPr="006410D3">
        <w:rPr>
          <w:rFonts w:ascii="Arial" w:hAnsi="Arial" w:cs="Arial"/>
        </w:rPr>
        <w:t xml:space="preserve">infrastruktura należy do </w:t>
      </w:r>
      <w:r w:rsidR="006410D3">
        <w:rPr>
          <w:rFonts w:ascii="Arial" w:hAnsi="Arial" w:cs="Arial"/>
        </w:rPr>
        <w:t xml:space="preserve">strategicznych </w:t>
      </w:r>
      <w:r w:rsidR="006410D3" w:rsidRPr="006410D3">
        <w:rPr>
          <w:rFonts w:ascii="Arial" w:hAnsi="Arial" w:cs="Arial"/>
        </w:rPr>
        <w:t>elementów wspierających rozwój nowoczesnej gospodarki.</w:t>
      </w:r>
    </w:p>
    <w:sectPr w:rsidR="00D96AE8" w:rsidRPr="0052130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A37B" w14:textId="77777777" w:rsidR="00D40BA3" w:rsidRDefault="00D40BA3" w:rsidP="00FA0186">
      <w:pPr>
        <w:spacing w:after="0" w:line="240" w:lineRule="auto"/>
      </w:pPr>
      <w:r>
        <w:separator/>
      </w:r>
    </w:p>
  </w:endnote>
  <w:endnote w:type="continuationSeparator" w:id="0">
    <w:p w14:paraId="45AF1184" w14:textId="77777777" w:rsidR="00D40BA3" w:rsidRDefault="00D40BA3" w:rsidP="00FA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97A2" w14:textId="77777777" w:rsidR="00D40BA3" w:rsidRDefault="00D40BA3" w:rsidP="00FA0186">
      <w:pPr>
        <w:spacing w:after="0" w:line="240" w:lineRule="auto"/>
      </w:pPr>
      <w:r>
        <w:separator/>
      </w:r>
    </w:p>
  </w:footnote>
  <w:footnote w:type="continuationSeparator" w:id="0">
    <w:p w14:paraId="1E41E222" w14:textId="77777777" w:rsidR="00D40BA3" w:rsidRDefault="00D40BA3" w:rsidP="00FA0186">
      <w:pPr>
        <w:spacing w:after="0" w:line="240" w:lineRule="auto"/>
      </w:pPr>
      <w:r>
        <w:continuationSeparator/>
      </w:r>
    </w:p>
  </w:footnote>
  <w:footnote w:id="1">
    <w:p w14:paraId="69619460" w14:textId="50980584" w:rsidR="008A2E27" w:rsidRPr="00D275C1" w:rsidRDefault="008A2E27">
      <w:pPr>
        <w:pStyle w:val="Tekstprzypisudolnego"/>
        <w:rPr>
          <w:rFonts w:ascii="Arial" w:hAnsi="Arial" w:cs="Arial"/>
          <w:lang w:val="en-US"/>
        </w:rPr>
      </w:pPr>
      <w:r w:rsidRPr="007D43FA">
        <w:rPr>
          <w:rStyle w:val="Odwoanieprzypisudolnego"/>
          <w:rFonts w:ascii="Arial" w:hAnsi="Arial" w:cs="Arial"/>
        </w:rPr>
        <w:footnoteRef/>
      </w:r>
      <w:r w:rsidRPr="007D43FA">
        <w:rPr>
          <w:rFonts w:ascii="Arial" w:hAnsi="Arial" w:cs="Arial"/>
          <w:lang w:val="en-US"/>
        </w:rPr>
        <w:t xml:space="preserve"> </w:t>
      </w:r>
      <w:hyperlink r:id="rId1" w:tooltip="Cushman &amp; Wakefield, EMEA Data Centre MarketBeat H2 2025, 2026." w:history="1">
        <w:r w:rsidRPr="00D275C1">
          <w:rPr>
            <w:rStyle w:val="Hipercze"/>
            <w:rFonts w:ascii="Arial" w:hAnsi="Arial" w:cs="Arial"/>
            <w:lang w:val="en-US"/>
          </w:rPr>
          <w:t xml:space="preserve">Cushman &amp; Wakefield, </w:t>
        </w:r>
        <w:r w:rsidRPr="00D275C1">
          <w:rPr>
            <w:rStyle w:val="Hipercze"/>
            <w:rFonts w:ascii="Arial" w:hAnsi="Arial" w:cs="Arial"/>
            <w:i/>
            <w:iCs/>
            <w:lang w:val="en-US"/>
          </w:rPr>
          <w:t xml:space="preserve">EMEA Data Centre </w:t>
        </w:r>
        <w:proofErr w:type="spellStart"/>
        <w:r w:rsidRPr="00D275C1">
          <w:rPr>
            <w:rStyle w:val="Hipercze"/>
            <w:rFonts w:ascii="Arial" w:hAnsi="Arial" w:cs="Arial"/>
            <w:i/>
            <w:iCs/>
            <w:lang w:val="en-US"/>
          </w:rPr>
          <w:t>MarketBeat</w:t>
        </w:r>
        <w:proofErr w:type="spellEnd"/>
        <w:r w:rsidRPr="00D275C1">
          <w:rPr>
            <w:rStyle w:val="Hipercze"/>
            <w:rFonts w:ascii="Arial" w:hAnsi="Arial" w:cs="Arial"/>
            <w:i/>
            <w:iCs/>
            <w:lang w:val="en-US"/>
          </w:rPr>
          <w:t xml:space="preserve"> H2 2025</w:t>
        </w:r>
        <w:r w:rsidRPr="00D275C1">
          <w:rPr>
            <w:rStyle w:val="Hipercze"/>
            <w:rFonts w:ascii="Arial" w:hAnsi="Arial" w:cs="Arial"/>
            <w:lang w:val="en-US"/>
          </w:rPr>
          <w:t>, 2026.</w:t>
        </w:r>
      </w:hyperlink>
    </w:p>
  </w:footnote>
  <w:footnote w:id="2">
    <w:p w14:paraId="3B25E939" w14:textId="61953442" w:rsidR="008A2E27" w:rsidRPr="00D275C1" w:rsidRDefault="008A2E27">
      <w:pPr>
        <w:pStyle w:val="Tekstprzypisudolnego"/>
        <w:rPr>
          <w:rFonts w:ascii="Arial" w:hAnsi="Arial" w:cs="Arial"/>
          <w:lang w:val="en-US"/>
        </w:rPr>
      </w:pPr>
      <w:r w:rsidRPr="00D275C1">
        <w:rPr>
          <w:rStyle w:val="Odwoanieprzypisudolnego"/>
          <w:rFonts w:ascii="Arial" w:hAnsi="Arial" w:cs="Arial"/>
        </w:rPr>
        <w:footnoteRef/>
      </w:r>
      <w:r w:rsidRPr="00D275C1">
        <w:rPr>
          <w:rFonts w:ascii="Arial" w:hAnsi="Arial" w:cs="Arial"/>
          <w:lang w:val="en-US"/>
        </w:rPr>
        <w:t xml:space="preserve"> </w:t>
      </w:r>
      <w:hyperlink r:id="rId2" w:history="1">
        <w:r w:rsidRPr="00D275C1">
          <w:rPr>
            <w:rStyle w:val="Hipercze"/>
            <w:rFonts w:ascii="Arial" w:hAnsi="Arial" w:cs="Arial"/>
            <w:lang w:val="en-US"/>
          </w:rPr>
          <w:t xml:space="preserve">International Energy Agency (IEA), </w:t>
        </w:r>
        <w:r w:rsidRPr="00D275C1">
          <w:rPr>
            <w:rStyle w:val="Hipercze"/>
            <w:rFonts w:ascii="Arial" w:hAnsi="Arial" w:cs="Arial"/>
            <w:i/>
            <w:iCs/>
            <w:lang w:val="en-US"/>
          </w:rPr>
          <w:t>Energy and AI</w:t>
        </w:r>
        <w:r w:rsidRPr="00D275C1">
          <w:rPr>
            <w:rStyle w:val="Hipercze"/>
            <w:rFonts w:ascii="Arial" w:hAnsi="Arial" w:cs="Arial"/>
            <w:lang w:val="en-US"/>
          </w:rPr>
          <w:t>, 2025.</w:t>
        </w:r>
      </w:hyperlink>
    </w:p>
  </w:footnote>
  <w:footnote w:id="3">
    <w:p w14:paraId="0F1C344E" w14:textId="07B4C093" w:rsidR="008A2E27" w:rsidRPr="00D275C1" w:rsidRDefault="008A2E27">
      <w:pPr>
        <w:pStyle w:val="Tekstprzypisudolnego"/>
        <w:rPr>
          <w:rFonts w:ascii="Arial" w:hAnsi="Arial" w:cs="Arial"/>
          <w:lang w:val="en-US"/>
        </w:rPr>
      </w:pPr>
      <w:r w:rsidRPr="00D275C1">
        <w:rPr>
          <w:rStyle w:val="Odwoanieprzypisudolnego"/>
          <w:rFonts w:ascii="Arial" w:hAnsi="Arial" w:cs="Arial"/>
        </w:rPr>
        <w:footnoteRef/>
      </w:r>
      <w:r w:rsidRPr="00D275C1">
        <w:rPr>
          <w:rFonts w:ascii="Arial" w:hAnsi="Arial" w:cs="Arial"/>
          <w:lang w:val="en-US"/>
        </w:rPr>
        <w:t xml:space="preserve"> </w:t>
      </w:r>
      <w:hyperlink r:id="rId3" w:history="1">
        <w:r w:rsidR="00C71FB3" w:rsidRPr="00D275C1">
          <w:rPr>
            <w:rStyle w:val="Hipercze"/>
            <w:rFonts w:ascii="Arial" w:hAnsi="Arial" w:cs="Arial"/>
            <w:lang w:val="en-US"/>
          </w:rPr>
          <w:t>International Energy Agency (IEA), Key Questions on Energy and AI, 2026</w:t>
        </w:r>
      </w:hyperlink>
    </w:p>
  </w:footnote>
  <w:footnote w:id="4">
    <w:p w14:paraId="7D0071EE" w14:textId="1126763E" w:rsidR="00682094" w:rsidRPr="00682094" w:rsidRDefault="00682094">
      <w:pPr>
        <w:pStyle w:val="Tekstprzypisudolnego"/>
        <w:rPr>
          <w:lang w:val="en-US"/>
        </w:rPr>
      </w:pPr>
      <w:r w:rsidRPr="00D275C1">
        <w:rPr>
          <w:rStyle w:val="Odwoanieprzypisudolnego"/>
          <w:rFonts w:ascii="Arial" w:hAnsi="Arial" w:cs="Arial"/>
        </w:rPr>
        <w:footnoteRef/>
      </w:r>
      <w:r w:rsidRPr="00D275C1">
        <w:rPr>
          <w:rFonts w:ascii="Arial" w:hAnsi="Arial" w:cs="Arial"/>
          <w:lang w:val="en-US"/>
        </w:rPr>
        <w:t xml:space="preserve"> </w:t>
      </w:r>
      <w:hyperlink r:id="rId4" w:history="1">
        <w:r w:rsidR="007D43FA" w:rsidRPr="00D275C1">
          <w:rPr>
            <w:rStyle w:val="Hipercze"/>
            <w:rFonts w:ascii="Arial" w:hAnsi="Arial" w:cs="Arial"/>
            <w:lang w:val="en-US"/>
          </w:rPr>
          <w:t xml:space="preserve">CBRE, </w:t>
        </w:r>
        <w:r w:rsidR="007D43FA" w:rsidRPr="00D275C1">
          <w:rPr>
            <w:rStyle w:val="Hipercze"/>
            <w:rFonts w:ascii="Arial" w:hAnsi="Arial" w:cs="Arial"/>
            <w:i/>
            <w:iCs/>
            <w:lang w:val="en-US"/>
          </w:rPr>
          <w:t xml:space="preserve">European Data </w:t>
        </w:r>
        <w:proofErr w:type="spellStart"/>
        <w:r w:rsidR="007D43FA" w:rsidRPr="00D275C1">
          <w:rPr>
            <w:rStyle w:val="Hipercze"/>
            <w:rFonts w:ascii="Arial" w:hAnsi="Arial" w:cs="Arial"/>
            <w:i/>
            <w:iCs/>
            <w:lang w:val="en-US"/>
          </w:rPr>
          <w:t>Centres</w:t>
        </w:r>
        <w:proofErr w:type="spellEnd"/>
        <w:r w:rsidR="007D43FA" w:rsidRPr="00D275C1">
          <w:rPr>
            <w:rStyle w:val="Hipercze"/>
            <w:rFonts w:ascii="Arial" w:hAnsi="Arial" w:cs="Arial"/>
            <w:i/>
            <w:iCs/>
            <w:lang w:val="en-US"/>
          </w:rPr>
          <w:t xml:space="preserve"> Outlook 2026</w:t>
        </w:r>
        <w:r w:rsidR="007D43FA" w:rsidRPr="00D275C1">
          <w:rPr>
            <w:rStyle w:val="Hipercze"/>
            <w:rFonts w:ascii="Arial" w:hAnsi="Arial" w:cs="Arial"/>
            <w:lang w:val="en-US"/>
          </w:rPr>
          <w:t>, 2026.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606E" w14:textId="1D021209" w:rsidR="00FA0186" w:rsidRDefault="00FA0186">
    <w:pPr>
      <w:pStyle w:val="Nagwek"/>
    </w:pPr>
    <w:r>
      <w:rPr>
        <w:noProof/>
        <w:color w:val="000000"/>
      </w:rPr>
      <w:drawing>
        <wp:inline distT="0" distB="0" distL="0" distR="0" wp14:anchorId="737A9C23" wp14:editId="41C4E5BF">
          <wp:extent cx="1623726" cy="319114"/>
          <wp:effectExtent l="0" t="0" r="0" b="0"/>
          <wp:docPr id="5" name="Obraz 5">
            <a:extLst xmlns:a="http://schemas.openxmlformats.org/drawingml/2006/main">
              <a:ext uri="{FF2B5EF4-FFF2-40B4-BE49-F238E27FC236}">
                <a16:creationId xmlns:a16="http://schemas.microsoft.com/office/drawing/2014/main" id="{8D6CC45D-3AB5-491D-8A81-41D10FC232F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726" cy="3191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E65E6"/>
    <w:multiLevelType w:val="multilevel"/>
    <w:tmpl w:val="E76C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C6C42"/>
    <w:multiLevelType w:val="multilevel"/>
    <w:tmpl w:val="CAC6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67B1E"/>
    <w:multiLevelType w:val="multilevel"/>
    <w:tmpl w:val="1B8C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16642"/>
    <w:multiLevelType w:val="multilevel"/>
    <w:tmpl w:val="7CCC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857880">
    <w:abstractNumId w:val="1"/>
  </w:num>
  <w:num w:numId="2" w16cid:durableId="1543710529">
    <w:abstractNumId w:val="3"/>
  </w:num>
  <w:num w:numId="3" w16cid:durableId="926305586">
    <w:abstractNumId w:val="0"/>
  </w:num>
  <w:num w:numId="4" w16cid:durableId="1604339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60"/>
    <w:rsid w:val="00010F42"/>
    <w:rsid w:val="00035BA8"/>
    <w:rsid w:val="00050B8F"/>
    <w:rsid w:val="00057501"/>
    <w:rsid w:val="00087B49"/>
    <w:rsid w:val="00097623"/>
    <w:rsid w:val="000B239C"/>
    <w:rsid w:val="000C4C15"/>
    <w:rsid w:val="000C68A6"/>
    <w:rsid w:val="000D60CD"/>
    <w:rsid w:val="000D6690"/>
    <w:rsid w:val="00110EB0"/>
    <w:rsid w:val="0013006D"/>
    <w:rsid w:val="0014379F"/>
    <w:rsid w:val="0015232B"/>
    <w:rsid w:val="001547F3"/>
    <w:rsid w:val="001625C1"/>
    <w:rsid w:val="0016746C"/>
    <w:rsid w:val="00182C9D"/>
    <w:rsid w:val="00184905"/>
    <w:rsid w:val="00192F37"/>
    <w:rsid w:val="00193547"/>
    <w:rsid w:val="001961EE"/>
    <w:rsid w:val="0019733F"/>
    <w:rsid w:val="001A053C"/>
    <w:rsid w:val="001A1EBA"/>
    <w:rsid w:val="001B237E"/>
    <w:rsid w:val="001E2B3B"/>
    <w:rsid w:val="001E5163"/>
    <w:rsid w:val="001E69B4"/>
    <w:rsid w:val="001E74C4"/>
    <w:rsid w:val="001F7C77"/>
    <w:rsid w:val="00205D79"/>
    <w:rsid w:val="00206E30"/>
    <w:rsid w:val="00207CD5"/>
    <w:rsid w:val="00213C34"/>
    <w:rsid w:val="00216719"/>
    <w:rsid w:val="002227B3"/>
    <w:rsid w:val="002268F2"/>
    <w:rsid w:val="00234C99"/>
    <w:rsid w:val="00236BF6"/>
    <w:rsid w:val="00242479"/>
    <w:rsid w:val="00244973"/>
    <w:rsid w:val="00250360"/>
    <w:rsid w:val="00250987"/>
    <w:rsid w:val="00256CA9"/>
    <w:rsid w:val="00284B31"/>
    <w:rsid w:val="002A7028"/>
    <w:rsid w:val="002B03DA"/>
    <w:rsid w:val="002C03DC"/>
    <w:rsid w:val="002D317D"/>
    <w:rsid w:val="002E2893"/>
    <w:rsid w:val="002E3228"/>
    <w:rsid w:val="002E4E5E"/>
    <w:rsid w:val="002E6FAB"/>
    <w:rsid w:val="003141EB"/>
    <w:rsid w:val="003441F9"/>
    <w:rsid w:val="00345EA6"/>
    <w:rsid w:val="00352B3E"/>
    <w:rsid w:val="003668AB"/>
    <w:rsid w:val="0037182A"/>
    <w:rsid w:val="003804D1"/>
    <w:rsid w:val="00380A14"/>
    <w:rsid w:val="00390193"/>
    <w:rsid w:val="003A5B78"/>
    <w:rsid w:val="003C23C1"/>
    <w:rsid w:val="003D0C90"/>
    <w:rsid w:val="003D5B4F"/>
    <w:rsid w:val="003D66BE"/>
    <w:rsid w:val="003D66D9"/>
    <w:rsid w:val="003E160C"/>
    <w:rsid w:val="003E71E9"/>
    <w:rsid w:val="003F76F3"/>
    <w:rsid w:val="0040018F"/>
    <w:rsid w:val="00400CE3"/>
    <w:rsid w:val="004036DD"/>
    <w:rsid w:val="00403E90"/>
    <w:rsid w:val="00417ED3"/>
    <w:rsid w:val="004220A5"/>
    <w:rsid w:val="00430C63"/>
    <w:rsid w:val="00445FE1"/>
    <w:rsid w:val="00446F6B"/>
    <w:rsid w:val="00454A91"/>
    <w:rsid w:val="00454F28"/>
    <w:rsid w:val="00485E92"/>
    <w:rsid w:val="00493988"/>
    <w:rsid w:val="004960F2"/>
    <w:rsid w:val="004A5435"/>
    <w:rsid w:val="004A6295"/>
    <w:rsid w:val="004C289F"/>
    <w:rsid w:val="004C5350"/>
    <w:rsid w:val="004D22FC"/>
    <w:rsid w:val="004D2AC5"/>
    <w:rsid w:val="004D40E2"/>
    <w:rsid w:val="004E34A1"/>
    <w:rsid w:val="004F3612"/>
    <w:rsid w:val="004F6D2B"/>
    <w:rsid w:val="00510FEF"/>
    <w:rsid w:val="0051747D"/>
    <w:rsid w:val="00521309"/>
    <w:rsid w:val="005356D3"/>
    <w:rsid w:val="00550430"/>
    <w:rsid w:val="005534F2"/>
    <w:rsid w:val="00556FAD"/>
    <w:rsid w:val="0056044B"/>
    <w:rsid w:val="005712A8"/>
    <w:rsid w:val="00582586"/>
    <w:rsid w:val="00591E6E"/>
    <w:rsid w:val="005B3192"/>
    <w:rsid w:val="005D7A99"/>
    <w:rsid w:val="005F51AD"/>
    <w:rsid w:val="005F7F2B"/>
    <w:rsid w:val="00600A9C"/>
    <w:rsid w:val="00610567"/>
    <w:rsid w:val="00622A92"/>
    <w:rsid w:val="00632022"/>
    <w:rsid w:val="006410D3"/>
    <w:rsid w:val="00641E3F"/>
    <w:rsid w:val="00661350"/>
    <w:rsid w:val="00682094"/>
    <w:rsid w:val="00691D73"/>
    <w:rsid w:val="006936A7"/>
    <w:rsid w:val="006A3D0E"/>
    <w:rsid w:val="006C749B"/>
    <w:rsid w:val="00702F7D"/>
    <w:rsid w:val="007059AE"/>
    <w:rsid w:val="00707241"/>
    <w:rsid w:val="007201AB"/>
    <w:rsid w:val="00737871"/>
    <w:rsid w:val="00746781"/>
    <w:rsid w:val="00754C5D"/>
    <w:rsid w:val="00755D95"/>
    <w:rsid w:val="00767B60"/>
    <w:rsid w:val="00772B7C"/>
    <w:rsid w:val="00774F44"/>
    <w:rsid w:val="00780E5C"/>
    <w:rsid w:val="00790E28"/>
    <w:rsid w:val="007A329A"/>
    <w:rsid w:val="007A6FE0"/>
    <w:rsid w:val="007B1B5C"/>
    <w:rsid w:val="007C2385"/>
    <w:rsid w:val="007C285D"/>
    <w:rsid w:val="007C297E"/>
    <w:rsid w:val="007C3367"/>
    <w:rsid w:val="007D01FC"/>
    <w:rsid w:val="007D43FA"/>
    <w:rsid w:val="007E506B"/>
    <w:rsid w:val="007E5793"/>
    <w:rsid w:val="008043C9"/>
    <w:rsid w:val="0081268E"/>
    <w:rsid w:val="008237F5"/>
    <w:rsid w:val="008241A6"/>
    <w:rsid w:val="008406F0"/>
    <w:rsid w:val="00845A3B"/>
    <w:rsid w:val="00847F4C"/>
    <w:rsid w:val="00851770"/>
    <w:rsid w:val="008624E0"/>
    <w:rsid w:val="0086747A"/>
    <w:rsid w:val="00871363"/>
    <w:rsid w:val="00873FB0"/>
    <w:rsid w:val="008816CA"/>
    <w:rsid w:val="00881F37"/>
    <w:rsid w:val="0088567C"/>
    <w:rsid w:val="008862BA"/>
    <w:rsid w:val="008879B9"/>
    <w:rsid w:val="008912DD"/>
    <w:rsid w:val="0089448F"/>
    <w:rsid w:val="008A2E27"/>
    <w:rsid w:val="008B0AB2"/>
    <w:rsid w:val="008B42E5"/>
    <w:rsid w:val="008D1635"/>
    <w:rsid w:val="008D40DE"/>
    <w:rsid w:val="008E2C8B"/>
    <w:rsid w:val="009140BD"/>
    <w:rsid w:val="00920D3C"/>
    <w:rsid w:val="00922041"/>
    <w:rsid w:val="0092587B"/>
    <w:rsid w:val="00926522"/>
    <w:rsid w:val="00936284"/>
    <w:rsid w:val="009421AA"/>
    <w:rsid w:val="00943813"/>
    <w:rsid w:val="009458A4"/>
    <w:rsid w:val="009605B1"/>
    <w:rsid w:val="009624CA"/>
    <w:rsid w:val="0098069B"/>
    <w:rsid w:val="009968B3"/>
    <w:rsid w:val="009973AC"/>
    <w:rsid w:val="009A3CA9"/>
    <w:rsid w:val="009A4DB8"/>
    <w:rsid w:val="009A6832"/>
    <w:rsid w:val="009B3932"/>
    <w:rsid w:val="009B464D"/>
    <w:rsid w:val="009B6D08"/>
    <w:rsid w:val="009B75F1"/>
    <w:rsid w:val="009C41A7"/>
    <w:rsid w:val="009C4FD4"/>
    <w:rsid w:val="009E18CC"/>
    <w:rsid w:val="009E5631"/>
    <w:rsid w:val="00A04B58"/>
    <w:rsid w:val="00A04F2C"/>
    <w:rsid w:val="00A0551F"/>
    <w:rsid w:val="00A12992"/>
    <w:rsid w:val="00A1337B"/>
    <w:rsid w:val="00A13DB4"/>
    <w:rsid w:val="00A21A61"/>
    <w:rsid w:val="00A23E27"/>
    <w:rsid w:val="00A27A61"/>
    <w:rsid w:val="00A3016C"/>
    <w:rsid w:val="00A44907"/>
    <w:rsid w:val="00A5259E"/>
    <w:rsid w:val="00A65FF6"/>
    <w:rsid w:val="00A6607C"/>
    <w:rsid w:val="00A729F1"/>
    <w:rsid w:val="00A74B40"/>
    <w:rsid w:val="00A8735B"/>
    <w:rsid w:val="00A90FA7"/>
    <w:rsid w:val="00AA64F3"/>
    <w:rsid w:val="00AB0BA3"/>
    <w:rsid w:val="00AE23CE"/>
    <w:rsid w:val="00AF36E8"/>
    <w:rsid w:val="00B013C3"/>
    <w:rsid w:val="00B01B66"/>
    <w:rsid w:val="00B178E5"/>
    <w:rsid w:val="00B300C3"/>
    <w:rsid w:val="00B31C39"/>
    <w:rsid w:val="00B3579F"/>
    <w:rsid w:val="00B37151"/>
    <w:rsid w:val="00B43481"/>
    <w:rsid w:val="00B4668F"/>
    <w:rsid w:val="00B500C4"/>
    <w:rsid w:val="00B5623B"/>
    <w:rsid w:val="00B77556"/>
    <w:rsid w:val="00B90489"/>
    <w:rsid w:val="00B9309E"/>
    <w:rsid w:val="00B96E39"/>
    <w:rsid w:val="00BA3878"/>
    <w:rsid w:val="00BB1E04"/>
    <w:rsid w:val="00BB7DF0"/>
    <w:rsid w:val="00BC1167"/>
    <w:rsid w:val="00BC46FA"/>
    <w:rsid w:val="00BC5B6F"/>
    <w:rsid w:val="00BC6EEF"/>
    <w:rsid w:val="00BE491F"/>
    <w:rsid w:val="00BE6932"/>
    <w:rsid w:val="00C25472"/>
    <w:rsid w:val="00C31064"/>
    <w:rsid w:val="00C416CE"/>
    <w:rsid w:val="00C51D4C"/>
    <w:rsid w:val="00C5281A"/>
    <w:rsid w:val="00C5737E"/>
    <w:rsid w:val="00C70868"/>
    <w:rsid w:val="00C71FB3"/>
    <w:rsid w:val="00C740EE"/>
    <w:rsid w:val="00C74FB7"/>
    <w:rsid w:val="00CA0839"/>
    <w:rsid w:val="00CA4996"/>
    <w:rsid w:val="00CB198C"/>
    <w:rsid w:val="00CB5251"/>
    <w:rsid w:val="00CC503B"/>
    <w:rsid w:val="00CC6A38"/>
    <w:rsid w:val="00CC7459"/>
    <w:rsid w:val="00CC758B"/>
    <w:rsid w:val="00CF275B"/>
    <w:rsid w:val="00D11138"/>
    <w:rsid w:val="00D26AA0"/>
    <w:rsid w:val="00D275C1"/>
    <w:rsid w:val="00D35DB2"/>
    <w:rsid w:val="00D40BA3"/>
    <w:rsid w:val="00D43A34"/>
    <w:rsid w:val="00D513F2"/>
    <w:rsid w:val="00D63319"/>
    <w:rsid w:val="00D72071"/>
    <w:rsid w:val="00D803C1"/>
    <w:rsid w:val="00D8126D"/>
    <w:rsid w:val="00D8611A"/>
    <w:rsid w:val="00D95247"/>
    <w:rsid w:val="00D96AE8"/>
    <w:rsid w:val="00DB0DFC"/>
    <w:rsid w:val="00DB4451"/>
    <w:rsid w:val="00DC2917"/>
    <w:rsid w:val="00DC4F15"/>
    <w:rsid w:val="00DD52D0"/>
    <w:rsid w:val="00DE6C53"/>
    <w:rsid w:val="00E10C6A"/>
    <w:rsid w:val="00E20D6B"/>
    <w:rsid w:val="00E3615C"/>
    <w:rsid w:val="00E369FE"/>
    <w:rsid w:val="00E43B2D"/>
    <w:rsid w:val="00E43FEF"/>
    <w:rsid w:val="00E445B5"/>
    <w:rsid w:val="00E45FF3"/>
    <w:rsid w:val="00E63A91"/>
    <w:rsid w:val="00E71850"/>
    <w:rsid w:val="00E81889"/>
    <w:rsid w:val="00E9332A"/>
    <w:rsid w:val="00EA5F3F"/>
    <w:rsid w:val="00EC3094"/>
    <w:rsid w:val="00EC5AF1"/>
    <w:rsid w:val="00EC6299"/>
    <w:rsid w:val="00ED2A47"/>
    <w:rsid w:val="00EF184B"/>
    <w:rsid w:val="00EF278C"/>
    <w:rsid w:val="00EF2C69"/>
    <w:rsid w:val="00EF64DA"/>
    <w:rsid w:val="00F00B99"/>
    <w:rsid w:val="00F05915"/>
    <w:rsid w:val="00F07F60"/>
    <w:rsid w:val="00F338BA"/>
    <w:rsid w:val="00F40D41"/>
    <w:rsid w:val="00F52684"/>
    <w:rsid w:val="00F52D77"/>
    <w:rsid w:val="00F80DFD"/>
    <w:rsid w:val="00F822BA"/>
    <w:rsid w:val="00F92E1F"/>
    <w:rsid w:val="00F949A6"/>
    <w:rsid w:val="00F972E0"/>
    <w:rsid w:val="00FA0186"/>
    <w:rsid w:val="00FA3A2F"/>
    <w:rsid w:val="00FA6D17"/>
    <w:rsid w:val="00FA6FD3"/>
    <w:rsid w:val="00FB5C3C"/>
    <w:rsid w:val="00FD08D3"/>
    <w:rsid w:val="00FE1220"/>
    <w:rsid w:val="00FF12F7"/>
    <w:rsid w:val="305687E3"/>
    <w:rsid w:val="33164795"/>
    <w:rsid w:val="3748EFEF"/>
    <w:rsid w:val="4A3F0371"/>
    <w:rsid w:val="5A520C6D"/>
    <w:rsid w:val="5BE99D17"/>
    <w:rsid w:val="6169107A"/>
    <w:rsid w:val="68029ECF"/>
    <w:rsid w:val="7846D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6AD1"/>
  <w15:chartTrackingRefBased/>
  <w15:docId w15:val="{BF5D29EB-A037-423F-A2E2-0C583716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3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3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3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3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3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3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3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3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3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3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360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EF64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64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64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4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4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4D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186"/>
  </w:style>
  <w:style w:type="paragraph" w:styleId="Stopka">
    <w:name w:val="footer"/>
    <w:basedOn w:val="Normalny"/>
    <w:link w:val="StopkaZnak"/>
    <w:uiPriority w:val="99"/>
    <w:unhideWhenUsed/>
    <w:rsid w:val="00FA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18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62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62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62B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6747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747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49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ea.blob.core.windows.net/assets/3179f7f8-01f6-4dd6-bffa-c9f7b73f1dc9/KeyQuestionsonEnergyandAI.pdf" TargetMode="External"/><Relationship Id="rId2" Type="http://schemas.openxmlformats.org/officeDocument/2006/relationships/hyperlink" Target="https://www.iea.org/reports/energy-and-ai" TargetMode="External"/><Relationship Id="rId1" Type="http://schemas.openxmlformats.org/officeDocument/2006/relationships/hyperlink" Target="https://digital.cushmanwakefield.com/emeadatacentreupdateh22025-02-2026-emea-regional-en-content-datacentres/" TargetMode="External"/><Relationship Id="rId4" Type="http://schemas.openxmlformats.org/officeDocument/2006/relationships/hyperlink" Target="https://www.cbre.pl/insights/books/european-real-estate-market-outlook-2026/data-cent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DB95D3A81CC4B9D0A6E3C8F3AB5D0" ma:contentTypeVersion="16" ma:contentTypeDescription="Utwórz nowy dokument." ma:contentTypeScope="" ma:versionID="7b7971f1c6b511d2e67578d4524a4f6e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26a8a7b0b3f54681e165364dc154cc16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A7296-80E5-45EA-A252-E733778DD419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customXml/itemProps2.xml><?xml version="1.0" encoding="utf-8"?>
<ds:datastoreItem xmlns:ds="http://schemas.openxmlformats.org/officeDocument/2006/customXml" ds:itemID="{39AC19EF-D9FB-4D79-9F34-09347124C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DF3BB-D87B-476E-9EDD-4F54AF249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14ADA-60AF-44C6-9DE8-FC85309392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2879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Wojdak</dc:creator>
  <cp:keywords/>
  <dc:description/>
  <cp:lastModifiedBy>Monika Wojdak</cp:lastModifiedBy>
  <cp:revision>3</cp:revision>
  <dcterms:created xsi:type="dcterms:W3CDTF">2026-07-22T09:39:00Z</dcterms:created>
  <dcterms:modified xsi:type="dcterms:W3CDTF">2026-07-22T09:43:00Z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0x01010052EDB95D3A81CC4B9D0A6E3C8F3AB5D0</vt:lpwstr>
  </property>
</Properties>
</file>