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CC9E6" w14:textId="77777777" w:rsidR="00865AA0" w:rsidRPr="00865AA0" w:rsidRDefault="00865AA0" w:rsidP="00865AA0">
      <w:pPr>
        <w:spacing w:after="0" w:line="300" w:lineRule="atLeast"/>
      </w:pPr>
      <w:r w:rsidRPr="00865AA0">
        <w:t xml:space="preserve">Pierwsze półrocze 2026 r. przyniosło wyraźne ożywienie na rynku kredytów dla </w:t>
      </w:r>
      <w:proofErr w:type="spellStart"/>
      <w:r w:rsidRPr="00865AA0">
        <w:t>mikroprzedsiębiorców</w:t>
      </w:r>
      <w:proofErr w:type="spellEnd"/>
      <w:r w:rsidRPr="00865AA0">
        <w:t>. Banki udzieliły więcej kredytów niż rok wcześniej (+7,4%), a ich wartość wzrosła o 16,4%, przy utrzymaniu dobrej jakości portfela kredytowego. Dodatnią dynamikę sprzedaży odnotowano we wszystkich analizowanych sektorach, a najszybciej rosła liczba kredytów dla firm handlowych (+9,1%) i budowlanych (+7,9%). W ujęciu wartościowym wyróżnił się handel (+22,4%) oraz produkcja (+15,5%).</w:t>
      </w:r>
    </w:p>
    <w:p w14:paraId="76AD6F19" w14:textId="77777777" w:rsidR="00865AA0" w:rsidRPr="00865AA0" w:rsidRDefault="00865AA0" w:rsidP="00555166"/>
    <w:p w14:paraId="3F8DD56A" w14:textId="6BB0BF72" w:rsidR="00555166" w:rsidRPr="00555166" w:rsidRDefault="00555166" w:rsidP="00555166">
      <w:pPr>
        <w:rPr>
          <w:b/>
          <w:bCs/>
        </w:rPr>
      </w:pPr>
      <w:r w:rsidRPr="00555166">
        <w:rPr>
          <w:b/>
          <w:bCs/>
        </w:rPr>
        <w:t xml:space="preserve">Sprzedaż kredytów dla </w:t>
      </w:r>
      <w:proofErr w:type="spellStart"/>
      <w:r w:rsidRPr="00555166">
        <w:rPr>
          <w:b/>
          <w:bCs/>
        </w:rPr>
        <w:t>mikroprzedsiębiorców</w:t>
      </w:r>
      <w:proofErr w:type="spellEnd"/>
      <w:r w:rsidRPr="00555166">
        <w:rPr>
          <w:b/>
          <w:bCs/>
        </w:rPr>
        <w:t xml:space="preserve"> według produktów kredytowych</w:t>
      </w:r>
      <w:r>
        <w:rPr>
          <w:b/>
          <w:bCs/>
        </w:rPr>
        <w:t xml:space="preserve"> – ujęcie produktowe </w:t>
      </w:r>
    </w:p>
    <w:p w14:paraId="1B843B5A" w14:textId="7D6FB4EF" w:rsidR="0043004B" w:rsidRDefault="00555166" w:rsidP="00555166">
      <w:r w:rsidRPr="00555166">
        <w:t xml:space="preserve">W całym pierwszym półroczu 2026 r. w porównaniu do analogicznego okresu zeszłego roku, banki udzieliły więcej kredytów dla </w:t>
      </w:r>
      <w:proofErr w:type="spellStart"/>
      <w:r w:rsidRPr="00555166">
        <w:t>mikroprzedsiębiorców</w:t>
      </w:r>
      <w:proofErr w:type="spellEnd"/>
      <w:r w:rsidRPr="00555166">
        <w:t xml:space="preserve"> niż rok</w:t>
      </w:r>
      <w:r>
        <w:t xml:space="preserve"> </w:t>
      </w:r>
      <w:r w:rsidRPr="00555166">
        <w:t>temu (+7,4%) i na wyższą kwotę (+16,4%). Jako jedyne ujemną dynamikę w tym okresie, ale tylko w ujęciu liczbowym, odnotowały kredyty inwestycyjne (-16,9%).</w:t>
      </w:r>
      <w:r>
        <w:t xml:space="preserve"> </w:t>
      </w:r>
      <w:r w:rsidRPr="00555166">
        <w:t>Natomiast w ujęciu wartościowym odnotowano dodatnią dynamikę (+12,1%), co wskazuje, że kredyty inwestycyjne zaciągane w pierwszym półroczu 2026 r.</w:t>
      </w:r>
      <w:r>
        <w:t xml:space="preserve"> </w:t>
      </w:r>
      <w:r w:rsidRPr="00555166">
        <w:t>były udzielane na wyższe kwoty. Dodatnią dynamikę zarówno w ujęciu liczbowym, jak i wartościowym odnotowały oba rodzaje kredytów finansujących bieżącą</w:t>
      </w:r>
      <w:r>
        <w:t xml:space="preserve"> </w:t>
      </w:r>
      <w:r w:rsidRPr="00555166">
        <w:t>działalność: kredyty obrotowe – odpowiednio (+13,2%) i (+19,8%) oraz kredyty w rachunku bieżącym (+5,3%) i (+13,1%).</w:t>
      </w:r>
    </w:p>
    <w:p w14:paraId="6A089563" w14:textId="58E2BB6D" w:rsidR="00555166" w:rsidRPr="00555166" w:rsidRDefault="00555166" w:rsidP="00555166">
      <w:pPr>
        <w:rPr>
          <w:b/>
          <w:bCs/>
        </w:rPr>
      </w:pPr>
      <w:r w:rsidRPr="00555166">
        <w:rPr>
          <w:b/>
          <w:bCs/>
        </w:rPr>
        <w:t>Jakoś</w:t>
      </w:r>
      <w:r w:rsidRPr="00555166">
        <w:rPr>
          <w:b/>
          <w:bCs/>
        </w:rPr>
        <w:t>ć</w:t>
      </w:r>
      <w:r w:rsidRPr="00555166">
        <w:rPr>
          <w:b/>
          <w:bCs/>
        </w:rPr>
        <w:t xml:space="preserve"> Portfeli Kredytów dla </w:t>
      </w:r>
      <w:proofErr w:type="spellStart"/>
      <w:r w:rsidRPr="00555166">
        <w:rPr>
          <w:b/>
          <w:bCs/>
        </w:rPr>
        <w:t>mikroprzedsiębiorców</w:t>
      </w:r>
      <w:proofErr w:type="spellEnd"/>
      <w:r w:rsidRPr="00555166">
        <w:rPr>
          <w:b/>
          <w:bCs/>
        </w:rPr>
        <w:t xml:space="preserve"> według produktów kredytowych</w:t>
      </w:r>
    </w:p>
    <w:p w14:paraId="0052F9C6" w14:textId="4D65956E" w:rsidR="00555166" w:rsidRDefault="00555166" w:rsidP="00555166">
      <w:r>
        <w:t xml:space="preserve">Czerwcowy odczyt Indeksu jakości kredytów dla </w:t>
      </w:r>
      <w:proofErr w:type="spellStart"/>
      <w:r>
        <w:t>mikroprzedsiębiorców</w:t>
      </w:r>
      <w:proofErr w:type="spellEnd"/>
      <w:r>
        <w:t xml:space="preserve"> wyniósł 4,57% w ujęciu wartościowym. Nadal jest on więc na bezpiecznym, akceptowalnym</w:t>
      </w:r>
      <w:r>
        <w:t xml:space="preserve"> </w:t>
      </w:r>
      <w:r>
        <w:t>poziomie. Produktowe Indeksy jakości w czerwcu 2026 r. kształtowały się w ujęciu wartościowym następująco: kredyty inwestycyjne 3,39%, kredyty w rachunku</w:t>
      </w:r>
      <w:r>
        <w:t xml:space="preserve"> </w:t>
      </w:r>
      <w:r>
        <w:t>bieżącym 4,39% oraz kredyty obrotowe 5,78%. W okresie 12 miesięcy, czyli w porównaniu do czerwca 2025 roku, ogólny Indeks polepszył się (spadł) o (-0,83).</w:t>
      </w:r>
    </w:p>
    <w:p w14:paraId="4991F05C" w14:textId="3C2C1F8E" w:rsidR="00555166" w:rsidRDefault="00555166" w:rsidP="00555166">
      <w:r>
        <w:t>W okresie 12-miesięcznym najbardziej polepszył się (spadł) Indeks kredytów obrotowych (-2,16). Polepszył się również Indeks jakości kredytów w rachunku bieżącym</w:t>
      </w:r>
      <w:r>
        <w:t xml:space="preserve"> </w:t>
      </w:r>
      <w:r>
        <w:t>(-0,79). Pogorszeniu uległ Indeks jakości kredytów inwestycyjnych (+0,87).</w:t>
      </w:r>
    </w:p>
    <w:p w14:paraId="318B2EE0" w14:textId="3EB3D9F1" w:rsidR="00555166" w:rsidRPr="00555166" w:rsidRDefault="00555166" w:rsidP="00555166">
      <w:pPr>
        <w:rPr>
          <w:b/>
          <w:bCs/>
        </w:rPr>
      </w:pPr>
      <w:r w:rsidRPr="00555166">
        <w:rPr>
          <w:b/>
          <w:bCs/>
        </w:rPr>
        <w:t xml:space="preserve">Sprzedaż kredytów dla </w:t>
      </w:r>
      <w:proofErr w:type="spellStart"/>
      <w:r w:rsidRPr="00555166">
        <w:rPr>
          <w:b/>
          <w:bCs/>
        </w:rPr>
        <w:t>mikroprzedsiębiorców</w:t>
      </w:r>
      <w:proofErr w:type="spellEnd"/>
      <w:r w:rsidRPr="00555166">
        <w:rPr>
          <w:b/>
          <w:bCs/>
        </w:rPr>
        <w:t xml:space="preserve"> </w:t>
      </w:r>
      <w:r w:rsidRPr="00555166">
        <w:rPr>
          <w:b/>
          <w:bCs/>
        </w:rPr>
        <w:t>- ujęcie sektorowe</w:t>
      </w:r>
    </w:p>
    <w:p w14:paraId="02CCB0D3" w14:textId="77777777" w:rsidR="00555166" w:rsidRDefault="00555166" w:rsidP="00555166">
      <w:r>
        <w:t xml:space="preserve">Na 83,4 tys. kredytów udzielonych </w:t>
      </w:r>
      <w:proofErr w:type="spellStart"/>
      <w:r>
        <w:t>mikroprzedsiębiorcom</w:t>
      </w:r>
      <w:proofErr w:type="spellEnd"/>
      <w:r>
        <w:t xml:space="preserve"> w pierwszym półroczu br., 37,0 tys. zaciągnęły firmy usługowe (44,4%) i 17,8 tys. handlowe (21,3%).</w:t>
      </w:r>
    </w:p>
    <w:p w14:paraId="3020F870" w14:textId="7F254BBE" w:rsidR="00555166" w:rsidRDefault="00555166" w:rsidP="00555166">
      <w:r>
        <w:t>Łącznie 65,7% kredytów udzielonych w pierwszym półroczu br. przypada więc na te dwa sektory. Z całkowitej kwoty 13,6 mld zł, banki udzieliły 4,920 mld zł (36,1%)</w:t>
      </w:r>
      <w:r>
        <w:t xml:space="preserve"> </w:t>
      </w:r>
      <w:proofErr w:type="spellStart"/>
      <w:r>
        <w:t>mikroprzedsiębiorcom</w:t>
      </w:r>
      <w:proofErr w:type="spellEnd"/>
      <w:r>
        <w:t xml:space="preserve"> prowadzącym działalność usługową oraz 3,542 mln zł (26,0%) kredytów przedsiębiorcom z sektora handlu. Finansowanie tych dwóch sektorów</w:t>
      </w:r>
      <w:r>
        <w:t xml:space="preserve"> </w:t>
      </w:r>
      <w:r>
        <w:t xml:space="preserve">w pierwszym półroczu 2026 r. stanowiło 62,1% łącznej wartości udzielonych kredytów </w:t>
      </w:r>
      <w:proofErr w:type="spellStart"/>
      <w:r>
        <w:t>mikroprzedsiębiorcom</w:t>
      </w:r>
      <w:proofErr w:type="spellEnd"/>
      <w:r>
        <w:t>.</w:t>
      </w:r>
    </w:p>
    <w:p w14:paraId="7BE79ED6" w14:textId="77777777" w:rsidR="00555166" w:rsidRDefault="00555166" w:rsidP="00555166">
      <w:r>
        <w:t>W pierwszym półroczu 2026 r. w porównaniu z analogicznym okresem 2025 r. dodatnia dynamika liczby udzielonych kredytów wystąpiła we wszystkich analizowanych</w:t>
      </w:r>
    </w:p>
    <w:p w14:paraId="52FD6749" w14:textId="737E3255" w:rsidR="00555166" w:rsidRDefault="00555166" w:rsidP="00555166">
      <w:r>
        <w:t>sektorach, przy czym najwyższą dynamikę zaobserwowano w handlu (+9,1%) oraz budownictwie (+7,9%). W ujęciu wartościowym dodatnią dynamikę odnotowały</w:t>
      </w:r>
      <w:r>
        <w:t xml:space="preserve"> </w:t>
      </w:r>
      <w:r>
        <w:t>również wszystkie sektory. Najwyższą dynamikę wykazały kredyty firm handlowych (+22,4%) oraz produkcyjnych (+15,5%).</w:t>
      </w:r>
    </w:p>
    <w:p w14:paraId="625D7955" w14:textId="6F98502B" w:rsidR="00555166" w:rsidRPr="00555166" w:rsidRDefault="00555166" w:rsidP="00555166">
      <w:pPr>
        <w:rPr>
          <w:b/>
          <w:bCs/>
        </w:rPr>
      </w:pPr>
      <w:r w:rsidRPr="00555166">
        <w:rPr>
          <w:b/>
          <w:bCs/>
        </w:rPr>
        <w:t>Jakoś</w:t>
      </w:r>
      <w:r w:rsidRPr="00555166">
        <w:rPr>
          <w:b/>
          <w:bCs/>
        </w:rPr>
        <w:t>ć</w:t>
      </w:r>
      <w:r w:rsidRPr="00555166">
        <w:rPr>
          <w:b/>
          <w:bCs/>
        </w:rPr>
        <w:t xml:space="preserve"> Portfeli Kredytów dla </w:t>
      </w:r>
      <w:proofErr w:type="spellStart"/>
      <w:r w:rsidRPr="00555166">
        <w:rPr>
          <w:b/>
          <w:bCs/>
        </w:rPr>
        <w:t>mikroprzedsiębiorców</w:t>
      </w:r>
      <w:proofErr w:type="spellEnd"/>
      <w:r w:rsidRPr="00555166">
        <w:rPr>
          <w:b/>
          <w:bCs/>
        </w:rPr>
        <w:t xml:space="preserve"> według branż</w:t>
      </w:r>
    </w:p>
    <w:p w14:paraId="37048F77" w14:textId="77777777" w:rsidR="00555166" w:rsidRDefault="00555166" w:rsidP="00555166">
      <w:r>
        <w:lastRenderedPageBreak/>
        <w:t>Według odczytów Indeksu Jakości najgorzej (najwyższy poziom wskaźnika) w czerwcu 2026 r. spłacane były kredyty przez firmy budowlane – 5,50% i handlowe 4,64%.</w:t>
      </w:r>
    </w:p>
    <w:p w14:paraId="19960CD5" w14:textId="43900CD6" w:rsidR="00555166" w:rsidRDefault="00555166" w:rsidP="00555166">
      <w:r>
        <w:t>Najlepszy (najniższy) odczyt w czerwcu br. odnotował Indeks Jakości firm z sektora usług i wyniósł on 4,27%. W porównaniu do czerwca 2025 r. Indeks poprawił się</w:t>
      </w:r>
      <w:r>
        <w:t xml:space="preserve"> </w:t>
      </w:r>
      <w:r>
        <w:t>(spadł) w trzech z czterech sektorów, najbardziej w produkcji (-1,75). Wzrósł tylko w budownictwie (+0,11).</w:t>
      </w:r>
    </w:p>
    <w:sectPr w:rsidR="00555166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66980" w14:textId="77777777" w:rsidR="002943E0" w:rsidRDefault="002943E0" w:rsidP="00F736E6">
      <w:pPr>
        <w:spacing w:after="0" w:line="240" w:lineRule="auto"/>
      </w:pPr>
      <w:r>
        <w:separator/>
      </w:r>
    </w:p>
  </w:endnote>
  <w:endnote w:type="continuationSeparator" w:id="0">
    <w:p w14:paraId="2D0EB4CC" w14:textId="77777777" w:rsidR="002943E0" w:rsidRDefault="002943E0" w:rsidP="00F73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20D03" w14:textId="68312B2B" w:rsidR="00F736E6" w:rsidRDefault="00F736E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51EE48" wp14:editId="365B9C71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210310" cy="370205"/>
              <wp:effectExtent l="0" t="0" r="0" b="0"/>
              <wp:wrapNone/>
              <wp:docPr id="654140317" name="Pole tekstowe 2" descr="Informacje Jaw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03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68FA40" w14:textId="55551ADA" w:rsidR="00F736E6" w:rsidRPr="00F736E6" w:rsidRDefault="00F736E6" w:rsidP="00F736E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736E6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Informacje Jawne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51EE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Informacje Jawne" style="position:absolute;margin-left:44.1pt;margin-top:0;width:95.3pt;height:29.15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EI4DwIAABsEAAAOAAAAZHJzL2Uyb0RvYy54bWysU01v2zAMvQ/YfxB0X2ynyz6MOEXWIsOA&#10;oC2QDj3LshQbkERBUmJnv36U7CRbt9Owi0yR9CP5+LS8HbQiR+F8B6aixSynRBgOTWf2Ff3+vHn3&#10;iRIfmGmYAiMqehKe3q7evln2thRzaEE1whEEMb7sbUXbEGyZZZ63QjM/AysMBiU4zQJe3T5rHOsR&#10;Xatsnucfsh5cYx1w4T1678cgXSV8KQUPj1J6EYiqKPYW0unSWcczWy1ZuXfMth2f2mD/0IVmncGi&#10;F6h7Fhg5uO4PKN1xBx5kmHHQGUjZcZFmwGmK/NU0u5ZZkWZBcry90OT/Hyx/OO7skyNh+AIDLjAS&#10;0ltfenTGeQbpdPxipwTjSOHpQpsYAuHxp3mR3xQY4hi7+ZjP80WEya5/W+fDVwGaRKOiDteS2GLH&#10;rQ9j6jklFjOw6ZRKq1HmNwdiRk92bTFaYaiHqe8amhOO42DctLd802HNLfPhiTlcLbaJcg2PeEgF&#10;fUVhsihpwf34mz/mI+MYpaRHqVTUoJYpUd8MbiKq6my4ZMwX7/Mc3XW6FZ/zRbyZg74DVGGBD8Ly&#10;ZKLXBXU2pQP9gmpex2oYYoZjzYrWZ/MujMLF18DFep2SUEWWha3ZWR6hI1mRyefhhTk70R1wUQ9w&#10;FhMrX7E+5sY/vV0fAnKfVhKJHdmc+EYFpqVOryVK/Nd7yrq+6dVPAAAA//8DAFBLAwQUAAYACAAA&#10;ACEAy4VsZN0AAAAEAQAADwAAAGRycy9kb3ducmV2LnhtbEyPzWrDMBCE74W+g9hCL6WR+xOROJZD&#10;G+ihUAJNSnKVra1tIq2MpDjO21fppb0sDDPMfFssR2vYgD50jiQ8TDJgSLXTHTUSvrZv9zNgISrS&#10;yjhCCWcMsCyvrwqVa3eiTxw2sWGphEKuJLQx9jnnoW7RqjBxPVLyvp23KibpG669OqVya/hjlglu&#10;VUdpoVU9rlqsD5ujlfB6F3bVx8Gf39fPTuyHlTD9Wkh5ezO+LIBFHONfGC74CR3KxFS5I+nAjIT0&#10;SPy9F2+eCWCVhOnsCXhZ8P/w5Q8AAAD//wMAUEsBAi0AFAAGAAgAAAAhALaDOJL+AAAA4QEAABMA&#10;AAAAAAAAAAAAAAAAAAAAAFtDb250ZW50X1R5cGVzXS54bWxQSwECLQAUAAYACAAAACEAOP0h/9YA&#10;AACUAQAACwAAAAAAAAAAAAAAAAAvAQAAX3JlbHMvLnJlbHNQSwECLQAUAAYACAAAACEADcxCOA8C&#10;AAAbBAAADgAAAAAAAAAAAAAAAAAuAgAAZHJzL2Uyb0RvYy54bWxQSwECLQAUAAYACAAAACEAy4Vs&#10;ZN0AAAAEAQAADwAAAAAAAAAAAAAAAABpBAAAZHJzL2Rvd25yZXYueG1sUEsFBgAAAAAEAAQA8wAA&#10;AHMFAAAAAA==&#10;" filled="f" stroked="f">
              <v:fill o:detectmouseclick="t"/>
              <v:textbox style="mso-fit-shape-to-text:t" inset="0,0,20pt,15pt">
                <w:txbxContent>
                  <w:p w14:paraId="0B68FA40" w14:textId="55551ADA" w:rsidR="00F736E6" w:rsidRPr="00F736E6" w:rsidRDefault="00F736E6" w:rsidP="00F736E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F736E6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Informacje Jawne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0593" w14:textId="11072BD4" w:rsidR="00F736E6" w:rsidRDefault="00F736E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B291697" wp14:editId="5847A4B6">
              <wp:simplePos x="900752" y="10072048"/>
              <wp:positionH relativeFrom="page">
                <wp:align>right</wp:align>
              </wp:positionH>
              <wp:positionV relativeFrom="page">
                <wp:align>bottom</wp:align>
              </wp:positionV>
              <wp:extent cx="1210310" cy="370205"/>
              <wp:effectExtent l="0" t="0" r="0" b="0"/>
              <wp:wrapNone/>
              <wp:docPr id="345666135" name="Pole tekstowe 3" descr="Informacje Jaw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03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9B5EA0" w14:textId="448A1623" w:rsidR="00F736E6" w:rsidRPr="00F736E6" w:rsidRDefault="00F736E6" w:rsidP="00F736E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736E6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Informacje Jawne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29169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Informacje Jawne" style="position:absolute;margin-left:44.1pt;margin-top:0;width:95.3pt;height:29.1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rNTEQIAACIEAAAOAAAAZHJzL2Uyb0RvYy54bWysU01v2zAMvQ/YfxB0X2yny9YZcYqsRYYB&#10;RVsgHXpWZDk2IIkCpcTOfv0oOR9dt9Owi0yRND/ee5rfDEazvULfga14Mck5U1ZC3dltxX88rz5c&#10;c+aDsLXQYFXFD8rzm8X7d/PelWoKLehaIaMi1pe9q3gbgiuzzMtWGeEn4JSlYANoRKArbrMaRU/V&#10;jc6mef4p6wFrhyCV9+S9G4N8keo3jZLhsWm8CkxXnGYL6cR0buKZLeai3KJwbSePY4h/mMKIzlLT&#10;c6k7EQTbYfdHKdNJBA9NmEgwGTRNJ1XagbYp8jfbrFvhVNqFwPHuDJP/f2Xlw37tnpCF4SsMRGAE&#10;pHe+9OSM+wwNmvilSRnFCcLDGTY1BCbjT9MivyooJCl29Tmf5rNYJrv87dCHbwoMi0bFkWhJaIn9&#10;vQ9j6iklNrOw6rRO1Gj7m4NqRk92GTFaYdgMrKtfjb+B+kBbIYyEeydXHbW+Fz48CSSGaVpSbXik&#10;o9HQVxyOFmct4M+/+WM+AU9RznpSTMUtSZoz/d0SIVFcJwOTMZ19zHNyb9Kt+JLP4s3uzC2QGAt6&#10;F04mk7wY9MlsEMwLiXoZu1FIWEk9K745mbdh1C89CqmWy5REYnIi3Nu1k7F0xCwC+jy8CHRH1APx&#10;9QAnTYnyDfhjbvzTu+UuEAWJmYjviOYRdhJi4vb4aKLSX99T1uVpL34BAAD//wMAUEsDBBQABgAI&#10;AAAAIQDLhWxk3QAAAAQBAAAPAAAAZHJzL2Rvd25yZXYueG1sTI/NasMwEITvhb6D2EIvpZH7E5E4&#10;lkMb6KFQAk1KcpWtrW0irYykOM7bV+mlvSwMM8x8WyxHa9iAPnSOJDxMMmBItdMdNRK+tm/3M2Ah&#10;KtLKOEIJZwywLK+vCpVrd6JPHDaxYamEQq4ktDH2OeehbtGqMHE9UvK+nbcqJukbrr06pXJr+GOW&#10;CW5VR2mhVT2uWqwPm6OV8HoXdtXHwZ/f189O7IeVMP1aSHl7M74sgEUc418YLvgJHcrEVLkj6cCM&#10;hPRI/L0Xb54JYJWE6ewJeFnw//DlDwAAAP//AwBQSwECLQAUAAYACAAAACEAtoM4kv4AAADhAQAA&#10;EwAAAAAAAAAAAAAAAAAAAAAAW0NvbnRlbnRfVHlwZXNdLnhtbFBLAQItABQABgAIAAAAIQA4/SH/&#10;1gAAAJQBAAALAAAAAAAAAAAAAAAAAC8BAABfcmVscy8ucmVsc1BLAQItABQABgAIAAAAIQDfbrNT&#10;EQIAACIEAAAOAAAAAAAAAAAAAAAAAC4CAABkcnMvZTJvRG9jLnhtbFBLAQItABQABgAIAAAAIQDL&#10;hWxk3QAAAAQBAAAPAAAAAAAAAAAAAAAAAGsEAABkcnMvZG93bnJldi54bWxQSwUGAAAAAAQABADz&#10;AAAAdQUAAAAA&#10;" filled="f" stroked="f">
              <v:fill o:detectmouseclick="t"/>
              <v:textbox style="mso-fit-shape-to-text:t" inset="0,0,20pt,15pt">
                <w:txbxContent>
                  <w:p w14:paraId="559B5EA0" w14:textId="448A1623" w:rsidR="00F736E6" w:rsidRPr="00F736E6" w:rsidRDefault="00F736E6" w:rsidP="00F736E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F736E6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Informacje Jawne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D19E7" w14:textId="6CA6E743" w:rsidR="00F736E6" w:rsidRDefault="00F736E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02D506" wp14:editId="6D43D9A8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210310" cy="370205"/>
              <wp:effectExtent l="0" t="0" r="0" b="0"/>
              <wp:wrapNone/>
              <wp:docPr id="1272710127" name="Pole tekstowe 1" descr="Informacje Jaw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03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881135" w14:textId="1308E43D" w:rsidR="00F736E6" w:rsidRPr="00F736E6" w:rsidRDefault="00F736E6" w:rsidP="00F736E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736E6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Informacje Jawne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2D506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Informacje Jawne" style="position:absolute;margin-left:44.1pt;margin-top:0;width:95.3pt;height:29.15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EAREwIAACIEAAAOAAAAZHJzL2Uyb0RvYy54bWysU8lu2zAQvRfoPxC811pSdxEsB24CFwWM&#10;JIBT5ExTpCWA5BAkbcn9+g4py27TnopeqOHMaJb3Hhe3g1bkKJzvwNS0mOWUCMOh6cy+pt+f1+8+&#10;UeIDMw1TYERNT8LT2+XbN4veVqKEFlQjHMEixle9rWkbgq2yzPNWaOZnYIXBoASnWcCr22eNYz1W&#10;1yor8/xD1oNrrAMuvEfv/Riky1RfSsHDo5ReBKJqirOFdLp07uKZLRes2jtm246fx2D/MIVmncGm&#10;l1L3LDBycN0fpXTHHXiQYcZBZyBlx0XaAbcp8lfbbFtmRdoFwfH2ApP/f2X5w3FrnxwJwxcYkMAI&#10;SG995dEZ9xmk0/GLkxKMI4SnC2xiCITHn8oivykwxDF28zEv83ksk13/ts6HrwI0iUZNHdKS0GLH&#10;jQ9j6pQSmxlYd0olapT5zYE1oye7jhitMOwG0jU1Lafxd9CccCsHI+He8nWHrTfMhyfmkGGcFlUb&#10;HvGQCvqawtmipAX342/+mI/AY5SSHhVTU4OSpkR9M0hIFNdkuGSU8/d5ju5duhWf83m8mYO+AxRj&#10;ge/C8mSi1wU1mdKBfkFRr2I3DDHDsWdNd5N5F0b94qPgYrVKSSgmy8LGbC2PpSNmEdDn4YU5e0Y9&#10;IF8PMGmKVa/AH3Pjn96uDgEpSMxEfEc0z7CjEBO350cTlf7rPWVdn/byJwAAAP//AwBQSwMEFAAG&#10;AAgAAAAhAMuFbGTdAAAABAEAAA8AAABkcnMvZG93bnJldi54bWxMj81qwzAQhO+FvoPYQi+lkfsT&#10;kTiWQxvooVACTUpyla2tbSKtjKQ4zttX6aW9LAwzzHxbLEdr2IA+dI4kPEwyYEi10x01Er62b/cz&#10;YCEq0so4QglnDLAsr68KlWt3ok8cNrFhqYRCriS0MfY556Fu0aowcT1S8r6dtyom6RuuvTqlcmv4&#10;Y5YJblVHaaFVPa5arA+bo5Xwehd21cfBn9/Xz07sh5Uw/VpIeXszviyARRzjXxgu+AkdysRUuSPp&#10;wIyE9Ej8vRdvnglglYTp7Al4WfD/8OUPAAAA//8DAFBLAQItABQABgAIAAAAIQC2gziS/gAAAOEB&#10;AAATAAAAAAAAAAAAAAAAAAAAAABbQ29udGVudF9UeXBlc10ueG1sUEsBAi0AFAAGAAgAAAAhADj9&#10;If/WAAAAlAEAAAsAAAAAAAAAAAAAAAAALwEAAF9yZWxzLy5yZWxzUEsBAi0AFAAGAAgAAAAhAI74&#10;QBETAgAAIgQAAA4AAAAAAAAAAAAAAAAALgIAAGRycy9lMm9Eb2MueG1sUEsBAi0AFAAGAAgAAAAh&#10;AMuFbGTdAAAABAEAAA8AAAAAAAAAAAAAAAAAbQ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24881135" w14:textId="1308E43D" w:rsidR="00F736E6" w:rsidRPr="00F736E6" w:rsidRDefault="00F736E6" w:rsidP="00F736E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F736E6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Informacje Jawne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4AA71" w14:textId="77777777" w:rsidR="002943E0" w:rsidRDefault="002943E0" w:rsidP="00F736E6">
      <w:pPr>
        <w:spacing w:after="0" w:line="240" w:lineRule="auto"/>
      </w:pPr>
      <w:r>
        <w:separator/>
      </w:r>
    </w:p>
  </w:footnote>
  <w:footnote w:type="continuationSeparator" w:id="0">
    <w:p w14:paraId="508D385D" w14:textId="77777777" w:rsidR="002943E0" w:rsidRDefault="002943E0" w:rsidP="00F736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E6"/>
    <w:rsid w:val="002943E0"/>
    <w:rsid w:val="0043004B"/>
    <w:rsid w:val="00555166"/>
    <w:rsid w:val="006874C6"/>
    <w:rsid w:val="00833200"/>
    <w:rsid w:val="00865AA0"/>
    <w:rsid w:val="00ED609B"/>
    <w:rsid w:val="00F7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F006B"/>
  <w15:chartTrackingRefBased/>
  <w15:docId w15:val="{CA797872-38F5-4EBA-8507-0337A561B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73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73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36E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736E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736E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736E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736E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736E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736E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36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736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736E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736E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736E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736E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736E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736E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736E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73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73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736E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736E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73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736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736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736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736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736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736E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F73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36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518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Stankiewicz-Billewicz Aleksandra</dc:creator>
  <cp:keywords/>
  <dc:description/>
  <cp:lastModifiedBy>Stankiewicz-Billewicz Aleksandra</cp:lastModifiedBy>
  <cp:revision>3</cp:revision>
  <dcterms:created xsi:type="dcterms:W3CDTF">2026-07-31T09:11:00Z</dcterms:created>
  <dcterms:modified xsi:type="dcterms:W3CDTF">2026-07-31T09:22:00Z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4bdc03ef,26fd639d,149a7257</vt:lpwstr>
  </property>
  <property fmtid="{D5CDD505-2E9C-101B-9397-08002B2CF9AE}" pid="3" name="ClassificationContentMarkingFooterFontProps">
    <vt:lpwstr>#008000,10,Aptos</vt:lpwstr>
  </property>
  <property fmtid="{D5CDD505-2E9C-101B-9397-08002B2CF9AE}" pid="4" name="ClassificationContentMarkingFooterText">
    <vt:lpwstr>Informacje Jawne</vt:lpwstr>
  </property>
  <property fmtid="{D5CDD505-2E9C-101B-9397-08002B2CF9AE}" pid="5" name="MSIP_Label_1391a466-f120-4668-a5e5-7af4d8a99d82_Enabled">
    <vt:lpwstr>true</vt:lpwstr>
  </property>
  <property fmtid="{D5CDD505-2E9C-101B-9397-08002B2CF9AE}" pid="6" name="MSIP_Label_1391a466-f120-4668-a5e5-7af4d8a99d82_SetDate">
    <vt:lpwstr>2026-07-31T09:11:38Z</vt:lpwstr>
  </property>
  <property fmtid="{D5CDD505-2E9C-101B-9397-08002B2CF9AE}" pid="7" name="MSIP_Label_1391a466-f120-4668-a5e5-7af4d8a99d82_Method">
    <vt:lpwstr>Privileged</vt:lpwstr>
  </property>
  <property fmtid="{D5CDD505-2E9C-101B-9397-08002B2CF9AE}" pid="8" name="MSIP_Label_1391a466-f120-4668-a5e5-7af4d8a99d82_Name">
    <vt:lpwstr>Grupa BIK-Jawne</vt:lpwstr>
  </property>
  <property fmtid="{D5CDD505-2E9C-101B-9397-08002B2CF9AE}" pid="9" name="MSIP_Label_1391a466-f120-4668-a5e5-7af4d8a99d82_SiteId">
    <vt:lpwstr>f2871815-01ea-45c0-a64b-82e189df602c</vt:lpwstr>
  </property>
  <property fmtid="{D5CDD505-2E9C-101B-9397-08002B2CF9AE}" pid="10" name="MSIP_Label_1391a466-f120-4668-a5e5-7af4d8a99d82_ActionId">
    <vt:lpwstr>773869dd-b31d-4add-9f78-58a24367be5e</vt:lpwstr>
  </property>
  <property fmtid="{D5CDD505-2E9C-101B-9397-08002B2CF9AE}" pid="11" name="MSIP_Label_1391a466-f120-4668-a5e5-7af4d8a99d82_ContentBits">
    <vt:lpwstr>2</vt:lpwstr>
  </property>
  <property fmtid="{D5CDD505-2E9C-101B-9397-08002B2CF9AE}" pid="12" name="MSIP_Label_1391a466-f120-4668-a5e5-7af4d8a99d82_Tag">
    <vt:lpwstr>10, 0, 1, 1</vt:lpwstr>
  </property>
</Properties>
</file>