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19972" w14:textId="18290FA7" w:rsidR="005A2575" w:rsidRPr="005A2575" w:rsidRDefault="005A2575" w:rsidP="005A2575">
      <w:pPr>
        <w:spacing w:before="100" w:beforeAutospacing="1" w:after="100" w:afterAutospacing="1"/>
        <w:jc w:val="right"/>
        <w:outlineLvl w:val="0"/>
        <w:rPr>
          <w:rFonts w:ascii="Calibri" w:eastAsia="Times New Roman" w:hAnsi="Calibri" w:cs="Calibri"/>
          <w:color w:val="000000"/>
          <w:kern w:val="36"/>
          <w:lang w:eastAsia="pl-PL"/>
        </w:rPr>
      </w:pPr>
      <w:r w:rsidRPr="005A2575">
        <w:rPr>
          <w:rFonts w:ascii="Calibri" w:eastAsia="Times New Roman" w:hAnsi="Calibri" w:cs="Calibri"/>
          <w:color w:val="000000"/>
          <w:kern w:val="36"/>
          <w:lang w:eastAsia="pl-PL"/>
        </w:rPr>
        <w:t>Warszawa, 3 sierpnia 2026 r.</w:t>
      </w:r>
    </w:p>
    <w:p w14:paraId="0A3FBB4A" w14:textId="5136C074" w:rsidR="005A2575" w:rsidRPr="005A2575" w:rsidRDefault="005A2575" w:rsidP="005A2575">
      <w:pPr>
        <w:spacing w:before="100" w:beforeAutospacing="1" w:after="100" w:afterAutospacing="1"/>
        <w:outlineLvl w:val="0"/>
        <w:rPr>
          <w:rFonts w:ascii="Calibri" w:eastAsia="Times New Roman" w:hAnsi="Calibri" w:cs="Calibri"/>
          <w:color w:val="000000"/>
          <w:kern w:val="36"/>
          <w:lang w:eastAsia="pl-PL"/>
        </w:rPr>
      </w:pPr>
      <w:r w:rsidRPr="005A2575">
        <w:rPr>
          <w:rFonts w:ascii="Calibri" w:eastAsia="Times New Roman" w:hAnsi="Calibri" w:cs="Calibri"/>
          <w:color w:val="000000"/>
          <w:kern w:val="36"/>
          <w:lang w:eastAsia="pl-PL"/>
        </w:rPr>
        <w:t>Informacja prasowa</w:t>
      </w:r>
    </w:p>
    <w:p w14:paraId="6E0860A8" w14:textId="5FB14878" w:rsidR="005A2575" w:rsidRPr="005A2575" w:rsidRDefault="005A2575" w:rsidP="005A2575">
      <w:pPr>
        <w:spacing w:before="100" w:beforeAutospacing="1" w:after="100" w:afterAutospacing="1" w:line="276" w:lineRule="auto"/>
        <w:jc w:val="center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</w:pPr>
      <w:r w:rsidRPr="005A2575"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  <w:t>D</w:t>
      </w:r>
      <w:r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  <w:t>ekada</w:t>
      </w:r>
      <w:r w:rsidRPr="005A2575"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  <w:t xml:space="preserve"> sprzedała portfolio 1</w:t>
      </w:r>
      <w:r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  <w:t>1</w:t>
      </w:r>
      <w:r w:rsidRPr="005A2575">
        <w:rPr>
          <w:rFonts w:ascii="Calibri" w:eastAsia="Times New Roman" w:hAnsi="Calibri" w:cs="Calibri"/>
          <w:b/>
          <w:bCs/>
          <w:color w:val="000000"/>
          <w:kern w:val="36"/>
          <w:sz w:val="28"/>
          <w:szCs w:val="28"/>
          <w:lang w:eastAsia="pl-PL"/>
        </w:rPr>
        <w:t xml:space="preserve"> projektów handlowych grupie Appeninn</w:t>
      </w:r>
    </w:p>
    <w:p w14:paraId="0BAF3AEC" w14:textId="77777777" w:rsidR="000E38BB" w:rsidRPr="005A2575" w:rsidRDefault="000E38BB" w:rsidP="000E38BB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>Spółka D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ekada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S.A. sfinalizowała sprzedaż 1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1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obiektów handlowych funkcjonujących pod marką Dekada na rzecz Appeninn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Asset Management Holding Plc. 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>notowane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go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na Giełdzie Papierów Wartościowych w Budapeszcie. Wartość transakcji przekroczyła 100 mln euro. Obejmuje ona dojrzałe portfolio nowoczesnych 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centrów convenience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>, budowane przez D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>ekadę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 na przestrzeni kilkunastu lat.</w:t>
      </w:r>
    </w:p>
    <w:p w14:paraId="5C7438F0" w14:textId="77777777" w:rsidR="000E38BB" w:rsidRPr="005A2575" w:rsidRDefault="000E38BB" w:rsidP="000E38BB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Przedmiotem transakcji jest portfolio 1</w:t>
      </w:r>
      <w:r>
        <w:rPr>
          <w:rFonts w:ascii="Calibri" w:eastAsia="Times New Roman" w:hAnsi="Calibri" w:cs="Calibri"/>
          <w:color w:val="000000"/>
          <w:lang w:eastAsia="pl-PL"/>
        </w:rPr>
        <w:t>1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obiektów handlowych</w:t>
      </w:r>
      <w:r>
        <w:rPr>
          <w:rFonts w:ascii="Calibri" w:eastAsia="Times New Roman" w:hAnsi="Calibri" w:cs="Calibri"/>
          <w:color w:val="000000"/>
          <w:lang w:eastAsia="pl-PL"/>
        </w:rPr>
        <w:t xml:space="preserve"> (7 parków handlowych </w:t>
      </w:r>
      <w:r>
        <w:rPr>
          <w:rFonts w:ascii="Calibri" w:eastAsia="Times New Roman" w:hAnsi="Calibri" w:cs="Calibri"/>
          <w:color w:val="000000"/>
          <w:lang w:eastAsia="pl-PL"/>
        </w:rPr>
        <w:br/>
        <w:t>i 4 galerii)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zlokalizowanych w 11 miastach w Polsce: Nowym Targu, Myślenicach, Malborku, Krakowie, Grójcu, Żyrardowie, Skierniewicach, Olsztynie, Brodnicy, Sieradzu oraz Ciechanowie. Łączna powierzchnia najmu (GLA) wynosi około 53 tys. mkw.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A2575">
        <w:rPr>
          <w:rFonts w:ascii="Calibri" w:eastAsia="Times New Roman" w:hAnsi="Calibri" w:cs="Calibri"/>
          <w:color w:val="000000"/>
          <w:lang w:eastAsia="pl-PL"/>
        </w:rPr>
        <w:t>Obiekty zostały zrealizowane w latach 2011–2024 i tworzą portfel nowoczesnych centró</w:t>
      </w:r>
      <w:r>
        <w:rPr>
          <w:rFonts w:ascii="Calibri" w:eastAsia="Times New Roman" w:hAnsi="Calibri" w:cs="Calibri"/>
          <w:color w:val="000000"/>
          <w:lang w:eastAsia="pl-PL"/>
        </w:rPr>
        <w:t>w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convenience. Poziom ich komercjalizacji przekracza 95 proc., a najemcami są uznane ogólnopolskie </w:t>
      </w:r>
      <w:r>
        <w:rPr>
          <w:rFonts w:ascii="Calibri" w:eastAsia="Times New Roman" w:hAnsi="Calibri" w:cs="Calibri"/>
          <w:color w:val="000000"/>
          <w:lang w:eastAsia="pl-PL"/>
        </w:rPr>
        <w:br/>
      </w:r>
      <w:r w:rsidRPr="005A2575">
        <w:rPr>
          <w:rFonts w:ascii="Calibri" w:eastAsia="Times New Roman" w:hAnsi="Calibri" w:cs="Calibri"/>
          <w:color w:val="000000"/>
          <w:lang w:eastAsia="pl-PL"/>
        </w:rPr>
        <w:t>i międzynarodowe sieci handlowe oraz usługowe</w:t>
      </w:r>
      <w:r>
        <w:rPr>
          <w:rFonts w:ascii="Calibri" w:eastAsia="Times New Roman" w:hAnsi="Calibri" w:cs="Calibri"/>
          <w:color w:val="000000"/>
          <w:lang w:eastAsia="pl-PL"/>
        </w:rPr>
        <w:t xml:space="preserve"> tj. </w:t>
      </w:r>
      <w:r w:rsidRPr="002B1403">
        <w:rPr>
          <w:rFonts w:ascii="Calibri" w:hAnsi="Calibri" w:cs="Calibri"/>
          <w:color w:val="000000"/>
        </w:rPr>
        <w:t xml:space="preserve">Biedronka, Carrefour, </w:t>
      </w:r>
      <w:r w:rsidRPr="00E574E0">
        <w:rPr>
          <w:rFonts w:ascii="Calibri" w:hAnsi="Calibri" w:cs="Calibri"/>
          <w:color w:val="000000"/>
        </w:rPr>
        <w:t>Stok</w:t>
      </w:r>
      <w:r>
        <w:rPr>
          <w:rFonts w:ascii="Calibri" w:hAnsi="Calibri" w:cs="Calibri"/>
          <w:color w:val="000000"/>
        </w:rPr>
        <w:t xml:space="preserve">rotka, </w:t>
      </w:r>
      <w:r w:rsidRPr="002B1403">
        <w:rPr>
          <w:rFonts w:ascii="Calibri" w:hAnsi="Calibri" w:cs="Calibri"/>
          <w:color w:val="000000"/>
        </w:rPr>
        <w:t>Rossmann,</w:t>
      </w:r>
      <w:r w:rsidRPr="00E574E0">
        <w:rPr>
          <w:rFonts w:ascii="Calibri" w:hAnsi="Calibri" w:cs="Calibri"/>
          <w:color w:val="000000"/>
        </w:rPr>
        <w:t xml:space="preserve"> Hebe,</w:t>
      </w:r>
      <w:r w:rsidRPr="002B1403">
        <w:rPr>
          <w:rFonts w:ascii="Calibri" w:hAnsi="Calibri" w:cs="Calibri"/>
          <w:color w:val="000000"/>
        </w:rPr>
        <w:t xml:space="preserve"> H&amp;M, Empik, </w:t>
      </w:r>
      <w:r w:rsidRPr="00E574E0">
        <w:rPr>
          <w:rFonts w:ascii="Calibri" w:hAnsi="Calibri" w:cs="Calibri"/>
          <w:color w:val="000000"/>
        </w:rPr>
        <w:t>Jysk</w:t>
      </w:r>
      <w:r w:rsidRPr="002B1403">
        <w:rPr>
          <w:rFonts w:ascii="Calibri" w:hAnsi="Calibri" w:cs="Calibri"/>
          <w:color w:val="000000"/>
        </w:rPr>
        <w:t>, Castorama, Pepco</w:t>
      </w:r>
      <w:r w:rsidRPr="00E574E0">
        <w:rPr>
          <w:rFonts w:ascii="Calibri" w:hAnsi="Calibri" w:cs="Calibri"/>
          <w:color w:val="000000"/>
        </w:rPr>
        <w:t xml:space="preserve">, </w:t>
      </w:r>
      <w:r w:rsidRPr="002B1403">
        <w:rPr>
          <w:rFonts w:ascii="Calibri" w:hAnsi="Calibri" w:cs="Calibri"/>
          <w:color w:val="000000"/>
        </w:rPr>
        <w:t>Action, Apart czy Ochnik</w:t>
      </w:r>
      <w:r w:rsidRPr="002B1403">
        <w:rPr>
          <w:rFonts w:ascii="Calibri" w:eastAsia="Times New Roman" w:hAnsi="Calibri" w:cs="Calibri"/>
          <w:color w:val="000000"/>
          <w:lang w:eastAsia="pl-PL"/>
        </w:rPr>
        <w:t xml:space="preserve">. 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Przez lata nieruchomości konsekwentnie umacniały swoją pozycję jako ważne miejsca codziennych zakupów w swoich lokalizacjach, zapewniając </w:t>
      </w:r>
      <w:r>
        <w:rPr>
          <w:rFonts w:ascii="Calibri" w:eastAsia="Times New Roman" w:hAnsi="Calibri" w:cs="Calibri"/>
          <w:color w:val="000000"/>
          <w:lang w:eastAsia="pl-PL"/>
        </w:rPr>
        <w:t>klientom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wygodny dostęp do szerokiej oferty handlowo-usługowej oraz stabilne wyniki operacyjne.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</w:p>
    <w:p w14:paraId="71B93AC8" w14:textId="77777777" w:rsidR="000E38BB" w:rsidRDefault="000E38BB" w:rsidP="000E38BB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– </w:t>
      </w:r>
      <w:r w:rsidRPr="005A2575">
        <w:rPr>
          <w:rFonts w:ascii="Calibri" w:eastAsia="Times New Roman" w:hAnsi="Calibri" w:cs="Calibri"/>
          <w:i/>
          <w:iCs/>
          <w:color w:val="000000"/>
          <w:lang w:eastAsia="pl-PL"/>
        </w:rPr>
        <w:t>Od początku działalności koncentrowaliśmy się na tworzeniu nowoczesnych obiektów handlowych</w:t>
      </w:r>
      <w:r>
        <w:rPr>
          <w:rFonts w:ascii="Calibri" w:eastAsia="Times New Roman" w:hAnsi="Calibri" w:cs="Calibri"/>
          <w:i/>
          <w:iCs/>
          <w:color w:val="000000"/>
          <w:lang w:eastAsia="pl-PL"/>
        </w:rPr>
        <w:t>, głównie w centrach miast,</w:t>
      </w:r>
      <w:r w:rsidRPr="005A2575"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odpowiadających na potrzeby lokalnych społeczności. Każdy z projektów rozwijaliśmy z myślą o długoterminowej wartości – zarówno dla najemców i mieszkańców, jak i inwestorów. </w:t>
      </w:r>
      <w:r>
        <w:rPr>
          <w:rFonts w:ascii="Calibri" w:eastAsia="Times New Roman" w:hAnsi="Calibri" w:cs="Calibri"/>
          <w:i/>
          <w:iCs/>
          <w:color w:val="000000"/>
          <w:lang w:eastAsia="pl-PL"/>
        </w:rPr>
        <w:t>T</w:t>
      </w:r>
      <w:r w:rsidRPr="005A2575">
        <w:rPr>
          <w:rFonts w:ascii="Calibri" w:eastAsia="Times New Roman" w:hAnsi="Calibri" w:cs="Calibri"/>
          <w:i/>
          <w:iCs/>
          <w:color w:val="000000"/>
          <w:lang w:eastAsia="pl-PL"/>
        </w:rPr>
        <w:t>a transakcja jest ukoronowaniem wieloletniej pracy naszego zespołu</w:t>
      </w:r>
      <w:r>
        <w:rPr>
          <w:rFonts w:ascii="Calibri" w:eastAsia="Times New Roman" w:hAnsi="Calibri" w:cs="Calibri"/>
          <w:i/>
          <w:iCs/>
          <w:color w:val="000000"/>
          <w:lang w:eastAsia="pl-PL"/>
        </w:rPr>
        <w:t xml:space="preserve"> </w:t>
      </w:r>
      <w:r w:rsidRPr="005A2575">
        <w:rPr>
          <w:rFonts w:ascii="Calibri" w:eastAsia="Times New Roman" w:hAnsi="Calibri" w:cs="Calibri"/>
          <w:i/>
          <w:iCs/>
          <w:color w:val="000000"/>
          <w:lang w:eastAsia="pl-PL"/>
        </w:rPr>
        <w:t>i potwierdzeniem, że realizowana strategia budowy jakościowego portfolio została doceniona przez międzynarodowego inwestora </w:t>
      </w:r>
      <w:r w:rsidRPr="005A2575">
        <w:rPr>
          <w:rFonts w:ascii="Calibri" w:eastAsia="Times New Roman" w:hAnsi="Calibri" w:cs="Calibri"/>
          <w:color w:val="000000"/>
          <w:lang w:eastAsia="pl-PL"/>
        </w:rPr>
        <w:t>– mówi 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>Aleksander Walczak, Prezes Zarządu D</w:t>
      </w:r>
      <w:r>
        <w:rPr>
          <w:rFonts w:ascii="Calibri" w:eastAsia="Times New Roman" w:hAnsi="Calibri" w:cs="Calibri"/>
          <w:b/>
          <w:bCs/>
          <w:color w:val="000000"/>
          <w:lang w:eastAsia="pl-PL"/>
        </w:rPr>
        <w:t xml:space="preserve">ekada 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>S.A.</w:t>
      </w:r>
    </w:p>
    <w:p w14:paraId="00C0E75A" w14:textId="49CC648A" w:rsidR="005A2575" w:rsidRPr="005A2575" w:rsidRDefault="000E38BB" w:rsidP="005A2575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Po sfinalizowaniu transakcji w portfelu </w:t>
      </w:r>
      <w:r>
        <w:rPr>
          <w:rFonts w:ascii="Calibri" w:eastAsia="Times New Roman" w:hAnsi="Calibri" w:cs="Calibri"/>
          <w:color w:val="000000"/>
          <w:lang w:eastAsia="pl-PL"/>
        </w:rPr>
        <w:t>firmy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pozostaje</w:t>
      </w:r>
      <w:r>
        <w:rPr>
          <w:rFonts w:ascii="Calibri" w:eastAsia="Times New Roman" w:hAnsi="Calibri" w:cs="Calibri"/>
          <w:color w:val="000000"/>
          <w:lang w:eastAsia="pl-PL"/>
        </w:rPr>
        <w:t xml:space="preserve"> jej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</w:t>
      </w:r>
      <w:r>
        <w:rPr>
          <w:rFonts w:ascii="Calibri" w:eastAsia="Times New Roman" w:hAnsi="Calibri" w:cs="Calibri"/>
          <w:color w:val="000000"/>
          <w:lang w:eastAsia="pl-PL"/>
        </w:rPr>
        <w:t xml:space="preserve">największe aktywo </w:t>
      </w:r>
      <w:r w:rsidRPr="005A2575">
        <w:rPr>
          <w:rFonts w:ascii="Calibri" w:eastAsia="Times New Roman" w:hAnsi="Calibri" w:cs="Calibri"/>
          <w:color w:val="000000"/>
          <w:lang w:eastAsia="pl-PL"/>
        </w:rPr>
        <w:t>–</w:t>
      </w:r>
      <w:r>
        <w:rPr>
          <w:rFonts w:ascii="Calibri" w:eastAsia="Times New Roman" w:hAnsi="Calibri" w:cs="Calibri"/>
          <w:color w:val="000000"/>
          <w:lang w:eastAsia="pl-PL"/>
        </w:rPr>
        <w:t xml:space="preserve"> galeria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handlow</w:t>
      </w:r>
      <w:r>
        <w:rPr>
          <w:rFonts w:ascii="Calibri" w:eastAsia="Times New Roman" w:hAnsi="Calibri" w:cs="Calibri"/>
          <w:color w:val="000000"/>
          <w:lang w:eastAsia="pl-PL"/>
        </w:rPr>
        <w:t>a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Dekada Nysa</w:t>
      </w:r>
      <w:r>
        <w:rPr>
          <w:rFonts w:ascii="Calibri" w:eastAsia="Times New Roman" w:hAnsi="Calibri" w:cs="Calibri"/>
          <w:color w:val="000000"/>
          <w:lang w:eastAsia="pl-PL"/>
        </w:rPr>
        <w:t xml:space="preserve"> </w:t>
      </w:r>
      <w:r w:rsidRPr="005A2575">
        <w:rPr>
          <w:rFonts w:ascii="Calibri" w:eastAsia="Times New Roman" w:hAnsi="Calibri" w:cs="Calibri"/>
          <w:color w:val="000000"/>
          <w:lang w:eastAsia="pl-PL"/>
        </w:rPr>
        <w:t>–</w:t>
      </w:r>
      <w:r>
        <w:rPr>
          <w:rFonts w:ascii="Calibri" w:eastAsia="Times New Roman" w:hAnsi="Calibri" w:cs="Calibri"/>
          <w:color w:val="000000"/>
          <w:lang w:eastAsia="pl-PL"/>
        </w:rPr>
        <w:t xml:space="preserve"> o powierzchni blisko</w:t>
      </w:r>
      <w:r>
        <w:rPr>
          <w:rFonts w:ascii="Arial" w:hAnsi="Arial" w:cs="Arial"/>
          <w:color w:val="4F5C64"/>
          <w:shd w:val="clear" w:color="auto" w:fill="FFFFFF"/>
        </w:rPr>
        <w:t xml:space="preserve"> </w:t>
      </w:r>
      <w:r w:rsidRPr="005A2575">
        <w:rPr>
          <w:rFonts w:ascii="Calibri" w:hAnsi="Calibri" w:cs="Calibri"/>
          <w:color w:val="000000" w:themeColor="text1"/>
          <w:shd w:val="clear" w:color="auto" w:fill="FFFFFF"/>
        </w:rPr>
        <w:t>20 tys. mkw.</w:t>
      </w:r>
      <w:r>
        <w:rPr>
          <w:rFonts w:ascii="Calibri" w:hAnsi="Calibri" w:cs="Calibri"/>
          <w:color w:val="000000" w:themeColor="text1"/>
          <w:shd w:val="clear" w:color="auto" w:fill="FFFFFF"/>
        </w:rPr>
        <w:t>, na której znajduje się ponad 70</w:t>
      </w:r>
      <w:r w:rsidRPr="005A2575">
        <w:rPr>
          <w:rFonts w:ascii="Calibri" w:hAnsi="Calibri" w:cs="Calibri"/>
          <w:color w:val="000000" w:themeColor="text1"/>
          <w:shd w:val="clear" w:color="auto" w:fill="FFFFFF"/>
        </w:rPr>
        <w:t xml:space="preserve"> lokali handlowo-usługowych,</w:t>
      </w:r>
      <w:r>
        <w:rPr>
          <w:rFonts w:ascii="Calibri" w:hAnsi="Calibri" w:cs="Calibri"/>
          <w:color w:val="000000" w:themeColor="text1"/>
          <w:shd w:val="clear" w:color="auto" w:fill="FFFFFF"/>
        </w:rPr>
        <w:t xml:space="preserve"> gastronomicznych</w:t>
      </w:r>
      <w:r w:rsidRPr="005A2575">
        <w:rPr>
          <w:rFonts w:ascii="Calibri" w:hAnsi="Calibri" w:cs="Calibri"/>
          <w:color w:val="000000" w:themeColor="text1"/>
          <w:shd w:val="clear" w:color="auto" w:fill="FFFFFF"/>
        </w:rPr>
        <w:t xml:space="preserve"> </w:t>
      </w:r>
      <w:r>
        <w:rPr>
          <w:rFonts w:ascii="Calibri" w:hAnsi="Calibri" w:cs="Calibri"/>
          <w:color w:val="000000" w:themeColor="text1"/>
          <w:shd w:val="clear" w:color="auto" w:fill="FFFFFF"/>
        </w:rPr>
        <w:t xml:space="preserve">oraz </w:t>
      </w:r>
      <w:r w:rsidRPr="005A2575">
        <w:rPr>
          <w:rFonts w:ascii="Calibri" w:hAnsi="Calibri" w:cs="Calibri"/>
          <w:color w:val="000000" w:themeColor="text1"/>
          <w:shd w:val="clear" w:color="auto" w:fill="FFFFFF"/>
        </w:rPr>
        <w:t>strefa rozrywki</w:t>
      </w:r>
      <w:r>
        <w:rPr>
          <w:rFonts w:ascii="Calibri" w:eastAsia="Times New Roman" w:hAnsi="Calibri" w:cs="Calibri"/>
          <w:color w:val="000000" w:themeColor="text1"/>
          <w:lang w:eastAsia="pl-PL"/>
        </w:rPr>
        <w:t xml:space="preserve">. 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Spółka kontynuuje </w:t>
      </w:r>
      <w:r w:rsidRPr="005A2575">
        <w:rPr>
          <w:rFonts w:ascii="Calibri" w:eastAsia="Times New Roman" w:hAnsi="Calibri" w:cs="Calibri"/>
          <w:color w:val="000000"/>
          <w:lang w:eastAsia="pl-PL"/>
        </w:rPr>
        <w:lastRenderedPageBreak/>
        <w:t xml:space="preserve">również przygotowania do realizacji  </w:t>
      </w:r>
      <w:r>
        <w:rPr>
          <w:rFonts w:ascii="Calibri" w:eastAsia="Times New Roman" w:hAnsi="Calibri" w:cs="Calibri"/>
          <w:color w:val="000000"/>
          <w:lang w:eastAsia="pl-PL"/>
        </w:rPr>
        <w:t xml:space="preserve">Zintegrowanego Centrum Komunikacyjno-Handlowego </w:t>
      </w:r>
      <w:r w:rsidRPr="005A2575">
        <w:rPr>
          <w:rFonts w:ascii="Calibri" w:eastAsia="Times New Roman" w:hAnsi="Calibri" w:cs="Calibri"/>
          <w:color w:val="000000"/>
          <w:lang w:eastAsia="pl-PL"/>
        </w:rPr>
        <w:t>Dekada Mińsk Mazowiecki.</w:t>
      </w:r>
    </w:p>
    <w:p w14:paraId="7D8D2B4A" w14:textId="434ABF40" w:rsidR="005A2575" w:rsidRDefault="005A2575" w:rsidP="005A2575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Nabywcą portfolio </w:t>
      </w:r>
      <w:r w:rsidR="000B4D00">
        <w:rPr>
          <w:rFonts w:ascii="Calibri" w:eastAsia="Times New Roman" w:hAnsi="Calibri" w:cs="Calibri"/>
          <w:color w:val="000000"/>
          <w:lang w:eastAsia="pl-PL"/>
        </w:rPr>
        <w:t>są</w:t>
      </w:r>
      <w:r>
        <w:rPr>
          <w:rFonts w:ascii="Calibri" w:eastAsia="Times New Roman" w:hAnsi="Calibri" w:cs="Calibri"/>
          <w:color w:val="000000"/>
          <w:lang w:eastAsia="pl-PL"/>
        </w:rPr>
        <w:t xml:space="preserve"> spółk</w:t>
      </w:r>
      <w:r w:rsidR="000B4D00">
        <w:rPr>
          <w:rFonts w:ascii="Calibri" w:eastAsia="Times New Roman" w:hAnsi="Calibri" w:cs="Calibri"/>
          <w:color w:val="000000"/>
          <w:lang w:eastAsia="pl-PL"/>
        </w:rPr>
        <w:t>i</w:t>
      </w:r>
      <w:r>
        <w:rPr>
          <w:rFonts w:ascii="Calibri" w:eastAsia="Times New Roman" w:hAnsi="Calibri" w:cs="Calibri"/>
          <w:color w:val="000000"/>
          <w:lang w:eastAsia="pl-PL"/>
        </w:rPr>
        <w:t xml:space="preserve"> z holdingu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Appeninn, jedne</w:t>
      </w:r>
      <w:r>
        <w:rPr>
          <w:rFonts w:ascii="Calibri" w:eastAsia="Times New Roman" w:hAnsi="Calibri" w:cs="Calibri"/>
          <w:color w:val="000000"/>
          <w:lang w:eastAsia="pl-PL"/>
        </w:rPr>
        <w:t>j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z największych notowanych na giełdzie grup inwestycyjnych na Węgrzech. Grupa jest już obecna na polskim rynku jako właściciel Wiśniowy Business Park w Warszawie oraz centrum logistycznego Goodyear </w:t>
      </w:r>
      <w:r>
        <w:rPr>
          <w:rFonts w:ascii="Calibri" w:eastAsia="Times New Roman" w:hAnsi="Calibri" w:cs="Calibri"/>
          <w:color w:val="000000"/>
          <w:lang w:eastAsia="pl-PL"/>
        </w:rPr>
        <w:br/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w Tarnowie. </w:t>
      </w:r>
      <w:r>
        <w:rPr>
          <w:rFonts w:ascii="Calibri" w:eastAsia="Times New Roman" w:hAnsi="Calibri" w:cs="Calibri"/>
          <w:color w:val="000000"/>
          <w:lang w:eastAsia="pl-PL"/>
        </w:rPr>
        <w:t>Poprzez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przejęci</w:t>
      </w:r>
      <w:r>
        <w:rPr>
          <w:rFonts w:ascii="Calibri" w:eastAsia="Times New Roman" w:hAnsi="Calibri" w:cs="Calibri"/>
          <w:color w:val="000000"/>
          <w:lang w:eastAsia="pl-PL"/>
        </w:rPr>
        <w:t>e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p</w:t>
      </w:r>
      <w:r>
        <w:rPr>
          <w:rFonts w:ascii="Calibri" w:eastAsia="Times New Roman" w:hAnsi="Calibri" w:cs="Calibri"/>
          <w:color w:val="000000"/>
          <w:lang w:eastAsia="pl-PL"/>
        </w:rPr>
        <w:t>rojektów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D</w:t>
      </w:r>
      <w:r>
        <w:rPr>
          <w:rFonts w:ascii="Calibri" w:eastAsia="Times New Roman" w:hAnsi="Calibri" w:cs="Calibri"/>
          <w:color w:val="000000"/>
          <w:lang w:eastAsia="pl-PL"/>
        </w:rPr>
        <w:t>ekady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rozszerza swoją działalność o segment nieruchomości handlowych. </w:t>
      </w:r>
      <w:r w:rsidRPr="005A2575">
        <w:rPr>
          <w:rFonts w:ascii="Calibri" w:hAnsi="Calibri" w:cs="Calibri"/>
          <w:color w:val="000000"/>
        </w:rPr>
        <w:t>Po sfinalizowaniu transakcji odpowiedzialność za zarządzanie przejętym portfolio przejmie Indotek Polska.</w:t>
      </w:r>
    </w:p>
    <w:p w14:paraId="0BFEC103" w14:textId="7FCC13D4" w:rsidR="000B4D00" w:rsidRDefault="000B4D00" w:rsidP="005A2575">
      <w:pPr>
        <w:spacing w:before="100" w:beforeAutospacing="1" w:after="100" w:afterAutospacing="1" w:line="276" w:lineRule="auto"/>
        <w:jc w:val="both"/>
        <w:rPr>
          <w:color w:val="000000"/>
        </w:rPr>
      </w:pPr>
      <w:r>
        <w:rPr>
          <w:color w:val="000000"/>
        </w:rPr>
        <w:t>–</w:t>
      </w:r>
      <w:r>
        <w:rPr>
          <w:rStyle w:val="apple-converted-space"/>
          <w:color w:val="000000"/>
        </w:rPr>
        <w:t> </w:t>
      </w:r>
      <w:r w:rsidRPr="000B4D00">
        <w:rPr>
          <w:rStyle w:val="Pogrubienie"/>
          <w:b w:val="0"/>
          <w:bCs w:val="0"/>
          <w:i/>
          <w:iCs/>
          <w:color w:val="000000"/>
        </w:rPr>
        <w:t>Przejęcie portfolio Dekady pozwala Appeninn znacząco wzmocnić obecność na polskim rynku nieruchomości handlowych oraz uzupełnia dotychczasowe inwestycje Grupy w sektorze biurowym i logistycznym. Zasięg geograficzny portfolio, wysoki poziom komercjalizacji oraz zróżnicowana baza najemców potwierdzają jakość aktywów rozwijanych przez D</w:t>
      </w:r>
      <w:r>
        <w:rPr>
          <w:rStyle w:val="Pogrubienie"/>
          <w:b w:val="0"/>
          <w:bCs w:val="0"/>
          <w:i/>
          <w:iCs/>
          <w:color w:val="000000"/>
        </w:rPr>
        <w:t xml:space="preserve">ekadę </w:t>
      </w:r>
      <w:r w:rsidRPr="000B4D00">
        <w:rPr>
          <w:rStyle w:val="Pogrubienie"/>
          <w:b w:val="0"/>
          <w:bCs w:val="0"/>
          <w:i/>
          <w:iCs/>
          <w:color w:val="000000"/>
        </w:rPr>
        <w:t xml:space="preserve">przez ponad </w:t>
      </w:r>
      <w:r>
        <w:rPr>
          <w:rStyle w:val="Pogrubienie"/>
          <w:b w:val="0"/>
          <w:bCs w:val="0"/>
          <w:i/>
          <w:iCs/>
          <w:color w:val="000000"/>
        </w:rPr>
        <w:t>10 lat</w:t>
      </w:r>
      <w:r w:rsidRPr="000B4D00">
        <w:rPr>
          <w:rStyle w:val="Pogrubienie"/>
          <w:b w:val="0"/>
          <w:bCs w:val="0"/>
          <w:i/>
          <w:iCs/>
          <w:color w:val="000000"/>
        </w:rPr>
        <w:t xml:space="preserve"> i doskonale wpisują się w naszą strategię inwestowania w nieruchomości generujące stabilne dochody w Europie Środkowo-Wschodniej. Dziękujemy zespołowi D</w:t>
      </w:r>
      <w:r>
        <w:rPr>
          <w:rStyle w:val="Pogrubienie"/>
          <w:b w:val="0"/>
          <w:bCs w:val="0"/>
          <w:i/>
          <w:iCs/>
          <w:color w:val="000000"/>
        </w:rPr>
        <w:t>ekada</w:t>
      </w:r>
      <w:r w:rsidRPr="000B4D00">
        <w:rPr>
          <w:rStyle w:val="Pogrubienie"/>
          <w:b w:val="0"/>
          <w:bCs w:val="0"/>
          <w:i/>
          <w:iCs/>
          <w:color w:val="000000"/>
        </w:rPr>
        <w:t xml:space="preserve"> za profesjonalną i konstruktywną współpracę podczas realizacji tej złożonej transakcji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– mówi </w:t>
      </w:r>
      <w:r w:rsidRPr="000B4D00">
        <w:rPr>
          <w:b/>
          <w:bCs/>
          <w:color w:val="000000"/>
        </w:rPr>
        <w:t>Györgyi Szűcs, CEO Appeninn Plc</w:t>
      </w:r>
      <w:r>
        <w:rPr>
          <w:color w:val="000000"/>
        </w:rPr>
        <w:t>.</w:t>
      </w:r>
    </w:p>
    <w:p w14:paraId="4EDE463F" w14:textId="3ADF4B0D" w:rsidR="000B4D00" w:rsidRPr="000B4D00" w:rsidRDefault="000E38BB" w:rsidP="005A2575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>
        <w:rPr>
          <w:rFonts w:ascii="Calibri" w:hAnsi="Calibri" w:cs="Calibri"/>
          <w:color w:val="000000"/>
        </w:rPr>
        <w:t>R</w:t>
      </w:r>
      <w:r w:rsidRPr="000B4D00">
        <w:rPr>
          <w:rFonts w:ascii="Calibri" w:hAnsi="Calibri" w:cs="Calibri"/>
          <w:color w:val="000000"/>
        </w:rPr>
        <w:t>olę doradcy transakcyjnego po stronie kupująceg</w:t>
      </w:r>
      <w:r>
        <w:rPr>
          <w:rFonts w:ascii="Calibri" w:hAnsi="Calibri" w:cs="Calibri"/>
          <w:color w:val="000000"/>
        </w:rPr>
        <w:t>o pełniła Grupa Indotek – firma d</w:t>
      </w:r>
      <w:r w:rsidR="00C4334B">
        <w:rPr>
          <w:rFonts w:ascii="Calibri" w:hAnsi="Calibri" w:cs="Calibri"/>
          <w:color w:val="000000"/>
        </w:rPr>
        <w:t>ziałająca</w:t>
      </w:r>
      <w:r w:rsidR="000B4D00" w:rsidRPr="000B4D00">
        <w:rPr>
          <w:rFonts w:ascii="Calibri" w:hAnsi="Calibri" w:cs="Calibri"/>
          <w:color w:val="000000"/>
        </w:rPr>
        <w:t xml:space="preserve"> na 12 europejskich rynkach</w:t>
      </w:r>
      <w:r>
        <w:rPr>
          <w:rFonts w:ascii="Calibri" w:hAnsi="Calibri" w:cs="Calibri"/>
          <w:color w:val="000000"/>
        </w:rPr>
        <w:t xml:space="preserve">, </w:t>
      </w:r>
      <w:r w:rsidR="000B4D00" w:rsidRPr="000B4D00">
        <w:rPr>
          <w:rFonts w:ascii="Calibri" w:hAnsi="Calibri" w:cs="Calibri"/>
          <w:color w:val="000000"/>
        </w:rPr>
        <w:t>specjalizująca się w inwestycjach i zarządzaniu nieruchomościami oraz największy akcjonariusz Appeninn</w:t>
      </w:r>
      <w:r>
        <w:rPr>
          <w:rFonts w:ascii="Calibri" w:hAnsi="Calibri" w:cs="Calibri"/>
          <w:color w:val="000000"/>
        </w:rPr>
        <w:t>.</w:t>
      </w:r>
      <w:r w:rsidR="000B4D00" w:rsidRPr="000B4D00">
        <w:rPr>
          <w:rFonts w:ascii="Calibri" w:hAnsi="Calibri" w:cs="Calibri"/>
          <w:color w:val="000000"/>
        </w:rPr>
        <w:t xml:space="preserve"> </w:t>
      </w:r>
    </w:p>
    <w:p w14:paraId="2BC2C260" w14:textId="2D0AFC0B" w:rsidR="005A2575" w:rsidRPr="005A2575" w:rsidRDefault="005A2575" w:rsidP="005A2575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Za doradztwo komercyjne przy transakcji odpowiadał zespół Investment Grupy Capital Park, kierowany przez Annę Tomaszewską. Doradcami D</w:t>
      </w:r>
      <w:r>
        <w:rPr>
          <w:rFonts w:ascii="Calibri" w:eastAsia="Times New Roman" w:hAnsi="Calibri" w:cs="Calibri"/>
          <w:color w:val="000000"/>
          <w:lang w:eastAsia="pl-PL"/>
        </w:rPr>
        <w:t>ekada</w:t>
      </w:r>
      <w:r w:rsidRPr="005A2575">
        <w:rPr>
          <w:rFonts w:ascii="Calibri" w:eastAsia="Times New Roman" w:hAnsi="Calibri" w:cs="Calibri"/>
          <w:color w:val="000000"/>
          <w:lang w:eastAsia="pl-PL"/>
        </w:rPr>
        <w:t xml:space="preserve"> S.A. byli ponadto CBRE, kancelaria Dentons oraz TPA Poland, które pełniło rolę doradcy dla obu stron transakcji. </w:t>
      </w:r>
      <w:r w:rsidRPr="005A2575">
        <w:rPr>
          <w:rFonts w:ascii="Calibri" w:hAnsi="Calibri" w:cs="Calibri"/>
          <w:color w:val="000000"/>
        </w:rPr>
        <w:t>Po stronie kupującego doradzali Cushman &amp; Wakefield, kancelaria Greenberg Traurig</w:t>
      </w:r>
      <w:r w:rsidR="000B4D00">
        <w:rPr>
          <w:rFonts w:ascii="Calibri" w:hAnsi="Calibri" w:cs="Calibri"/>
          <w:color w:val="000000"/>
        </w:rPr>
        <w:t xml:space="preserve"> Poland oraz </w:t>
      </w:r>
      <w:r w:rsidRPr="005A2575">
        <w:rPr>
          <w:rFonts w:ascii="Calibri" w:hAnsi="Calibri" w:cs="Calibri"/>
          <w:color w:val="000000"/>
        </w:rPr>
        <w:t xml:space="preserve">Sentient. </w:t>
      </w:r>
    </w:p>
    <w:p w14:paraId="4CD305D9" w14:textId="77777777" w:rsidR="000E38BB" w:rsidRDefault="005A2575" w:rsidP="005A2575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– </w:t>
      </w:r>
      <w:r w:rsidRPr="005A2575">
        <w:rPr>
          <w:rFonts w:ascii="Calibri" w:eastAsia="Times New Roman" w:hAnsi="Calibri" w:cs="Calibri"/>
          <w:i/>
          <w:iCs/>
          <w:color w:val="000000"/>
          <w:lang w:eastAsia="pl-PL"/>
        </w:rPr>
        <w:t>Sprzedaż tak rozbudowanego portfolio nieruchomości handlowych była złożonym procesem, wymagającym ścisłej współpracy wszystkich zaangażowanych stron. Cieszę się, że wspólnie udało się doprowadzić go do pomyślnego finału. Dziękuję zespołom D</w:t>
      </w:r>
      <w:r>
        <w:rPr>
          <w:rFonts w:ascii="Calibri" w:eastAsia="Times New Roman" w:hAnsi="Calibri" w:cs="Calibri"/>
          <w:i/>
          <w:iCs/>
          <w:color w:val="000000"/>
          <w:lang w:eastAsia="pl-PL"/>
        </w:rPr>
        <w:t>ekada S.A.</w:t>
      </w:r>
      <w:r w:rsidRPr="005A2575">
        <w:rPr>
          <w:rFonts w:ascii="Calibri" w:eastAsia="Times New Roman" w:hAnsi="Calibri" w:cs="Calibri"/>
          <w:i/>
          <w:iCs/>
          <w:color w:val="000000"/>
          <w:lang w:eastAsia="pl-PL"/>
        </w:rPr>
        <w:t>, Appeninn oraz wszystkim doradcom za profesjonalizm, zaangażowanie i partnerską współpracę na każdym etapie projektu</w:t>
      </w:r>
      <w:r w:rsidRPr="005A2575">
        <w:rPr>
          <w:rFonts w:ascii="Calibri" w:eastAsia="Times New Roman" w:hAnsi="Calibri" w:cs="Calibri"/>
          <w:color w:val="000000"/>
          <w:lang w:eastAsia="pl-PL"/>
        </w:rPr>
        <w:t> – mówi </w:t>
      </w:r>
      <w:r w:rsidRPr="005A2575">
        <w:rPr>
          <w:rFonts w:ascii="Calibri" w:eastAsia="Times New Roman" w:hAnsi="Calibri" w:cs="Calibri"/>
          <w:b/>
          <w:bCs/>
          <w:color w:val="000000"/>
          <w:lang w:eastAsia="pl-PL"/>
        </w:rPr>
        <w:t>Anna Tomaszewska, Head of Investment w Grupie Capital Park.</w:t>
      </w:r>
    </w:p>
    <w:p w14:paraId="6F2BE21E" w14:textId="2C081324" w:rsidR="005A2575" w:rsidRDefault="005A2575" w:rsidP="005A2575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b/>
          <w:bCs/>
          <w:color w:val="000000"/>
          <w:lang w:eastAsia="pl-PL"/>
        </w:rPr>
      </w:pPr>
      <w:r>
        <w:rPr>
          <w:rFonts w:ascii="Calibri" w:eastAsia="Times New Roman" w:hAnsi="Calibri" w:cs="Calibri"/>
          <w:b/>
          <w:bCs/>
          <w:color w:val="000000"/>
          <w:lang w:eastAsia="pl-PL"/>
        </w:rPr>
        <w:lastRenderedPageBreak/>
        <w:t>Więcej informacji:</w:t>
      </w:r>
    </w:p>
    <w:p w14:paraId="5B8D2B8F" w14:textId="184F9048" w:rsidR="005A2575" w:rsidRPr="005A2575" w:rsidRDefault="005A2575" w:rsidP="005A2575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Lidia Piekarska-Juszczyk</w:t>
      </w:r>
    </w:p>
    <w:p w14:paraId="36FD23BE" w14:textId="17FFABDA" w:rsidR="005A2575" w:rsidRPr="005A2575" w:rsidRDefault="005A2575" w:rsidP="005A2575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Tel. 691 38 12 38</w:t>
      </w:r>
    </w:p>
    <w:p w14:paraId="2215723B" w14:textId="0C802E15" w:rsidR="005A2575" w:rsidRPr="00C4334B" w:rsidRDefault="005A2575" w:rsidP="00C4334B">
      <w:pPr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e-mail: l.piekarska@bepr.pl</w:t>
      </w:r>
    </w:p>
    <w:p w14:paraId="4C9EA7E0" w14:textId="5F608A15" w:rsidR="005A2575" w:rsidRDefault="005A2575" w:rsidP="005A2575">
      <w:pPr>
        <w:spacing w:before="100" w:beforeAutospacing="1" w:after="100" w:afterAutospacing="1" w:line="276" w:lineRule="auto"/>
        <w:jc w:val="both"/>
        <w:rPr>
          <w:rFonts w:ascii="Calibri" w:eastAsia="Times New Roman" w:hAnsi="Calibri" w:cs="Calibri"/>
          <w:color w:val="000000"/>
          <w:lang w:eastAsia="pl-PL"/>
        </w:rPr>
      </w:pPr>
      <w:r w:rsidRPr="005A2575">
        <w:rPr>
          <w:rFonts w:ascii="Calibri" w:eastAsia="Times New Roman" w:hAnsi="Calibri" w:cs="Calibri"/>
          <w:color w:val="000000"/>
          <w:lang w:eastAsia="pl-PL"/>
        </w:rPr>
        <w:t>***</w:t>
      </w:r>
    </w:p>
    <w:p w14:paraId="77823631" w14:textId="01A68B81" w:rsidR="009438C6" w:rsidRPr="009438C6" w:rsidRDefault="009438C6" w:rsidP="009438C6">
      <w:pPr>
        <w:spacing w:before="100" w:beforeAutospacing="1" w:after="100" w:afterAutospacing="1"/>
        <w:jc w:val="both"/>
        <w:rPr>
          <w:rFonts w:ascii="Calibri" w:eastAsia="Times New Roman" w:hAnsi="Calibri" w:cs="Calibri"/>
          <w:color w:val="000000"/>
          <w:sz w:val="21"/>
          <w:szCs w:val="21"/>
          <w:lang w:eastAsia="pl-PL"/>
        </w:rPr>
      </w:pPr>
      <w:r w:rsidRPr="009438C6">
        <w:rPr>
          <w:rFonts w:ascii="Calibri" w:hAnsi="Calibri" w:cs="Calibri"/>
          <w:b/>
          <w:bCs/>
          <w:color w:val="000000"/>
          <w:sz w:val="20"/>
          <w:szCs w:val="20"/>
        </w:rPr>
        <w:t>Dekada S.A.</w:t>
      </w:r>
      <w:r w:rsidRPr="009438C6">
        <w:rPr>
          <w:rFonts w:ascii="Calibri" w:hAnsi="Calibri" w:cs="Calibri"/>
          <w:color w:val="000000"/>
          <w:sz w:val="20"/>
          <w:szCs w:val="20"/>
        </w:rPr>
        <w:t xml:space="preserve"> jest polskim deweloperem i inwestorem działającym blisko 20 lat na rynku nieruchomości komercyjnych. Specjalizuje się w budowie nowoczesnych centrów convenience, w tym parków handlowych oraz wielofunkcyjnych obiektów integrujących funkcje handlowe i komunikacyjne. Największym aktywem pozostającym w portfolio spółki jest Galeria Handlowa Dekada Nysa otwarta w 2020 roku. Dwukondygnacyjny obiekt o powierzchni  20 tys. mkw. oferuje ponad 70 lokali handlowo-usługowych, posiada ofertę gastronomiczną i rozrywkową oraz podziemny parking na ponad 370 miejsc. Dekada S.A. prowadzi również przygotowania do realizacji Zintegrowanego Centrum Komunikacyjno-Handlowego w Mińsku Mazowieckim – nowoczesnego obiektu handlowego wraz z dworcami: kolejowym i autobusowym o powierzchni najmu ponad </w:t>
      </w:r>
      <w:r>
        <w:rPr>
          <w:rFonts w:ascii="Calibri" w:hAnsi="Calibri" w:cs="Calibri"/>
          <w:color w:val="000000"/>
          <w:sz w:val="20"/>
          <w:szCs w:val="20"/>
        </w:rPr>
        <w:br/>
      </w:r>
      <w:r w:rsidRPr="009438C6">
        <w:rPr>
          <w:rFonts w:ascii="Calibri" w:hAnsi="Calibri" w:cs="Calibri"/>
          <w:color w:val="000000"/>
          <w:sz w:val="20"/>
          <w:szCs w:val="20"/>
        </w:rPr>
        <w:t>5 tys. mkw.</w:t>
      </w:r>
    </w:p>
    <w:p w14:paraId="33CC6039" w14:textId="77777777" w:rsidR="009438C6" w:rsidRPr="009438C6" w:rsidRDefault="009438C6" w:rsidP="009438C6">
      <w:pPr>
        <w:pStyle w:val="isselectedend"/>
        <w:jc w:val="both"/>
        <w:rPr>
          <w:rFonts w:ascii="Calibri" w:hAnsi="Calibri" w:cs="Calibri"/>
          <w:color w:val="000000"/>
          <w:sz w:val="20"/>
          <w:szCs w:val="20"/>
        </w:rPr>
      </w:pPr>
      <w:r w:rsidRPr="009438C6">
        <w:rPr>
          <w:rStyle w:val="Pogrubienie"/>
          <w:rFonts w:ascii="Calibri" w:hAnsi="Calibri" w:cs="Calibri"/>
          <w:color w:val="000000"/>
          <w:sz w:val="20"/>
          <w:szCs w:val="20"/>
        </w:rPr>
        <w:t>O Appeninn Plc.</w:t>
      </w:r>
    </w:p>
    <w:p w14:paraId="42943F4D" w14:textId="77777777" w:rsidR="009438C6" w:rsidRPr="009438C6" w:rsidRDefault="009438C6" w:rsidP="009438C6">
      <w:pPr>
        <w:pStyle w:val="NormalnyWeb"/>
        <w:jc w:val="both"/>
        <w:rPr>
          <w:rFonts w:ascii="Calibri" w:hAnsi="Calibri" w:cs="Calibri"/>
          <w:color w:val="000000"/>
          <w:sz w:val="20"/>
          <w:szCs w:val="20"/>
        </w:rPr>
      </w:pPr>
      <w:r w:rsidRPr="009438C6">
        <w:rPr>
          <w:rFonts w:ascii="Calibri" w:hAnsi="Calibri" w:cs="Calibri"/>
          <w:color w:val="000000"/>
          <w:sz w:val="20"/>
          <w:szCs w:val="20"/>
        </w:rPr>
        <w:t>Appeninn Asset Management Holding Plc. jest notowaną w segmencie Premium Giełdy Papierów Wartościowych w Budapeszcie spółką inwestującą w nieruchomości. Strategia inwestycyjna Grupy koncentruje się na nieruchomościach biurowych, handlowych i logistycznych generujących stabilne dochody, zlokalizowanych na Węgrzech oraz w krajach Europy Środkowo-Wschodniej.</w:t>
      </w:r>
    </w:p>
    <w:p w14:paraId="63E5E2F5" w14:textId="77777777" w:rsidR="00AF41F0" w:rsidRPr="005A2575" w:rsidRDefault="00AF41F0" w:rsidP="005A2575">
      <w:pPr>
        <w:spacing w:line="276" w:lineRule="auto"/>
        <w:jc w:val="both"/>
        <w:rPr>
          <w:rFonts w:ascii="Calibri" w:hAnsi="Calibri" w:cs="Calibri"/>
        </w:rPr>
      </w:pPr>
    </w:p>
    <w:p w14:paraId="1E45A25D" w14:textId="77777777" w:rsidR="00AF41F0" w:rsidRPr="005A2575" w:rsidRDefault="00AF41F0" w:rsidP="005A2575">
      <w:pPr>
        <w:spacing w:line="276" w:lineRule="auto"/>
        <w:jc w:val="both"/>
        <w:rPr>
          <w:rFonts w:ascii="Calibri" w:hAnsi="Calibri" w:cs="Calibri"/>
        </w:rPr>
      </w:pPr>
    </w:p>
    <w:p w14:paraId="784F8A8E" w14:textId="77777777" w:rsidR="00AF41F0" w:rsidRPr="005A2575" w:rsidRDefault="00AF41F0" w:rsidP="005A2575">
      <w:pPr>
        <w:spacing w:line="276" w:lineRule="auto"/>
        <w:jc w:val="both"/>
        <w:rPr>
          <w:rFonts w:ascii="Calibri" w:hAnsi="Calibri" w:cs="Calibri"/>
        </w:rPr>
      </w:pPr>
    </w:p>
    <w:p w14:paraId="7C72F6D0" w14:textId="77777777" w:rsidR="001F792F" w:rsidRPr="005A2575" w:rsidRDefault="001F792F" w:rsidP="005A2575">
      <w:pPr>
        <w:spacing w:line="276" w:lineRule="auto"/>
        <w:jc w:val="both"/>
        <w:rPr>
          <w:rFonts w:ascii="Calibri" w:eastAsiaTheme="minorEastAsia" w:hAnsi="Calibri" w:cs="Calibri"/>
        </w:rPr>
      </w:pPr>
    </w:p>
    <w:p w14:paraId="1BC89A1B" w14:textId="77777777" w:rsidR="001F792F" w:rsidRPr="005A2575" w:rsidRDefault="001F792F" w:rsidP="005A2575">
      <w:pPr>
        <w:spacing w:line="276" w:lineRule="auto"/>
        <w:jc w:val="both"/>
        <w:rPr>
          <w:rFonts w:ascii="Calibri" w:hAnsi="Calibri" w:cs="Calibri"/>
        </w:rPr>
      </w:pPr>
    </w:p>
    <w:p w14:paraId="79CCBA33" w14:textId="458C07A2" w:rsidR="001F792F" w:rsidRPr="005A2575" w:rsidRDefault="001F792F" w:rsidP="005A2575">
      <w:pPr>
        <w:spacing w:line="276" w:lineRule="auto"/>
        <w:jc w:val="both"/>
        <w:rPr>
          <w:rFonts w:ascii="Calibri" w:hAnsi="Calibri" w:cs="Calibri"/>
        </w:rPr>
      </w:pPr>
    </w:p>
    <w:p w14:paraId="3E101FCD" w14:textId="77777777" w:rsidR="001F792F" w:rsidRPr="005A2575" w:rsidRDefault="001F792F" w:rsidP="005A2575">
      <w:pPr>
        <w:spacing w:line="276" w:lineRule="auto"/>
        <w:jc w:val="both"/>
        <w:rPr>
          <w:rFonts w:ascii="Calibri" w:hAnsi="Calibri" w:cs="Calibri"/>
        </w:rPr>
      </w:pPr>
    </w:p>
    <w:p w14:paraId="6A11E47D" w14:textId="7ADC0FDD" w:rsidR="00BE6B08" w:rsidRPr="005A2575" w:rsidRDefault="00BE6B08" w:rsidP="005A2575">
      <w:pPr>
        <w:spacing w:line="276" w:lineRule="auto"/>
        <w:jc w:val="both"/>
        <w:rPr>
          <w:rFonts w:ascii="Calibri" w:hAnsi="Calibri" w:cs="Calibri"/>
        </w:rPr>
      </w:pPr>
    </w:p>
    <w:sectPr w:rsidR="00BE6B08" w:rsidRPr="005A2575" w:rsidSect="00CB3C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682" w:right="1418" w:bottom="266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A1F69" w14:textId="77777777" w:rsidR="005413FE" w:rsidRDefault="005413FE" w:rsidP="005050A2">
      <w:r>
        <w:separator/>
      </w:r>
    </w:p>
  </w:endnote>
  <w:endnote w:type="continuationSeparator" w:id="0">
    <w:p w14:paraId="5C82686F" w14:textId="77777777" w:rsidR="005413FE" w:rsidRDefault="005413FE" w:rsidP="0050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(normal text)">
    <w:altName w:val="Times New Roman"/>
    <w:panose1 w:val="020B0604020202020204"/>
    <w:charset w:val="00"/>
    <w:family w:val="roman"/>
    <w:notTrueType/>
    <w:pitch w:val="default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EA0F4" w14:textId="77777777" w:rsidR="005050A2" w:rsidRDefault="005050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B0A3E" w14:textId="77777777" w:rsidR="005050A2" w:rsidRDefault="005050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78B96" w14:textId="77777777" w:rsidR="005050A2" w:rsidRDefault="005050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4C140" w14:textId="77777777" w:rsidR="005413FE" w:rsidRDefault="005413FE" w:rsidP="005050A2">
      <w:r>
        <w:separator/>
      </w:r>
    </w:p>
  </w:footnote>
  <w:footnote w:type="continuationSeparator" w:id="0">
    <w:p w14:paraId="048CA76F" w14:textId="77777777" w:rsidR="005413FE" w:rsidRDefault="005413FE" w:rsidP="00505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5DB55" w14:textId="1BB64EA4" w:rsidR="005050A2" w:rsidRDefault="005413FE">
    <w:pPr>
      <w:pStyle w:val="Nagwek"/>
    </w:pPr>
    <w:r>
      <w:rPr>
        <w:noProof/>
        <w:lang w:val="en-GB" w:eastAsia="en-GB"/>
      </w:rPr>
      <w:pict w14:anchorId="236AE07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7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IER_FIRMOW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7FCFF" w14:textId="15854265" w:rsidR="005050A2" w:rsidRDefault="005413FE">
    <w:pPr>
      <w:pStyle w:val="Nagwek"/>
    </w:pPr>
    <w:r>
      <w:rPr>
        <w:noProof/>
        <w:lang w:val="en-GB" w:eastAsia="en-GB"/>
      </w:rPr>
      <w:pict w14:anchorId="32507AD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IER_FIRMOWY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F6EBA2" w14:textId="0C8F2BBE" w:rsidR="005050A2" w:rsidRDefault="005413FE">
    <w:pPr>
      <w:pStyle w:val="Nagwek"/>
    </w:pPr>
    <w:r>
      <w:rPr>
        <w:noProof/>
        <w:lang w:val="en-GB" w:eastAsia="en-GB"/>
      </w:rPr>
      <w:pict w14:anchorId="66E0552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2pt;height:841.9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APIER_FIRMOW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5FD87E24"/>
    <w:lvl w:ilvl="0">
      <w:start w:val="1"/>
      <w:numFmt w:val="decimal"/>
      <w:pStyle w:val="Listanumerowana"/>
      <w:lvlText w:val="%1."/>
      <w:lvlJc w:val="left"/>
      <w:pPr>
        <w:tabs>
          <w:tab w:val="num" w:pos="113"/>
        </w:tabs>
        <w:ind w:left="113" w:hanging="113"/>
      </w:pPr>
      <w:rPr>
        <w:rFonts w:hint="default"/>
        <w:sz w:val="22"/>
        <w:szCs w:val="22"/>
      </w:rPr>
    </w:lvl>
  </w:abstractNum>
  <w:abstractNum w:abstractNumId="1" w15:restartNumberingAfterBreak="0">
    <w:nsid w:val="0C165AE2"/>
    <w:multiLevelType w:val="multilevel"/>
    <w:tmpl w:val="4412B2A4"/>
    <w:lvl w:ilvl="0">
      <w:start w:val="1"/>
      <w:numFmt w:val="decimal"/>
      <w:pStyle w:val="Zalacznik1"/>
      <w:suff w:val="nothing"/>
      <w:lvlText w:val="ZAŁĄCZNIK %1"/>
      <w:lvlJc w:val="left"/>
      <w:pPr>
        <w:tabs>
          <w:tab w:val="num" w:pos="0"/>
        </w:tabs>
        <w:ind w:left="0" w:firstLine="0"/>
      </w:pPr>
      <w:rPr>
        <w:rFonts w:ascii="(normal text)" w:hAnsi="(normal text)" w:hint="default"/>
        <w:b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>
      <w:start w:val="1"/>
      <w:numFmt w:val="decimal"/>
      <w:pStyle w:val="Zalacznik2"/>
      <w:suff w:val="nothing"/>
      <w:lvlText w:val="Część %2 - "/>
      <w:lvlJc w:val="left"/>
      <w:pPr>
        <w:tabs>
          <w:tab w:val="num" w:pos="0"/>
        </w:tabs>
        <w:ind w:left="0" w:firstLine="0"/>
      </w:pPr>
      <w:rPr>
        <w:rFonts w:ascii="(normal text)" w:hAnsi="(normal text)" w:hint="default"/>
        <w:b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</w:rPr>
    </w:lvl>
    <w:lvl w:ilvl="2">
      <w:start w:val="1"/>
      <w:numFmt w:val="lowerLetter"/>
      <w:pStyle w:val="Zalacznik3"/>
      <w:lvlText w:val="%3)"/>
      <w:lvlJc w:val="left"/>
      <w:pPr>
        <w:tabs>
          <w:tab w:val="num" w:pos="0"/>
        </w:tabs>
        <w:ind w:left="576" w:hanging="576"/>
      </w:pPr>
      <w:rPr>
        <w:rFonts w:ascii="(normal text)" w:hAnsi="(normal text)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3">
      <w:start w:val="1"/>
      <w:numFmt w:val="none"/>
      <w:pStyle w:val="Zalacznik4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spacing w:val="0"/>
        <w:w w:val="100"/>
        <w:kern w:val="0"/>
        <w:position w:val="0"/>
        <w:sz w:val="24"/>
        <w:u w:val="none"/>
        <w:effect w:val="none"/>
        <w:vertAlign w:val="baseline"/>
      </w:rPr>
    </w:lvl>
    <w:lvl w:ilvl="4">
      <w:start w:val="1"/>
      <w:numFmt w:val="none"/>
      <w:pStyle w:val="Zalacznik5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u w:val="none"/>
        <w:effect w:val="none"/>
        <w:vertAlign w:val="baseline"/>
      </w:rPr>
    </w:lvl>
    <w:lvl w:ilvl="5">
      <w:start w:val="1"/>
      <w:numFmt w:val="none"/>
      <w:pStyle w:val="Zalacznik6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u w:val="none"/>
        <w:effect w:val="none"/>
        <w:vertAlign w:val="baseline"/>
      </w:rPr>
    </w:lvl>
    <w:lvl w:ilvl="6">
      <w:start w:val="1"/>
      <w:numFmt w:val="none"/>
      <w:pStyle w:val="Zalacznik7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u w:val="none"/>
        <w:effect w:val="none"/>
        <w:vertAlign w:val="baseline"/>
      </w:rPr>
    </w:lvl>
    <w:lvl w:ilvl="7">
      <w:start w:val="1"/>
      <w:numFmt w:val="none"/>
      <w:pStyle w:val="Zalacznik8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u w:val="none"/>
        <w:effect w:val="none"/>
        <w:vertAlign w:val="baseline"/>
      </w:rPr>
    </w:lvl>
    <w:lvl w:ilvl="8">
      <w:start w:val="1"/>
      <w:numFmt w:val="none"/>
      <w:pStyle w:val="Zalacznik9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z w:val="24"/>
        <w:u w:val="none"/>
        <w:effect w:val="none"/>
        <w:vertAlign w:val="baseline"/>
      </w:rPr>
    </w:lvl>
  </w:abstractNum>
  <w:num w:numId="1" w16cid:durableId="681902381">
    <w:abstractNumId w:val="1"/>
  </w:num>
  <w:num w:numId="2" w16cid:durableId="1398743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A2"/>
    <w:rsid w:val="00022FBE"/>
    <w:rsid w:val="00073A59"/>
    <w:rsid w:val="000B4D00"/>
    <w:rsid w:val="000E38BB"/>
    <w:rsid w:val="00156A3D"/>
    <w:rsid w:val="001A716B"/>
    <w:rsid w:val="001C27AA"/>
    <w:rsid w:val="001C7271"/>
    <w:rsid w:val="001F792F"/>
    <w:rsid w:val="00211C92"/>
    <w:rsid w:val="002517B8"/>
    <w:rsid w:val="002678DC"/>
    <w:rsid w:val="002937FA"/>
    <w:rsid w:val="002A43E5"/>
    <w:rsid w:val="002E65EC"/>
    <w:rsid w:val="002F13E0"/>
    <w:rsid w:val="00313FF4"/>
    <w:rsid w:val="00381FFF"/>
    <w:rsid w:val="00385CF1"/>
    <w:rsid w:val="0039412E"/>
    <w:rsid w:val="003C4E9A"/>
    <w:rsid w:val="00456C83"/>
    <w:rsid w:val="004E68D1"/>
    <w:rsid w:val="005050A2"/>
    <w:rsid w:val="00530BCE"/>
    <w:rsid w:val="005413FE"/>
    <w:rsid w:val="00550829"/>
    <w:rsid w:val="005613F1"/>
    <w:rsid w:val="005A2575"/>
    <w:rsid w:val="0062263D"/>
    <w:rsid w:val="00652BD2"/>
    <w:rsid w:val="0068044A"/>
    <w:rsid w:val="00681C10"/>
    <w:rsid w:val="00683BAE"/>
    <w:rsid w:val="006974E5"/>
    <w:rsid w:val="006D1336"/>
    <w:rsid w:val="0078258E"/>
    <w:rsid w:val="00814BD5"/>
    <w:rsid w:val="008152B6"/>
    <w:rsid w:val="008A50E1"/>
    <w:rsid w:val="008A784F"/>
    <w:rsid w:val="009163D2"/>
    <w:rsid w:val="009438C6"/>
    <w:rsid w:val="00A57207"/>
    <w:rsid w:val="00AF41F0"/>
    <w:rsid w:val="00B57E45"/>
    <w:rsid w:val="00B9395D"/>
    <w:rsid w:val="00BE6B08"/>
    <w:rsid w:val="00C4334B"/>
    <w:rsid w:val="00C56496"/>
    <w:rsid w:val="00C665EF"/>
    <w:rsid w:val="00C76E62"/>
    <w:rsid w:val="00CB3C99"/>
    <w:rsid w:val="00D20EE3"/>
    <w:rsid w:val="00D22BA9"/>
    <w:rsid w:val="00D60650"/>
    <w:rsid w:val="00D973C8"/>
    <w:rsid w:val="00DB1CB1"/>
    <w:rsid w:val="00DE16A6"/>
    <w:rsid w:val="00E22D9E"/>
    <w:rsid w:val="00EF3DC5"/>
    <w:rsid w:val="00F8182A"/>
    <w:rsid w:val="00FF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A3CC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A257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050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050A2"/>
  </w:style>
  <w:style w:type="paragraph" w:styleId="Stopka">
    <w:name w:val="footer"/>
    <w:basedOn w:val="Normalny"/>
    <w:link w:val="StopkaZnak"/>
    <w:uiPriority w:val="99"/>
    <w:unhideWhenUsed/>
    <w:rsid w:val="005050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050A2"/>
  </w:style>
  <w:style w:type="paragraph" w:styleId="Tekstpodstawowy">
    <w:name w:val="Body Text"/>
    <w:basedOn w:val="Normalny"/>
    <w:link w:val="TekstpodstawowyZnak"/>
    <w:rsid w:val="00BE6B08"/>
    <w:pPr>
      <w:spacing w:after="240"/>
      <w:jc w:val="both"/>
    </w:pPr>
    <w:rPr>
      <w:rFonts w:ascii="Times New Roman" w:eastAsia="Times New Roman" w:hAnsi="Times New Roman" w:cs="Times New Roman"/>
      <w:sz w:val="22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rsid w:val="00BE6B08"/>
    <w:rPr>
      <w:rFonts w:ascii="Times New Roman" w:eastAsia="Times New Roman" w:hAnsi="Times New Roman" w:cs="Times New Roman"/>
      <w:sz w:val="22"/>
      <w:szCs w:val="20"/>
      <w:lang w:val="en-US"/>
    </w:rPr>
  </w:style>
  <w:style w:type="paragraph" w:customStyle="1" w:styleId="Zalacznik1">
    <w:name w:val="Zalacznik 1"/>
    <w:basedOn w:val="Normalny"/>
    <w:next w:val="Tekstpodstawowy"/>
    <w:rsid w:val="00BE6B08"/>
    <w:pPr>
      <w:numPr>
        <w:numId w:val="1"/>
      </w:numPr>
      <w:tabs>
        <w:tab w:val="clear" w:pos="0"/>
      </w:tabs>
      <w:spacing w:after="360"/>
      <w:jc w:val="center"/>
      <w:outlineLvl w:val="0"/>
    </w:pPr>
    <w:rPr>
      <w:rFonts w:ascii="Times New Roman" w:eastAsia="Times New Roman" w:hAnsi="Times New Roman" w:cs="Times New Roman"/>
      <w:b/>
      <w:sz w:val="22"/>
      <w:szCs w:val="20"/>
      <w:lang w:val="en-US"/>
    </w:rPr>
  </w:style>
  <w:style w:type="paragraph" w:customStyle="1" w:styleId="Zalacznik2">
    <w:name w:val="Zalacznik 2"/>
    <w:basedOn w:val="Normalny"/>
    <w:next w:val="Tekstpodstawowy"/>
    <w:rsid w:val="00BE6B08"/>
    <w:pPr>
      <w:numPr>
        <w:ilvl w:val="1"/>
        <w:numId w:val="1"/>
      </w:numPr>
      <w:tabs>
        <w:tab w:val="clear" w:pos="0"/>
      </w:tabs>
      <w:spacing w:after="360"/>
      <w:jc w:val="center"/>
      <w:outlineLvl w:val="1"/>
    </w:pPr>
    <w:rPr>
      <w:rFonts w:ascii="Times New Roman" w:eastAsia="Times New Roman" w:hAnsi="Times New Roman" w:cs="Times New Roman"/>
      <w:b/>
      <w:sz w:val="22"/>
      <w:szCs w:val="20"/>
      <w:lang w:val="en-US"/>
    </w:rPr>
  </w:style>
  <w:style w:type="paragraph" w:customStyle="1" w:styleId="Zalacznik3">
    <w:name w:val="Zalacznik 3"/>
    <w:basedOn w:val="Normalny"/>
    <w:next w:val="Tekstpodstawowy"/>
    <w:rsid w:val="00BE6B08"/>
    <w:pPr>
      <w:numPr>
        <w:ilvl w:val="2"/>
        <w:numId w:val="1"/>
      </w:numPr>
      <w:tabs>
        <w:tab w:val="clear" w:pos="0"/>
      </w:tabs>
      <w:spacing w:after="240"/>
      <w:jc w:val="both"/>
      <w:outlineLvl w:val="2"/>
    </w:pPr>
    <w:rPr>
      <w:rFonts w:ascii="Times New Roman" w:eastAsia="Times New Roman" w:hAnsi="Times New Roman" w:cs="Times New Roman"/>
      <w:sz w:val="22"/>
      <w:szCs w:val="20"/>
      <w:lang w:val="en-US"/>
    </w:rPr>
  </w:style>
  <w:style w:type="paragraph" w:customStyle="1" w:styleId="Zalacznik4">
    <w:name w:val="Zalacznik 4"/>
    <w:basedOn w:val="Normalny"/>
    <w:next w:val="Tekstpodstawowy"/>
    <w:rsid w:val="00BE6B08"/>
    <w:pPr>
      <w:numPr>
        <w:ilvl w:val="3"/>
        <w:numId w:val="1"/>
      </w:numPr>
      <w:tabs>
        <w:tab w:val="clear" w:pos="0"/>
      </w:tabs>
      <w:spacing w:after="240"/>
      <w:outlineLvl w:val="3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Zalacznik5">
    <w:name w:val="Zalacznik 5"/>
    <w:basedOn w:val="Normalny"/>
    <w:next w:val="Tekstpodstawowy"/>
    <w:rsid w:val="00BE6B08"/>
    <w:pPr>
      <w:numPr>
        <w:ilvl w:val="4"/>
        <w:numId w:val="1"/>
      </w:numPr>
      <w:tabs>
        <w:tab w:val="clear" w:pos="0"/>
      </w:tabs>
      <w:spacing w:after="240"/>
      <w:outlineLvl w:val="4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Zalacznik6">
    <w:name w:val="Zalacznik 6"/>
    <w:basedOn w:val="Normalny"/>
    <w:next w:val="Tekstpodstawowy"/>
    <w:rsid w:val="00BE6B08"/>
    <w:pPr>
      <w:numPr>
        <w:ilvl w:val="5"/>
        <w:numId w:val="1"/>
      </w:numPr>
      <w:tabs>
        <w:tab w:val="clear" w:pos="0"/>
      </w:tabs>
      <w:spacing w:after="240"/>
      <w:outlineLvl w:val="5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Zalacznik7">
    <w:name w:val="Zalacznik 7"/>
    <w:basedOn w:val="Normalny"/>
    <w:next w:val="Tekstpodstawowy"/>
    <w:rsid w:val="00BE6B08"/>
    <w:pPr>
      <w:numPr>
        <w:ilvl w:val="6"/>
        <w:numId w:val="1"/>
      </w:numPr>
      <w:tabs>
        <w:tab w:val="clear" w:pos="0"/>
      </w:tabs>
      <w:spacing w:after="240"/>
      <w:outlineLvl w:val="6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Zalacznik8">
    <w:name w:val="Zalacznik 8"/>
    <w:basedOn w:val="Normalny"/>
    <w:next w:val="Tekstpodstawowy"/>
    <w:rsid w:val="00BE6B08"/>
    <w:pPr>
      <w:numPr>
        <w:ilvl w:val="7"/>
        <w:numId w:val="1"/>
      </w:numPr>
      <w:tabs>
        <w:tab w:val="clear" w:pos="0"/>
      </w:tabs>
      <w:spacing w:after="240"/>
      <w:outlineLvl w:val="7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Zalacznik9">
    <w:name w:val="Zalacznik 9"/>
    <w:basedOn w:val="Normalny"/>
    <w:next w:val="Tekstpodstawowy"/>
    <w:rsid w:val="00BE6B08"/>
    <w:pPr>
      <w:numPr>
        <w:ilvl w:val="8"/>
        <w:numId w:val="1"/>
      </w:numPr>
      <w:tabs>
        <w:tab w:val="clear" w:pos="0"/>
      </w:tabs>
      <w:spacing w:after="240"/>
      <w:outlineLvl w:val="8"/>
    </w:pPr>
    <w:rPr>
      <w:rFonts w:ascii="Times New Roman" w:eastAsia="Times New Roman" w:hAnsi="Times New Roman" w:cs="Times New Roman"/>
      <w:szCs w:val="20"/>
      <w:lang w:val="en-US"/>
    </w:rPr>
  </w:style>
  <w:style w:type="paragraph" w:styleId="Listanumerowana">
    <w:name w:val="List Number"/>
    <w:basedOn w:val="Normalny"/>
    <w:rsid w:val="00BE6B08"/>
    <w:pPr>
      <w:numPr>
        <w:numId w:val="2"/>
      </w:numPr>
      <w:spacing w:after="240"/>
    </w:pPr>
    <w:rPr>
      <w:rFonts w:ascii="Times New Roman" w:eastAsia="Times New Roman" w:hAnsi="Times New Roman" w:cs="Times New Roman"/>
      <w:szCs w:val="20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5A257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A257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apple-converted-space">
    <w:name w:val="apple-converted-space"/>
    <w:basedOn w:val="Domylnaczcionkaakapitu"/>
    <w:rsid w:val="005A2575"/>
  </w:style>
  <w:style w:type="character" w:styleId="Pogrubienie">
    <w:name w:val="Strong"/>
    <w:basedOn w:val="Domylnaczcionkaakapitu"/>
    <w:uiPriority w:val="22"/>
    <w:qFormat/>
    <w:rsid w:val="005A2575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A25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25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25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25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2575"/>
    <w:rPr>
      <w:b/>
      <w:bCs/>
      <w:sz w:val="20"/>
      <w:szCs w:val="20"/>
    </w:rPr>
  </w:style>
  <w:style w:type="paragraph" w:customStyle="1" w:styleId="isselectedend">
    <w:name w:val="isselectedend"/>
    <w:basedOn w:val="Normalny"/>
    <w:rsid w:val="009438C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BC31456D39E334EA08297E881D647E3" ma:contentTypeVersion="19" ma:contentTypeDescription="Utwórz nowy dokument." ma:contentTypeScope="" ma:versionID="87d1f65ce1fc93414f8f9fedf9e714aa">
  <xsd:schema xmlns:xsd="http://www.w3.org/2001/XMLSchema" xmlns:xs="http://www.w3.org/2001/XMLSchema" xmlns:p="http://schemas.microsoft.com/office/2006/metadata/properties" xmlns:ns2="77e85d6a-96f4-448c-b64f-017e96eb57f9" xmlns:ns3="3020fa96-ad1a-46b9-9edc-0be7c94edd2e" targetNamespace="http://schemas.microsoft.com/office/2006/metadata/properties" ma:root="true" ma:fieldsID="1e4c34c467b75e69394ab6ebbf9f543d" ns2:_="" ns3:_="">
    <xsd:import namespace="77e85d6a-96f4-448c-b64f-017e96eb57f9"/>
    <xsd:import namespace="3020fa96-ad1a-46b9-9edc-0be7c94edd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e85d6a-96f4-448c-b64f-017e96eb57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0a8408ad-6a68-490f-84dd-7a24ff8f02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20fa96-ad1a-46b9-9edc-0be7c94edd2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eb251e4-b70b-4a4e-830c-75bb1669ae58}" ma:internalName="TaxCatchAll" ma:showField="CatchAllData" ma:web="3020fa96-ad1a-46b9-9edc-0be7c94edd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7e85d6a-96f4-448c-b64f-017e96eb57f9">
      <Terms xmlns="http://schemas.microsoft.com/office/infopath/2007/PartnerControls"/>
    </lcf76f155ced4ddcb4097134ff3c332f>
    <TaxCatchAll xmlns="3020fa96-ad1a-46b9-9edc-0be7c94edd2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8A3E8F97-AF00-4E9C-BD02-294B29A9F8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e85d6a-96f4-448c-b64f-017e96eb57f9"/>
    <ds:schemaRef ds:uri="3020fa96-ad1a-46b9-9edc-0be7c94edd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9770AE-C5D9-4C15-AE20-18F28CBC59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0B0D9CF-4E68-4337-9CA5-A3798D0EC795}">
  <ds:schemaRefs>
    <ds:schemaRef ds:uri="http://schemas.microsoft.com/office/2006/metadata/properties"/>
    <ds:schemaRef ds:uri="http://schemas.microsoft.com/office/infopath/2007/PartnerControls"/>
    <ds:schemaRef ds:uri="77e85d6a-96f4-448c-b64f-017e96eb57f9"/>
    <ds:schemaRef ds:uri="3020fa96-ad1a-46b9-9edc-0be7c94edd2e"/>
  </ds:schemaRefs>
</ds:datastoreItem>
</file>

<file path=customXml/itemProps4.xml><?xml version="1.0" encoding="utf-8"?>
<ds:datastoreItem xmlns:ds="http://schemas.openxmlformats.org/officeDocument/2006/customXml" ds:itemID="{09D0A72C-6E9B-4636-9F0A-7A6565E7A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709</Words>
  <Characters>5017</Characters>
  <Application>Microsoft Office Word</Application>
  <DocSecurity>0</DocSecurity>
  <Lines>80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Microsoft Office</dc:creator>
  <cp:keywords/>
  <dc:description/>
  <cp:lastModifiedBy>Lidia Piekarska</cp:lastModifiedBy>
  <cp:revision>9</cp:revision>
  <cp:lastPrinted>2020-07-10T08:33:00Z</cp:lastPrinted>
  <dcterms:created xsi:type="dcterms:W3CDTF">2026-07-31T10:36:00Z</dcterms:created>
  <dcterms:modified xsi:type="dcterms:W3CDTF">2026-08-03T09:22:00Z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0x010100FBC31456D39E334EA08297E881D647E3</vt:lpwstr>
  </property>
</Properties>
</file>