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E3AA" w14:textId="77777777" w:rsidR="008E437A" w:rsidRDefault="008E437A">
      <w:pPr>
        <w:tabs>
          <w:tab w:val="left" w:pos="1230"/>
        </w:tabs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34B2C787" w14:textId="77777777" w:rsidR="008E437A" w:rsidRDefault="00000000">
      <w:pPr>
        <w:tabs>
          <w:tab w:val="left" w:pos="1230"/>
        </w:tabs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 jest ważniejsze w performance marketingu – przewidywalne wyniki kampanii czy chwilowe maksima?</w:t>
      </w:r>
    </w:p>
    <w:p w14:paraId="499D468E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 xml:space="preserve">Wyglądają imponująco w raportach, ale czy to właśnie one pomagają markom efektywnie planować przychody i zarządzać budżetem? Mowa o pojedynczych okresach bardzo wysokiej sprzedaży i o nagłych wzrostach ROAS. Wiele kampanii digitalowych wciąż jest ocenianych właśnie z tej perspektywy, podczas gdy realna wartość biznesowa tych wskaźników jest niewielka. Poniżej tłumaczymy, dlaczego chwilowe maksima nie są w stanie pomóc firmom rosnąć w dłuższej perspektywie, a także jak planować kampanie, w których możemy oczekiwać stabilnych i jednocześnie wysokich wyników. </w:t>
      </w:r>
    </w:p>
    <w:p w14:paraId="31A89E7D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Brak powtarzalności = niebezpieczna przypadkowość</w:t>
      </w:r>
    </w:p>
    <w:p w14:paraId="2CD4E047" w14:textId="533F84EB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Marki funkcjonują w środowisku, w którym liczba zmiennych wpływających na powodzenie kampanii jest coraz wyższa. To m.in. dynamiczna sytuacja geopolityczna, sezonowe wydarzenia, krótkotrwałe trendy</w:t>
      </w:r>
      <w:r w:rsidR="00531040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czy czynniki zewnętrzne - jak np. pogoda, która ma szczególne znaczenie zwłaszcza w branży fashion i potrafi bezpośrednio przełożyć się na decyzje zakupowe klientów. Kampanie narażone są więc na duże wahania i muszą reagować na trudne do kontrolowania impulsy. W takich właśnie warunkach pojawia się przestrzeń do pików sprzedażowych, jakie są efektem nagłego wzrostu popytu, za którym często stoi jeden z wielu krótkotrwałych trendów. </w:t>
      </w:r>
    </w:p>
    <w:p w14:paraId="7DACC67A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Wyobraź sobie scenariusz, w którym jednego tygodnia Twoja kampania znacząco przewyższa zakładane cele, a kolejnego jest wyraźnie poniżej przyjętych założeń. Taka zmienność utrudnia planowanie budżetu, ocenę rzeczywistej kondycji prowadzonej kampanii, a także ogranicza skalowanie działań reklamowych. Pojawia się więc element przypadkowości, a ten będzie mieć niekorzystne przełożenie na efektywność kampanii, docelowo negatywnie wpływając również na rozwój biznesu.</w:t>
      </w:r>
    </w:p>
    <w:p w14:paraId="6847297C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Imponujące maksima - kiedy utrudniają interpretację wyników kampanii</w:t>
      </w:r>
    </w:p>
    <w:p w14:paraId="0D0F5AEF" w14:textId="46DB1C83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Oczywiście samo pojawienie się piku sprzedażowego nie jest problemem. Podobnie jego zakończenie i spadek wolumenu sprzedaży nie powinny być automatycznie interpretowane jako pogorszenie efektywności kampanii. W praktyce często oznacza to jedynie zmianę skali, wynikającą z wygaszenia impulsu popytowego, przy jednoczesnym utrzymaniu zakładanych parametrów, takich jak ROAS</w:t>
      </w:r>
      <w:r w:rsidR="00531040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czy CPS. Nie jest to więc sygnał, że kampania przestaje sobie radzić ze zmiennymi warunkami rynkowymi, lecz moment, w którym kluczowe staje się właściwe odczytanie danych. Spadek wolumenu po okresie wysokiego popytu utrudnia jednoznaczne rozdzielenie, jaka część sprzedaży wynika z działań marketingowych, a jaka jest efektem chwilowej koniunktury.</w:t>
      </w:r>
      <w:r>
        <w:t xml:space="preserve"> </w:t>
      </w:r>
      <w:r>
        <w:rPr>
          <w:rFonts w:ascii="Calibri" w:eastAsia="Calibri" w:hAnsi="Calibri" w:cs="Calibri"/>
        </w:rPr>
        <w:t>Dlatego decyzje biznesowe powinny uwzględniać nie tylko wartości sprzedaży, ale także efektywność kampanii oraz jej udział w całkowitych wynikach – a w konsekwencji opierać się na podejściu, które zapewnia większą przewidywalność i kontrolę nad wynikami w czasie.</w:t>
      </w:r>
    </w:p>
    <w:p w14:paraId="212030FB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Stabilność nie oznacza rezygnacji z wysokich wyników</w:t>
      </w:r>
    </w:p>
    <w:p w14:paraId="6B03E2D3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 przewidywalnością wyników dostarczanych w ramach konkretnej kampanii stoją algorytmy i to, w jaki sposób są one wykorzystywane. Kluczowe jest więc to, czy algorytm uczy się w sposób spójny, optymalizując swoje działania w dłuższej perspektywie, tj. przy uwzględnieniu zmiennego popytu, sezonowości, ale też działań konkurencji. A przede wszystkim unikając reagowania jedynie na krótkoterminowe bodźce. </w:t>
      </w:r>
    </w:p>
    <w:p w14:paraId="0F21AA19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I najważniejsza kwestia – stabilne wyniki nie oznaczają rezygnacji z ambicji wzrostu. Dobrze skonfigurowany system powinien nie tylko utrzymywać przewidywalny poziom efektywności, ale równolegle wykorzystywać nadarzające się okazje rynkowe. Co to oznacza? Odpowiednio ustawiony algorytm, w przypadku wzrostu popytu lub spadku kosztów zakupu ruchu, jest gotowy do dynamicznego zwiększenia skali działań, a w konsekwencji do dostarczenia wyników przewyższających optymistyczne prognozy. I tu dochodzimy do meritum – pomimo osiągania maksimów, zaawansowane systemy reklamowe, pozwalają uniknąć ryzyka destabilizacji kampanii. </w:t>
      </w:r>
    </w:p>
    <w:p w14:paraId="198734DC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Realna kontrola nad kampanią, czyli przewidywalność jest bezcenna</w:t>
      </w:r>
    </w:p>
    <w:p w14:paraId="7303A31A" w14:textId="77777777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Jeśli kampania raz działa dobrze, a za chwilę bardzo przeciętnie, nie ma mowy o realnej kontroli nad nią. W takich warunkach próba wyciągania konstruktywnych wniosków na podstawie wyników kampanii jest praktycznie niemożliwa. Duże wahania w wynikach to jasny sygnał dla marketerów, że powinna nastąpić zmiana optyki, jeśli chodzi o ocenę efektywności prowadzonych działań. </w:t>
      </w:r>
    </w:p>
    <w:p w14:paraId="6D950BB6" w14:textId="13792646" w:rsidR="008E437A" w:rsidRDefault="00000000">
      <w:pPr>
        <w:tabs>
          <w:tab w:val="left" w:pos="123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Kierunek jest prosty – odejście od jednostkowych rekordów na rzecz analizy tego, jak wyniki rozkładają się w czasie. Parametry takie jak powtarzalność wyników oraz to, jak kampania radzi sobie ze zmiennymi warunkami rynkowymi, pokazują, czy została ona dobrze zoptymalizowana i na ile jest przygotowana na realia dynamicznego rynku. W praktyce nie chodzi o eliminowanie wahań - bo te są nieuniknione - ale o zdolność do efektywnego reagowania na nie oraz dopasowania działań do zmieniających się czynników zewnętrznych. Finalnie</w:t>
      </w:r>
      <w:r w:rsidR="0053104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istotne jest, czy możemy traktować kampanię jako fundament do dalszego rozwoju biznesu.</w:t>
      </w:r>
      <w:sdt>
        <w:sdtPr>
          <w:tag w:val="goog_rdk_0"/>
          <w:id w:val="1906804958"/>
        </w:sdtPr>
        <w:sdtContent/>
      </w:sdt>
      <w:r>
        <w:rPr>
          <w:rFonts w:ascii="Calibri" w:eastAsia="Calibri" w:hAnsi="Calibri" w:cs="Calibri"/>
        </w:rPr>
        <w:t xml:space="preserve"> Podsumowując </w:t>
      </w:r>
      <w:r w:rsidR="00755FED">
        <w:rPr>
          <w:rFonts w:ascii="Calibri" w:eastAsia="Calibri" w:hAnsi="Calibri" w:cs="Calibri"/>
        </w:rPr>
        <w:t xml:space="preserve">- </w:t>
      </w:r>
      <w:r w:rsidR="00755FED" w:rsidRPr="00755FED">
        <w:rPr>
          <w:rFonts w:ascii="Calibri" w:eastAsia="Calibri" w:hAnsi="Calibri" w:cs="Calibri"/>
        </w:rPr>
        <w:t>prawdziwą miarą skuteczności kampanii nie jest najwyższy osiągnięty wynik, ale</w:t>
      </w:r>
      <w:r w:rsidR="00755FED">
        <w:rPr>
          <w:rFonts w:ascii="Calibri" w:eastAsia="Calibri" w:hAnsi="Calibri" w:cs="Calibri"/>
        </w:rPr>
        <w:t xml:space="preserve"> </w:t>
      </w:r>
      <w:r w:rsidR="00755FED" w:rsidRPr="00755FED">
        <w:rPr>
          <w:rFonts w:ascii="Calibri" w:eastAsia="Calibri" w:hAnsi="Calibri" w:cs="Calibri"/>
        </w:rPr>
        <w:t>to, czy jesteśmy w stanie utrzymywać efektywność na takim samym poziomie, niezależnie od wahań.</w:t>
      </w:r>
    </w:p>
    <w:p w14:paraId="09EF3B48" w14:textId="77777777" w:rsidR="008E437A" w:rsidRDefault="008E437A">
      <w:pPr>
        <w:tabs>
          <w:tab w:val="left" w:pos="1230"/>
        </w:tabs>
        <w:jc w:val="both"/>
        <w:rPr>
          <w:rFonts w:ascii="Calibri" w:eastAsia="Calibri" w:hAnsi="Calibri" w:cs="Calibri"/>
        </w:rPr>
      </w:pPr>
    </w:p>
    <w:p w14:paraId="39C1FDDE" w14:textId="77777777" w:rsidR="008E437A" w:rsidRPr="00755FED" w:rsidRDefault="00000000">
      <w:pPr>
        <w:jc w:val="both"/>
        <w:rPr>
          <w:rFonts w:ascii="Calibri" w:eastAsia="Calibri" w:hAnsi="Calibri" w:cs="Calibri"/>
          <w:b/>
          <w:bCs/>
          <w:lang w:val="en-US"/>
        </w:rPr>
      </w:pPr>
      <w:r w:rsidRPr="00755FED">
        <w:rPr>
          <w:rFonts w:ascii="Calibri" w:eastAsia="Calibri" w:hAnsi="Calibri" w:cs="Calibri"/>
          <w:b/>
          <w:bCs/>
          <w:lang w:val="en-US"/>
        </w:rPr>
        <w:t>Karolina Łukasiewicz</w:t>
      </w:r>
    </w:p>
    <w:p w14:paraId="6234F6C7" w14:textId="77777777" w:rsidR="008E437A" w:rsidRPr="00755FED" w:rsidRDefault="00000000">
      <w:pPr>
        <w:jc w:val="both"/>
        <w:rPr>
          <w:rFonts w:ascii="Calibri" w:eastAsia="Calibri" w:hAnsi="Calibri" w:cs="Calibri"/>
          <w:b/>
          <w:bCs/>
          <w:lang w:val="en-US"/>
        </w:rPr>
      </w:pPr>
      <w:r w:rsidRPr="00755FED">
        <w:rPr>
          <w:rFonts w:ascii="Calibri" w:eastAsia="Calibri" w:hAnsi="Calibri" w:cs="Calibri"/>
          <w:b/>
          <w:bCs/>
          <w:lang w:val="en-US"/>
        </w:rPr>
        <w:t>Head of Account Management Poland</w:t>
      </w:r>
    </w:p>
    <w:p w14:paraId="24EC14EC" w14:textId="77777777" w:rsidR="008E437A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RTB House</w:t>
      </w:r>
    </w:p>
    <w:sectPr w:rsidR="008E437A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598C8" w14:textId="77777777" w:rsidR="00CD6D90" w:rsidRDefault="00CD6D90">
      <w:pPr>
        <w:spacing w:after="0" w:line="240" w:lineRule="auto"/>
      </w:pPr>
      <w:r>
        <w:separator/>
      </w:r>
    </w:p>
  </w:endnote>
  <w:endnote w:type="continuationSeparator" w:id="0">
    <w:p w14:paraId="6DCBC112" w14:textId="77777777" w:rsidR="00CD6D90" w:rsidRDefault="00CD6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96CBDAA-CA6D-415F-8A0E-3CFD1AD56683}"/>
    <w:embedItalic r:id="rId2" w:fontKey="{94CFEC32-B45A-4631-996E-B25359B4D617}"/>
  </w:font>
  <w:font w:name="Play">
    <w:charset w:val="00"/>
    <w:family w:val="auto"/>
    <w:pitch w:val="default"/>
    <w:embedRegular r:id="rId3" w:fontKey="{1DF9619A-6F6E-4AAB-9C43-1831B19C05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3297DB2-A832-4784-82E2-7C60CED8DC17}"/>
    <w:embedBold r:id="rId5" w:fontKey="{2125DE93-FA3C-4E8C-B936-20B57A6E807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1342F5D-1197-4436-924B-ACE39394C16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60241" w14:textId="77777777" w:rsidR="00CD6D90" w:rsidRDefault="00CD6D90">
      <w:pPr>
        <w:spacing w:after="0" w:line="240" w:lineRule="auto"/>
      </w:pPr>
      <w:r>
        <w:separator/>
      </w:r>
    </w:p>
  </w:footnote>
  <w:footnote w:type="continuationSeparator" w:id="0">
    <w:p w14:paraId="5BA17A9B" w14:textId="77777777" w:rsidR="00CD6D90" w:rsidRDefault="00CD6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5846" w14:textId="77777777" w:rsidR="008E437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6AD0600" wp14:editId="66CC20A4">
          <wp:extent cx="1639138" cy="439122"/>
          <wp:effectExtent l="0" t="0" r="0" b="0"/>
          <wp:docPr id="1" name="image1.png" descr="RTB House TechBlo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TB House TechBlo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138" cy="4391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37A"/>
    <w:rsid w:val="001811CC"/>
    <w:rsid w:val="004714E3"/>
    <w:rsid w:val="00531040"/>
    <w:rsid w:val="00755FED"/>
    <w:rsid w:val="0086066A"/>
    <w:rsid w:val="008E437A"/>
    <w:rsid w:val="00952AE9"/>
    <w:rsid w:val="00AA4CEB"/>
    <w:rsid w:val="00C93106"/>
    <w:rsid w:val="00CD6D90"/>
    <w:rsid w:val="00E0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0593"/>
  <w15:docId w15:val="{119E8956-B392-4A05-AB0C-956A12E5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p/54a0EBvkmME9dJ3/Kk8HZzqg==">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700</Words>
  <Characters>4571</Characters>
  <Application>Microsoft Office Word</Application>
  <DocSecurity>0</DocSecurity>
  <Lines>67</Lines>
  <Paragraphs>18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Darnobyt</dc:creator>
  <cp:lastModifiedBy>Monika Darnobyt</cp:lastModifiedBy>
  <cp:revision>6</cp:revision>
  <cp:lastPrinted>2026-08-06T09:40:00Z</cp:lastPrinted>
  <dcterms:created xsi:type="dcterms:W3CDTF">2026-07-27T10:30:00Z</dcterms:created>
  <dcterms:modified xsi:type="dcterms:W3CDTF">2026-08-06T09:40:00Z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0x0101005F43A7AD8DB8D1499FC8EA18759F0531</vt:lpwstr>
  </property>
</Properties>
</file>