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4B3A438" w14:textId="77777777" w:rsidR="008B38C5" w:rsidRDefault="00D24642" w:rsidP="00DF19DA">
      <w:pPr>
        <w:jc w:val="right"/>
        <w:rPr>
          <w:b/>
          <w:color w:val="002060"/>
        </w:rPr>
      </w:pPr>
      <w:r w:rsidRPr="00BE55F3">
        <w:rPr>
          <w:b/>
          <w:color w:val="171717" w:themeColor="background2" w:themeShade="1A"/>
        </w:rPr>
        <w:tab/>
      </w:r>
      <w:r w:rsidRPr="00BE55F3">
        <w:rPr>
          <w:b/>
          <w:color w:val="171717" w:themeColor="background2" w:themeShade="1A"/>
        </w:rPr>
        <w:tab/>
      </w:r>
      <w:r w:rsidRPr="00BE55F3">
        <w:rPr>
          <w:b/>
          <w:color w:val="171717" w:themeColor="background2" w:themeShade="1A"/>
        </w:rPr>
        <w:tab/>
      </w:r>
      <w:r w:rsidRPr="00BE55F3">
        <w:rPr>
          <w:b/>
          <w:color w:val="171717" w:themeColor="background2" w:themeShade="1A"/>
        </w:rPr>
        <w:tab/>
      </w:r>
      <w:r w:rsidRPr="00BE55F3">
        <w:rPr>
          <w:b/>
          <w:color w:val="171717" w:themeColor="background2" w:themeShade="1A"/>
        </w:rPr>
        <w:tab/>
      </w:r>
      <w:r w:rsidRPr="00BE55F3">
        <w:rPr>
          <w:b/>
          <w:color w:val="171717" w:themeColor="background2" w:themeShade="1A"/>
        </w:rPr>
        <w:tab/>
      </w:r>
      <w:r w:rsidRPr="00BE55F3">
        <w:rPr>
          <w:b/>
          <w:color w:val="171717" w:themeColor="background2" w:themeShade="1A"/>
        </w:rPr>
        <w:tab/>
      </w:r>
      <w:r w:rsidRPr="00BE55F3">
        <w:rPr>
          <w:b/>
          <w:color w:val="171717" w:themeColor="background2" w:themeShade="1A"/>
        </w:rPr>
        <w:tab/>
      </w:r>
      <w:r w:rsidRPr="00BE55F3">
        <w:rPr>
          <w:b/>
          <w:color w:val="171717" w:themeColor="background2" w:themeShade="1A"/>
        </w:rPr>
        <w:tab/>
      </w:r>
      <w:r w:rsidRPr="00BE55F3">
        <w:rPr>
          <w:b/>
          <w:color w:val="171717" w:themeColor="background2" w:themeShade="1A"/>
        </w:rPr>
        <w:tab/>
      </w:r>
      <w:r w:rsidRPr="00BE55F3">
        <w:rPr>
          <w:b/>
          <w:color w:val="171717" w:themeColor="background2" w:themeShade="1A"/>
        </w:rPr>
        <w:tab/>
      </w:r>
      <w:r w:rsidRPr="00BE55F3">
        <w:rPr>
          <w:b/>
          <w:color w:val="171717" w:themeColor="background2" w:themeShade="1A"/>
        </w:rPr>
        <w:tab/>
      </w:r>
      <w:r w:rsidRPr="00945697">
        <w:rPr>
          <w:b/>
          <w:color w:val="002060"/>
        </w:rPr>
        <w:tab/>
      </w:r>
      <w:r w:rsidRPr="00945697">
        <w:rPr>
          <w:b/>
          <w:color w:val="002060"/>
        </w:rPr>
        <w:tab/>
      </w:r>
      <w:r w:rsidRPr="00945697">
        <w:rPr>
          <w:b/>
          <w:color w:val="002060"/>
        </w:rPr>
        <w:tab/>
      </w:r>
      <w:r w:rsidRPr="00945697">
        <w:rPr>
          <w:b/>
          <w:color w:val="002060"/>
        </w:rPr>
        <w:tab/>
      </w:r>
      <w:r w:rsidRPr="00945697">
        <w:rPr>
          <w:b/>
          <w:color w:val="002060"/>
        </w:rPr>
        <w:tab/>
      </w:r>
    </w:p>
    <w:p w14:paraId="465F0F9D" w14:textId="1DE9B871" w:rsidR="004147EA" w:rsidRPr="00F505B1" w:rsidRDefault="00D24642" w:rsidP="00DF19DA">
      <w:pPr>
        <w:jc w:val="right"/>
        <w:rPr>
          <w:bCs/>
          <w:color w:val="002060"/>
        </w:rPr>
      </w:pPr>
      <w:r w:rsidRPr="00F505B1">
        <w:rPr>
          <w:bCs/>
          <w:color w:val="002060"/>
        </w:rPr>
        <w:t xml:space="preserve">Gdańsk, </w:t>
      </w:r>
      <w:r w:rsidR="004A4D81" w:rsidRPr="00F505B1">
        <w:rPr>
          <w:bCs/>
          <w:color w:val="002060"/>
        </w:rPr>
        <w:t>1</w:t>
      </w:r>
      <w:r w:rsidR="00F505B1">
        <w:rPr>
          <w:bCs/>
          <w:color w:val="002060"/>
        </w:rPr>
        <w:t>7</w:t>
      </w:r>
      <w:r w:rsidR="000F4A7C" w:rsidRPr="00F505B1">
        <w:rPr>
          <w:bCs/>
          <w:color w:val="002060"/>
        </w:rPr>
        <w:t xml:space="preserve"> sierpnia </w:t>
      </w:r>
      <w:r w:rsidRPr="00F505B1">
        <w:rPr>
          <w:bCs/>
          <w:color w:val="002060"/>
        </w:rPr>
        <w:t>20</w:t>
      </w:r>
      <w:r w:rsidR="00F92323" w:rsidRPr="00F505B1">
        <w:rPr>
          <w:bCs/>
          <w:color w:val="002060"/>
        </w:rPr>
        <w:t>2</w:t>
      </w:r>
      <w:r w:rsidR="00945697" w:rsidRPr="00F505B1">
        <w:rPr>
          <w:bCs/>
          <w:color w:val="002060"/>
        </w:rPr>
        <w:t>6</w:t>
      </w:r>
    </w:p>
    <w:p w14:paraId="5E8BE14E" w14:textId="77777777" w:rsidR="00945697" w:rsidRPr="00945697" w:rsidRDefault="00945697" w:rsidP="00945697">
      <w:pPr>
        <w:pStyle w:val="NormalnyWeb"/>
        <w:shd w:val="clear" w:color="auto" w:fill="FFFFFF"/>
        <w:spacing w:before="0" w:beforeAutospacing="0" w:after="240" w:afterAutospacing="0"/>
        <w:rPr>
          <w:rFonts w:ascii="Calibri" w:hAnsi="Calibri" w:cs="Calibri"/>
          <w:color w:val="002060"/>
        </w:rPr>
      </w:pPr>
      <w:r w:rsidRPr="00945697">
        <w:rPr>
          <w:rFonts w:ascii="Calibri" w:hAnsi="Calibri" w:cs="Calibri"/>
          <w:color w:val="002060"/>
          <w:u w:val="single"/>
        </w:rPr>
        <w:t xml:space="preserve">Informacja prasowa </w:t>
      </w:r>
      <w:r w:rsidRPr="00945697">
        <w:rPr>
          <w:rFonts w:ascii="Calibri" w:hAnsi="Calibri" w:cs="Calibri"/>
          <w:color w:val="002060"/>
        </w:rPr>
        <w:tab/>
      </w:r>
      <w:r w:rsidRPr="00945697">
        <w:rPr>
          <w:rFonts w:ascii="Calibri" w:hAnsi="Calibri" w:cs="Calibri"/>
          <w:color w:val="002060"/>
        </w:rPr>
        <w:tab/>
      </w:r>
      <w:r w:rsidRPr="00945697">
        <w:rPr>
          <w:rFonts w:ascii="Calibri" w:hAnsi="Calibri" w:cs="Calibri"/>
          <w:color w:val="002060"/>
        </w:rPr>
        <w:tab/>
      </w:r>
      <w:r w:rsidRPr="00945697">
        <w:rPr>
          <w:rFonts w:ascii="Calibri" w:hAnsi="Calibri" w:cs="Calibri"/>
          <w:color w:val="002060"/>
        </w:rPr>
        <w:tab/>
      </w:r>
      <w:r w:rsidRPr="00945697">
        <w:rPr>
          <w:rFonts w:ascii="Calibri" w:hAnsi="Calibri" w:cs="Calibri"/>
          <w:color w:val="002060"/>
        </w:rPr>
        <w:tab/>
        <w:t xml:space="preserve">    </w:t>
      </w:r>
      <w:r w:rsidRPr="00945697">
        <w:rPr>
          <w:rFonts w:ascii="Calibri" w:hAnsi="Calibri" w:cs="Calibri"/>
          <w:color w:val="002060"/>
        </w:rPr>
        <w:tab/>
      </w:r>
    </w:p>
    <w:p w14:paraId="7A94F68C" w14:textId="77777777" w:rsidR="00945697" w:rsidRDefault="00945697" w:rsidP="00945697">
      <w:pPr>
        <w:pStyle w:val="NormalnyWeb"/>
        <w:shd w:val="clear" w:color="auto" w:fill="FFFFFF"/>
        <w:spacing w:before="0" w:beforeAutospacing="0" w:after="240" w:afterAutospacing="0"/>
        <w:jc w:val="right"/>
        <w:rPr>
          <w:rStyle w:val="Pogrubienie"/>
          <w:rFonts w:ascii="Calibri" w:hAnsi="Calibri" w:cs="Calibri"/>
          <w:b w:val="0"/>
          <w:bCs w:val="0"/>
          <w:color w:val="002060"/>
        </w:rPr>
      </w:pPr>
    </w:p>
    <w:p w14:paraId="12D80F72" w14:textId="560C8354" w:rsidR="00475A5D" w:rsidRDefault="00475A5D" w:rsidP="00475A5D">
      <w:pPr>
        <w:spacing w:line="276" w:lineRule="auto"/>
        <w:jc w:val="center"/>
        <w:rPr>
          <w:b/>
          <w:bCs/>
          <w:color w:val="002060"/>
          <w:sz w:val="28"/>
          <w:szCs w:val="28"/>
        </w:rPr>
      </w:pPr>
      <w:r w:rsidRPr="00475A5D">
        <w:rPr>
          <w:b/>
          <w:bCs/>
          <w:color w:val="002060"/>
          <w:sz w:val="28"/>
          <w:szCs w:val="28"/>
        </w:rPr>
        <w:t xml:space="preserve">Darmowa szkoła? Nie we wrześniu. Wyprawka </w:t>
      </w:r>
      <w:r w:rsidR="00BF39C4">
        <w:rPr>
          <w:b/>
          <w:bCs/>
          <w:color w:val="002060"/>
          <w:sz w:val="28"/>
          <w:szCs w:val="28"/>
        </w:rPr>
        <w:t xml:space="preserve">zjada sporą część pensji </w:t>
      </w:r>
    </w:p>
    <w:p w14:paraId="0D26E1FA" w14:textId="77777777" w:rsidR="00475A5D" w:rsidRPr="00475A5D" w:rsidRDefault="00475A5D" w:rsidP="00475A5D">
      <w:pPr>
        <w:spacing w:line="276" w:lineRule="auto"/>
        <w:jc w:val="both"/>
        <w:rPr>
          <w:b/>
          <w:bCs/>
          <w:color w:val="002060"/>
          <w:sz w:val="28"/>
          <w:szCs w:val="28"/>
        </w:rPr>
      </w:pPr>
    </w:p>
    <w:p w14:paraId="6E75B1AF" w14:textId="4AEB9727" w:rsidR="00AA002C" w:rsidRPr="00F505B1" w:rsidRDefault="00475A5D" w:rsidP="00F505B1">
      <w:pPr>
        <w:jc w:val="both"/>
        <w:rPr>
          <w:b/>
          <w:bCs/>
          <w:color w:val="002060"/>
          <w:sz w:val="24"/>
          <w:szCs w:val="24"/>
        </w:rPr>
      </w:pPr>
      <w:r w:rsidRPr="00F505B1">
        <w:rPr>
          <w:b/>
          <w:bCs/>
          <w:color w:val="002060"/>
          <w:sz w:val="24"/>
          <w:szCs w:val="24"/>
        </w:rPr>
        <w:t>W tym roku do szkół wróci prawie 5 milionów uczniów, a dla wielu rodzin oznacza to jeden z największych jednorazowych wydatków w całym roku. W 2026 r. niemal połowa rodziców planuje przeznaczyć na wyprawkę od 501 do nawet ponad 1500 zł</w:t>
      </w:r>
      <w:r w:rsidR="00C36CF7" w:rsidRPr="00F505B1">
        <w:rPr>
          <w:b/>
          <w:bCs/>
          <w:color w:val="002060"/>
          <w:sz w:val="24"/>
          <w:szCs w:val="24"/>
        </w:rPr>
        <w:t>.</w:t>
      </w:r>
      <w:r w:rsidRPr="00F505B1">
        <w:rPr>
          <w:b/>
          <w:bCs/>
          <w:color w:val="002060"/>
          <w:sz w:val="24"/>
          <w:szCs w:val="24"/>
        </w:rPr>
        <w:t xml:space="preserve"> </w:t>
      </w:r>
      <w:r w:rsidR="00AA002C" w:rsidRPr="00F505B1">
        <w:rPr>
          <w:b/>
          <w:bCs/>
          <w:color w:val="002060"/>
          <w:sz w:val="24"/>
          <w:szCs w:val="24"/>
        </w:rPr>
        <w:t xml:space="preserve">Z analiz Grupy Progres wynika, że dla osób otrzymujących płacę minimalną przygotowanie dziecka do szkoły może pochłonąć ponad 31 proc. miesięcznego wynagrodzenia brutto. Choć państwo oferuje kilka form wsparcia, coraz częściej w odciążaniu rodziców uczestniczą również pracodawcy, finansując szkolne wyprawki, bony czy dodatkowe świadczenia. </w:t>
      </w:r>
      <w:r w:rsidR="00AA002C" w:rsidRPr="00F505B1">
        <w:rPr>
          <w:rStyle w:val="Pogrubienie"/>
          <w:color w:val="002060"/>
          <w:sz w:val="24"/>
          <w:szCs w:val="24"/>
        </w:rPr>
        <w:t>Analizy Grupy Progres pokazują również, że w 2026 r. już 21 proc. ogłoszeń o pracę zawiera informację o oferowanej pracownikom wyprawce szkolnej. Rok wcześniej taki benefit pojawiał się w 14 proc. ogłoszeń.</w:t>
      </w:r>
    </w:p>
    <w:p w14:paraId="0A8EA8C6" w14:textId="77777777" w:rsidR="00475A5D" w:rsidRPr="00F505B1" w:rsidRDefault="00475A5D" w:rsidP="00F505B1">
      <w:pPr>
        <w:jc w:val="both"/>
        <w:rPr>
          <w:b/>
          <w:bCs/>
          <w:color w:val="002060"/>
          <w:sz w:val="24"/>
          <w:szCs w:val="24"/>
        </w:rPr>
      </w:pPr>
    </w:p>
    <w:p w14:paraId="63920707" w14:textId="27AE96F9" w:rsidR="00475A5D" w:rsidRPr="00F505B1" w:rsidRDefault="00475A5D" w:rsidP="00F505B1">
      <w:pPr>
        <w:jc w:val="both"/>
        <w:rPr>
          <w:color w:val="002060"/>
          <w:sz w:val="24"/>
          <w:szCs w:val="24"/>
        </w:rPr>
      </w:pPr>
      <w:r w:rsidRPr="00F505B1">
        <w:rPr>
          <w:color w:val="002060"/>
          <w:sz w:val="24"/>
          <w:szCs w:val="24"/>
        </w:rPr>
        <w:t xml:space="preserve">Sierpień od lat oznacza dla milionów rodzin nie tylko końcówkę wakacji, ale również początek intensywnych przygotowań do nowego roku szkolnego. Z danych Ministerstwa Edukacji Narodowej wynika, że w roku szkolnym 2025/2026 do wszystkich typów szkół uczęszczało </w:t>
      </w:r>
      <w:r w:rsidRPr="00F505B1">
        <w:rPr>
          <w:b/>
          <w:bCs/>
          <w:color w:val="002060"/>
          <w:sz w:val="24"/>
          <w:szCs w:val="24"/>
        </w:rPr>
        <w:t>4 mln 917 tys. uczniów</w:t>
      </w:r>
      <w:r w:rsidRPr="00F505B1">
        <w:rPr>
          <w:color w:val="002060"/>
          <w:sz w:val="24"/>
          <w:szCs w:val="24"/>
        </w:rPr>
        <w:t xml:space="preserve">, w tym </w:t>
      </w:r>
      <w:r w:rsidRPr="00F505B1">
        <w:rPr>
          <w:b/>
          <w:bCs/>
          <w:color w:val="002060"/>
          <w:sz w:val="24"/>
          <w:szCs w:val="24"/>
        </w:rPr>
        <w:t>3 mln 242 tys. dzieci w szkołach podstawowych</w:t>
      </w:r>
      <w:r w:rsidRPr="00F505B1">
        <w:rPr>
          <w:color w:val="002060"/>
          <w:sz w:val="24"/>
          <w:szCs w:val="24"/>
        </w:rPr>
        <w:t xml:space="preserve"> oraz </w:t>
      </w:r>
      <w:r w:rsidRPr="00F505B1">
        <w:rPr>
          <w:b/>
          <w:bCs/>
          <w:color w:val="002060"/>
          <w:sz w:val="24"/>
          <w:szCs w:val="24"/>
        </w:rPr>
        <w:t>1 mln 674 tys. uczniów szkół ponadpodstawowych</w:t>
      </w:r>
      <w:r w:rsidRPr="00F505B1">
        <w:rPr>
          <w:color w:val="002060"/>
          <w:sz w:val="24"/>
          <w:szCs w:val="24"/>
        </w:rPr>
        <w:t>. Za każdą z tych liczb kryją się zakupy, które trzeba zrobić jeszcze przed pierwszym dzwonkiem – od podstawowych przyborów szkolnych po odzież, obuwie czy wyposażenie wymagane przez szkołę.</w:t>
      </w:r>
    </w:p>
    <w:p w14:paraId="5CF7B333" w14:textId="77777777" w:rsidR="00475A5D" w:rsidRPr="00F505B1" w:rsidRDefault="00475A5D" w:rsidP="00F505B1">
      <w:pPr>
        <w:jc w:val="both"/>
        <w:rPr>
          <w:b/>
          <w:bCs/>
          <w:color w:val="002060"/>
          <w:sz w:val="24"/>
          <w:szCs w:val="24"/>
        </w:rPr>
      </w:pPr>
    </w:p>
    <w:p w14:paraId="79E3EE6C" w14:textId="77777777" w:rsidR="0096480F" w:rsidRPr="00F505B1" w:rsidRDefault="00475A5D" w:rsidP="00F505B1">
      <w:pPr>
        <w:spacing w:after="160"/>
        <w:jc w:val="both"/>
        <w:rPr>
          <w:color w:val="002060"/>
          <w:sz w:val="24"/>
          <w:szCs w:val="24"/>
        </w:rPr>
      </w:pPr>
      <w:r w:rsidRPr="00F505B1">
        <w:rPr>
          <w:color w:val="002060"/>
          <w:sz w:val="24"/>
          <w:szCs w:val="24"/>
        </w:rPr>
        <w:t xml:space="preserve">Jak wynika z najnowszego badania </w:t>
      </w:r>
      <w:proofErr w:type="spellStart"/>
      <w:r w:rsidRPr="00F505B1">
        <w:rPr>
          <w:color w:val="002060"/>
          <w:sz w:val="24"/>
          <w:szCs w:val="24"/>
        </w:rPr>
        <w:t>PayPo</w:t>
      </w:r>
      <w:proofErr w:type="spellEnd"/>
      <w:r w:rsidRPr="00F505B1">
        <w:rPr>
          <w:color w:val="002060"/>
          <w:sz w:val="24"/>
          <w:szCs w:val="24"/>
        </w:rPr>
        <w:t xml:space="preserve">, rodzice nie odkładają już zakupów na ostatnią chwilę. </w:t>
      </w:r>
      <w:r w:rsidRPr="00F505B1">
        <w:rPr>
          <w:b/>
          <w:bCs/>
          <w:color w:val="002060"/>
          <w:sz w:val="24"/>
          <w:szCs w:val="24"/>
        </w:rPr>
        <w:t>35 proc.</w:t>
      </w:r>
      <w:r w:rsidRPr="00F505B1">
        <w:rPr>
          <w:color w:val="002060"/>
          <w:sz w:val="24"/>
          <w:szCs w:val="24"/>
        </w:rPr>
        <w:t xml:space="preserve"> rozpoczyna kompletowanie wyprawki około miesiąca przed rozpoczęciem roku szkolnego, a kolejne </w:t>
      </w:r>
      <w:r w:rsidRPr="00F505B1">
        <w:rPr>
          <w:b/>
          <w:bCs/>
          <w:color w:val="002060"/>
          <w:sz w:val="24"/>
          <w:szCs w:val="24"/>
        </w:rPr>
        <w:t>31 proc.</w:t>
      </w:r>
      <w:r w:rsidRPr="00F505B1">
        <w:rPr>
          <w:color w:val="002060"/>
          <w:sz w:val="24"/>
          <w:szCs w:val="24"/>
        </w:rPr>
        <w:t xml:space="preserve"> planuje zakupy na około dwa tygodnie przed 1 września. </w:t>
      </w:r>
    </w:p>
    <w:p w14:paraId="391DE03C" w14:textId="1E8293CD" w:rsidR="00475A5D" w:rsidRPr="00F505B1" w:rsidRDefault="00475A5D" w:rsidP="00F505B1">
      <w:pPr>
        <w:spacing w:after="160"/>
        <w:jc w:val="both"/>
        <w:rPr>
          <w:color w:val="002060"/>
          <w:sz w:val="24"/>
          <w:szCs w:val="24"/>
        </w:rPr>
      </w:pPr>
      <w:r w:rsidRPr="00F505B1">
        <w:rPr>
          <w:color w:val="002060"/>
          <w:sz w:val="24"/>
          <w:szCs w:val="24"/>
        </w:rPr>
        <w:t xml:space="preserve">Największa grupa rodziców – </w:t>
      </w:r>
      <w:r w:rsidRPr="00F505B1">
        <w:rPr>
          <w:b/>
          <w:bCs/>
          <w:color w:val="002060"/>
          <w:sz w:val="24"/>
          <w:szCs w:val="24"/>
        </w:rPr>
        <w:t>29 proc.</w:t>
      </w:r>
      <w:r w:rsidRPr="00F505B1">
        <w:rPr>
          <w:color w:val="002060"/>
          <w:sz w:val="24"/>
          <w:szCs w:val="24"/>
        </w:rPr>
        <w:t xml:space="preserve"> – planuje przeznaczyć na wyprawkę </w:t>
      </w:r>
      <w:r w:rsidRPr="00F505B1">
        <w:rPr>
          <w:b/>
          <w:bCs/>
          <w:color w:val="002060"/>
          <w:sz w:val="24"/>
          <w:szCs w:val="24"/>
        </w:rPr>
        <w:t>od 251 do 500 zł</w:t>
      </w:r>
      <w:r w:rsidRPr="00F505B1">
        <w:rPr>
          <w:color w:val="002060"/>
          <w:sz w:val="24"/>
          <w:szCs w:val="24"/>
        </w:rPr>
        <w:t xml:space="preserve">. Kolejne </w:t>
      </w:r>
      <w:r w:rsidRPr="00F505B1">
        <w:rPr>
          <w:b/>
          <w:bCs/>
          <w:color w:val="002060"/>
          <w:sz w:val="24"/>
          <w:szCs w:val="24"/>
        </w:rPr>
        <w:t>20 proc.</w:t>
      </w:r>
      <w:r w:rsidRPr="00F505B1">
        <w:rPr>
          <w:color w:val="002060"/>
          <w:sz w:val="24"/>
          <w:szCs w:val="24"/>
        </w:rPr>
        <w:t xml:space="preserve"> zakłada wydatki w wysokości </w:t>
      </w:r>
      <w:r w:rsidRPr="00F505B1">
        <w:rPr>
          <w:b/>
          <w:bCs/>
          <w:color w:val="002060"/>
          <w:sz w:val="24"/>
          <w:szCs w:val="24"/>
        </w:rPr>
        <w:t>501–750 zł</w:t>
      </w:r>
      <w:r w:rsidRPr="00F505B1">
        <w:rPr>
          <w:color w:val="002060"/>
          <w:sz w:val="24"/>
          <w:szCs w:val="24"/>
        </w:rPr>
        <w:t xml:space="preserve">, a </w:t>
      </w:r>
      <w:r w:rsidRPr="00F505B1">
        <w:rPr>
          <w:b/>
          <w:bCs/>
          <w:color w:val="002060"/>
          <w:sz w:val="24"/>
          <w:szCs w:val="24"/>
        </w:rPr>
        <w:t>16 proc.</w:t>
      </w:r>
      <w:r w:rsidRPr="00F505B1">
        <w:rPr>
          <w:color w:val="002060"/>
          <w:sz w:val="24"/>
          <w:szCs w:val="24"/>
        </w:rPr>
        <w:t xml:space="preserve"> liczy się z kosztami sięgającymi </w:t>
      </w:r>
      <w:r w:rsidRPr="00F505B1">
        <w:rPr>
          <w:b/>
          <w:bCs/>
          <w:color w:val="002060"/>
          <w:sz w:val="24"/>
          <w:szCs w:val="24"/>
        </w:rPr>
        <w:t>751–1</w:t>
      </w:r>
      <w:r w:rsidR="007A5AF1" w:rsidRPr="00F505B1">
        <w:rPr>
          <w:b/>
          <w:bCs/>
          <w:color w:val="002060"/>
          <w:sz w:val="24"/>
          <w:szCs w:val="24"/>
        </w:rPr>
        <w:t xml:space="preserve"> </w:t>
      </w:r>
      <w:r w:rsidRPr="00F505B1">
        <w:rPr>
          <w:b/>
          <w:bCs/>
          <w:color w:val="002060"/>
          <w:sz w:val="24"/>
          <w:szCs w:val="24"/>
        </w:rPr>
        <w:t>000 zł</w:t>
      </w:r>
      <w:r w:rsidRPr="00F505B1">
        <w:rPr>
          <w:color w:val="002060"/>
          <w:sz w:val="24"/>
          <w:szCs w:val="24"/>
        </w:rPr>
        <w:t xml:space="preserve">. Budżet przekraczający </w:t>
      </w:r>
      <w:r w:rsidRPr="00F505B1">
        <w:rPr>
          <w:b/>
          <w:bCs/>
          <w:color w:val="002060"/>
          <w:sz w:val="24"/>
          <w:szCs w:val="24"/>
        </w:rPr>
        <w:t>1</w:t>
      </w:r>
      <w:r w:rsidR="007A5AF1" w:rsidRPr="00F505B1">
        <w:rPr>
          <w:b/>
          <w:bCs/>
          <w:color w:val="002060"/>
          <w:sz w:val="24"/>
          <w:szCs w:val="24"/>
        </w:rPr>
        <w:t xml:space="preserve"> </w:t>
      </w:r>
      <w:r w:rsidRPr="00F505B1">
        <w:rPr>
          <w:b/>
          <w:bCs/>
          <w:color w:val="002060"/>
          <w:sz w:val="24"/>
          <w:szCs w:val="24"/>
        </w:rPr>
        <w:t>000 zł</w:t>
      </w:r>
      <w:r w:rsidRPr="00F505B1">
        <w:rPr>
          <w:color w:val="002060"/>
          <w:sz w:val="24"/>
          <w:szCs w:val="24"/>
        </w:rPr>
        <w:t xml:space="preserve"> deklaruje już </w:t>
      </w:r>
      <w:r w:rsidRPr="00F505B1">
        <w:rPr>
          <w:b/>
          <w:bCs/>
          <w:color w:val="002060"/>
          <w:sz w:val="24"/>
          <w:szCs w:val="24"/>
        </w:rPr>
        <w:t>13 proc.</w:t>
      </w:r>
      <w:r w:rsidRPr="00F505B1">
        <w:rPr>
          <w:color w:val="002060"/>
          <w:sz w:val="24"/>
          <w:szCs w:val="24"/>
        </w:rPr>
        <w:t xml:space="preserve"> badanych. Jednocześnie </w:t>
      </w:r>
      <w:r w:rsidR="0096480F" w:rsidRPr="00F505B1">
        <w:rPr>
          <w:b/>
          <w:bCs/>
          <w:color w:val="002060"/>
          <w:sz w:val="24"/>
          <w:szCs w:val="24"/>
        </w:rPr>
        <w:t xml:space="preserve">tyle samo </w:t>
      </w:r>
      <w:r w:rsidRPr="00F505B1">
        <w:rPr>
          <w:b/>
          <w:bCs/>
          <w:color w:val="002060"/>
          <w:sz w:val="24"/>
          <w:szCs w:val="24"/>
        </w:rPr>
        <w:t>rodziców</w:t>
      </w:r>
      <w:r w:rsidRPr="00F505B1">
        <w:rPr>
          <w:color w:val="002060"/>
          <w:sz w:val="24"/>
          <w:szCs w:val="24"/>
        </w:rPr>
        <w:t xml:space="preserve"> przyznaje, że na początku sierpnia nadal nie potrafi oszacować, ile ostatecznie będzie kosztowało przygotowanie dziecka do szkoły. </w:t>
      </w:r>
      <w:r w:rsidR="0096480F" w:rsidRPr="00F505B1">
        <w:rPr>
          <w:b/>
          <w:bCs/>
          <w:color w:val="002060"/>
          <w:sz w:val="24"/>
          <w:szCs w:val="24"/>
        </w:rPr>
        <w:t>9 proc.</w:t>
      </w:r>
      <w:r w:rsidR="0096480F" w:rsidRPr="00F505B1">
        <w:rPr>
          <w:color w:val="002060"/>
          <w:sz w:val="24"/>
          <w:szCs w:val="24"/>
        </w:rPr>
        <w:t xml:space="preserve"> ankietowanych na ten cel ma zamiar przeznaczyć </w:t>
      </w:r>
      <w:r w:rsidR="0096480F" w:rsidRPr="00F505B1">
        <w:rPr>
          <w:b/>
          <w:bCs/>
          <w:color w:val="002060"/>
          <w:sz w:val="24"/>
          <w:szCs w:val="24"/>
        </w:rPr>
        <w:t>do 250 zł.</w:t>
      </w:r>
      <w:r w:rsidR="0096480F" w:rsidRPr="00F505B1">
        <w:rPr>
          <w:color w:val="002060"/>
          <w:sz w:val="24"/>
          <w:szCs w:val="24"/>
        </w:rPr>
        <w:t xml:space="preserve"> </w:t>
      </w:r>
    </w:p>
    <w:p w14:paraId="26629414" w14:textId="77777777" w:rsidR="00475A5D" w:rsidRPr="00F505B1" w:rsidRDefault="00475A5D" w:rsidP="00F505B1">
      <w:pPr>
        <w:spacing w:after="160"/>
        <w:jc w:val="both"/>
        <w:rPr>
          <w:b/>
          <w:bCs/>
          <w:color w:val="002060"/>
          <w:sz w:val="24"/>
          <w:szCs w:val="24"/>
        </w:rPr>
      </w:pPr>
      <w:r w:rsidRPr="00F505B1">
        <w:rPr>
          <w:b/>
          <w:bCs/>
          <w:color w:val="002060"/>
          <w:sz w:val="24"/>
          <w:szCs w:val="24"/>
        </w:rPr>
        <w:t>Wrześniowe wydatki pochłaniają znaczną część miesięcznej pensji</w:t>
      </w:r>
    </w:p>
    <w:p w14:paraId="4DC68FD4" w14:textId="4160D011" w:rsidR="00475A5D" w:rsidRPr="00F505B1" w:rsidRDefault="00475A5D" w:rsidP="00F505B1">
      <w:pPr>
        <w:spacing w:after="160"/>
        <w:jc w:val="both"/>
        <w:rPr>
          <w:i/>
          <w:iCs/>
          <w:color w:val="002060"/>
          <w:sz w:val="24"/>
          <w:szCs w:val="24"/>
        </w:rPr>
      </w:pPr>
      <w:r w:rsidRPr="00F505B1">
        <w:rPr>
          <w:color w:val="002060"/>
          <w:sz w:val="24"/>
          <w:szCs w:val="24"/>
        </w:rPr>
        <w:t xml:space="preserve">O skali tych wydatków najlepiej świadczy ich relacja do miesięcznych zarobków. </w:t>
      </w:r>
      <w:r w:rsidR="00BF2449" w:rsidRPr="00F505B1">
        <w:rPr>
          <w:color w:val="002060"/>
          <w:sz w:val="24"/>
          <w:szCs w:val="24"/>
        </w:rPr>
        <w:t>Jak wynika z analiz Grupy Progres w</w:t>
      </w:r>
      <w:r w:rsidRPr="00F505B1">
        <w:rPr>
          <w:color w:val="002060"/>
          <w:sz w:val="24"/>
          <w:szCs w:val="24"/>
        </w:rPr>
        <w:t xml:space="preserve"> przypadku rodziców otrzymujących </w:t>
      </w:r>
      <w:r w:rsidRPr="00F505B1">
        <w:rPr>
          <w:b/>
          <w:bCs/>
          <w:color w:val="002060"/>
          <w:sz w:val="24"/>
          <w:szCs w:val="24"/>
        </w:rPr>
        <w:t xml:space="preserve">przeciętne wynagrodzenie brutto w sektorze przedsiębiorstw </w:t>
      </w:r>
      <w:r w:rsidR="007A5AF1" w:rsidRPr="00F505B1">
        <w:rPr>
          <w:b/>
          <w:bCs/>
          <w:color w:val="002060"/>
          <w:sz w:val="24"/>
          <w:szCs w:val="24"/>
        </w:rPr>
        <w:t>–</w:t>
      </w:r>
      <w:r w:rsidR="00F22872" w:rsidRPr="00F505B1">
        <w:rPr>
          <w:b/>
          <w:bCs/>
          <w:color w:val="002060"/>
          <w:sz w:val="24"/>
          <w:szCs w:val="24"/>
        </w:rPr>
        <w:t xml:space="preserve"> </w:t>
      </w:r>
      <w:r w:rsidR="007A5AF1" w:rsidRPr="00F505B1">
        <w:rPr>
          <w:b/>
          <w:bCs/>
          <w:color w:val="002060"/>
          <w:sz w:val="24"/>
          <w:szCs w:val="24"/>
        </w:rPr>
        <w:t>ok. 6 739 zł netto</w:t>
      </w:r>
      <w:r w:rsidR="00F22872" w:rsidRPr="00F505B1">
        <w:rPr>
          <w:b/>
          <w:bCs/>
          <w:color w:val="002060"/>
          <w:sz w:val="24"/>
          <w:szCs w:val="24"/>
        </w:rPr>
        <w:t xml:space="preserve"> (9 401,58 zł brutto)</w:t>
      </w:r>
      <w:r w:rsidRPr="00F505B1">
        <w:rPr>
          <w:color w:val="002060"/>
          <w:sz w:val="24"/>
          <w:szCs w:val="24"/>
        </w:rPr>
        <w:t xml:space="preserve"> zakup wyprawki za </w:t>
      </w:r>
      <w:r w:rsidRPr="00F505B1">
        <w:rPr>
          <w:b/>
          <w:bCs/>
          <w:color w:val="002060"/>
          <w:sz w:val="24"/>
          <w:szCs w:val="24"/>
        </w:rPr>
        <w:t>251–500 zł</w:t>
      </w:r>
      <w:r w:rsidRPr="00F505B1">
        <w:rPr>
          <w:color w:val="002060"/>
          <w:sz w:val="24"/>
          <w:szCs w:val="24"/>
        </w:rPr>
        <w:t xml:space="preserve"> pochłania </w:t>
      </w:r>
      <w:r w:rsidR="007A5AF1" w:rsidRPr="00F505B1">
        <w:rPr>
          <w:b/>
          <w:bCs/>
          <w:color w:val="002060"/>
          <w:sz w:val="24"/>
          <w:szCs w:val="24"/>
        </w:rPr>
        <w:t>3</w:t>
      </w:r>
      <w:r w:rsidRPr="00F505B1">
        <w:rPr>
          <w:b/>
          <w:bCs/>
          <w:color w:val="002060"/>
          <w:sz w:val="24"/>
          <w:szCs w:val="24"/>
        </w:rPr>
        <w:t>,7–</w:t>
      </w:r>
      <w:r w:rsidR="007A5AF1" w:rsidRPr="00F505B1">
        <w:rPr>
          <w:b/>
          <w:bCs/>
          <w:color w:val="002060"/>
          <w:sz w:val="24"/>
          <w:szCs w:val="24"/>
        </w:rPr>
        <w:t>7,4</w:t>
      </w:r>
      <w:r w:rsidRPr="00F505B1">
        <w:rPr>
          <w:b/>
          <w:bCs/>
          <w:color w:val="002060"/>
          <w:sz w:val="24"/>
          <w:szCs w:val="24"/>
        </w:rPr>
        <w:t xml:space="preserve"> proc. miesięcznej pensji</w:t>
      </w:r>
      <w:r w:rsidR="00F22872" w:rsidRPr="00F505B1">
        <w:rPr>
          <w:b/>
          <w:bCs/>
          <w:color w:val="002060"/>
          <w:sz w:val="24"/>
          <w:szCs w:val="24"/>
        </w:rPr>
        <w:t xml:space="preserve"> „na rękę”.</w:t>
      </w:r>
      <w:r w:rsidRPr="00F505B1">
        <w:rPr>
          <w:color w:val="002060"/>
          <w:sz w:val="24"/>
          <w:szCs w:val="24"/>
        </w:rPr>
        <w:t xml:space="preserve"> Dla osób zarabiających </w:t>
      </w:r>
      <w:r w:rsidRPr="00F505B1">
        <w:rPr>
          <w:b/>
          <w:bCs/>
          <w:color w:val="002060"/>
          <w:sz w:val="24"/>
          <w:szCs w:val="24"/>
        </w:rPr>
        <w:t xml:space="preserve">płacę minimalną </w:t>
      </w:r>
      <w:r w:rsidR="007A5AF1" w:rsidRPr="00F505B1">
        <w:rPr>
          <w:b/>
          <w:bCs/>
          <w:color w:val="002060"/>
          <w:sz w:val="24"/>
          <w:szCs w:val="24"/>
        </w:rPr>
        <w:t>– 3 606 zł netto</w:t>
      </w:r>
      <w:r w:rsidR="00F22872" w:rsidRPr="00F505B1">
        <w:rPr>
          <w:b/>
          <w:bCs/>
          <w:color w:val="002060"/>
          <w:sz w:val="24"/>
          <w:szCs w:val="24"/>
        </w:rPr>
        <w:t xml:space="preserve"> (4 806 zł brutto</w:t>
      </w:r>
      <w:r w:rsidRPr="00F505B1">
        <w:rPr>
          <w:b/>
          <w:bCs/>
          <w:color w:val="002060"/>
          <w:sz w:val="24"/>
          <w:szCs w:val="24"/>
        </w:rPr>
        <w:t>)</w:t>
      </w:r>
      <w:r w:rsidRPr="00F505B1">
        <w:rPr>
          <w:color w:val="002060"/>
          <w:sz w:val="24"/>
          <w:szCs w:val="24"/>
        </w:rPr>
        <w:t xml:space="preserve"> ten sam wydatek oznacza już </w:t>
      </w:r>
      <w:r w:rsidR="00F22872" w:rsidRPr="00F505B1">
        <w:rPr>
          <w:b/>
          <w:bCs/>
          <w:color w:val="002060"/>
          <w:sz w:val="24"/>
          <w:szCs w:val="24"/>
        </w:rPr>
        <w:t>7</w:t>
      </w:r>
      <w:r w:rsidRPr="00F505B1">
        <w:rPr>
          <w:b/>
          <w:bCs/>
          <w:color w:val="002060"/>
          <w:sz w:val="24"/>
          <w:szCs w:val="24"/>
        </w:rPr>
        <w:t>–1</w:t>
      </w:r>
      <w:r w:rsidR="00F22872" w:rsidRPr="00F505B1">
        <w:rPr>
          <w:b/>
          <w:bCs/>
          <w:color w:val="002060"/>
          <w:sz w:val="24"/>
          <w:szCs w:val="24"/>
        </w:rPr>
        <w:t>3</w:t>
      </w:r>
      <w:r w:rsidRPr="00F505B1">
        <w:rPr>
          <w:b/>
          <w:bCs/>
          <w:color w:val="002060"/>
          <w:sz w:val="24"/>
          <w:szCs w:val="24"/>
        </w:rPr>
        <w:t>,</w:t>
      </w:r>
      <w:r w:rsidR="00F22872" w:rsidRPr="00F505B1">
        <w:rPr>
          <w:b/>
          <w:bCs/>
          <w:color w:val="002060"/>
          <w:sz w:val="24"/>
          <w:szCs w:val="24"/>
        </w:rPr>
        <w:t>9</w:t>
      </w:r>
      <w:r w:rsidRPr="00F505B1">
        <w:rPr>
          <w:b/>
          <w:bCs/>
          <w:color w:val="002060"/>
          <w:sz w:val="24"/>
          <w:szCs w:val="24"/>
        </w:rPr>
        <w:t xml:space="preserve"> proc. miesięcznych dochodów</w:t>
      </w:r>
      <w:r w:rsidRPr="00F505B1">
        <w:rPr>
          <w:i/>
          <w:iCs/>
          <w:color w:val="002060"/>
          <w:sz w:val="24"/>
          <w:szCs w:val="24"/>
        </w:rPr>
        <w:t>.</w:t>
      </w:r>
    </w:p>
    <w:p w14:paraId="40B4D2FE" w14:textId="3A1B00E1" w:rsidR="007A5AF1" w:rsidRPr="00F505B1" w:rsidRDefault="007A5AF1" w:rsidP="00F505B1">
      <w:pPr>
        <w:pStyle w:val="NormalnyWeb"/>
        <w:jc w:val="both"/>
        <w:rPr>
          <w:rFonts w:ascii="Calibri" w:hAnsi="Calibri" w:cs="Calibri"/>
          <w:color w:val="002060"/>
        </w:rPr>
      </w:pPr>
      <w:r w:rsidRPr="00F505B1">
        <w:rPr>
          <w:rFonts w:ascii="Calibri" w:hAnsi="Calibri" w:cs="Calibri"/>
          <w:color w:val="002060"/>
        </w:rPr>
        <w:lastRenderedPageBreak/>
        <w:t xml:space="preserve">Jeszcze wyraźniej widać to przy wyższych kwotach. </w:t>
      </w:r>
      <w:r w:rsidRPr="00F505B1">
        <w:rPr>
          <w:rStyle w:val="Pogrubienie"/>
          <w:rFonts w:ascii="Calibri" w:hAnsi="Calibri" w:cs="Calibri"/>
          <w:color w:val="002060"/>
        </w:rPr>
        <w:t>45 proc. rodziców</w:t>
      </w:r>
      <w:r w:rsidRPr="00F505B1">
        <w:rPr>
          <w:rFonts w:ascii="Calibri" w:hAnsi="Calibri" w:cs="Calibri"/>
          <w:color w:val="002060"/>
        </w:rPr>
        <w:t xml:space="preserve"> planuje przeznaczyć na wyprawkę </w:t>
      </w:r>
      <w:r w:rsidRPr="00F505B1">
        <w:rPr>
          <w:rStyle w:val="Pogrubienie"/>
          <w:rFonts w:ascii="Calibri" w:hAnsi="Calibri" w:cs="Calibri"/>
          <w:color w:val="002060"/>
        </w:rPr>
        <w:t>od 501 do 1000 zł</w:t>
      </w:r>
      <w:r w:rsidRPr="00F505B1">
        <w:rPr>
          <w:rFonts w:ascii="Calibri" w:hAnsi="Calibri" w:cs="Calibri"/>
          <w:color w:val="002060"/>
        </w:rPr>
        <w:t xml:space="preserve">, co odpowiada </w:t>
      </w:r>
      <w:r w:rsidRPr="00F505B1">
        <w:rPr>
          <w:rStyle w:val="Pogrubienie"/>
          <w:rFonts w:ascii="Calibri" w:hAnsi="Calibri" w:cs="Calibri"/>
          <w:color w:val="002060"/>
        </w:rPr>
        <w:t>7,4–14,8 proc. przeciętnego miesięcznego wynagrodzenia netto</w:t>
      </w:r>
      <w:r w:rsidRPr="00F505B1">
        <w:rPr>
          <w:rFonts w:ascii="Calibri" w:hAnsi="Calibri" w:cs="Calibri"/>
          <w:color w:val="002060"/>
        </w:rPr>
        <w:t xml:space="preserve"> lub </w:t>
      </w:r>
      <w:r w:rsidRPr="00F505B1">
        <w:rPr>
          <w:rStyle w:val="Pogrubienie"/>
          <w:rFonts w:ascii="Calibri" w:hAnsi="Calibri" w:cs="Calibri"/>
          <w:color w:val="002060"/>
        </w:rPr>
        <w:t>13,9–27,7 proc. płacy minimalnej netto</w:t>
      </w:r>
      <w:r w:rsidRPr="00F505B1">
        <w:rPr>
          <w:rFonts w:ascii="Calibri" w:hAnsi="Calibri" w:cs="Calibri"/>
          <w:color w:val="002060"/>
        </w:rPr>
        <w:t xml:space="preserve">. Natomiast w przypadku wydatków przekraczających </w:t>
      </w:r>
      <w:r w:rsidRPr="00F505B1">
        <w:rPr>
          <w:rStyle w:val="Pogrubienie"/>
          <w:rFonts w:ascii="Calibri" w:hAnsi="Calibri" w:cs="Calibri"/>
          <w:color w:val="002060"/>
        </w:rPr>
        <w:t>1500 zł</w:t>
      </w:r>
      <w:r w:rsidRPr="00F505B1">
        <w:rPr>
          <w:rFonts w:ascii="Calibri" w:hAnsi="Calibri" w:cs="Calibri"/>
          <w:color w:val="002060"/>
        </w:rPr>
        <w:t xml:space="preserve">, które deklaruje część badanych, koszt przygotowania jednego dziecka do szkoły stanowi już </w:t>
      </w:r>
      <w:r w:rsidRPr="00F505B1">
        <w:rPr>
          <w:rStyle w:val="Pogrubienie"/>
          <w:rFonts w:ascii="Calibri" w:hAnsi="Calibri" w:cs="Calibri"/>
          <w:color w:val="002060"/>
        </w:rPr>
        <w:t>ponad 22 proc. przeciętnego wynagrodzenia netto</w:t>
      </w:r>
      <w:r w:rsidRPr="00F505B1">
        <w:rPr>
          <w:rFonts w:ascii="Calibri" w:hAnsi="Calibri" w:cs="Calibri"/>
          <w:color w:val="002060"/>
        </w:rPr>
        <w:t xml:space="preserve"> i </w:t>
      </w:r>
      <w:r w:rsidRPr="00F505B1">
        <w:rPr>
          <w:rStyle w:val="Pogrubienie"/>
          <w:rFonts w:ascii="Calibri" w:hAnsi="Calibri" w:cs="Calibri"/>
          <w:color w:val="002060"/>
        </w:rPr>
        <w:t>ponad 41,6 proc. płacy minimalnej netto</w:t>
      </w:r>
      <w:r w:rsidRPr="00F505B1">
        <w:rPr>
          <w:rFonts w:ascii="Calibri" w:hAnsi="Calibri" w:cs="Calibri"/>
          <w:color w:val="002060"/>
        </w:rPr>
        <w:t xml:space="preserve">. </w:t>
      </w:r>
    </w:p>
    <w:p w14:paraId="2E2B9B33" w14:textId="60D960B5" w:rsidR="00D716FE" w:rsidRPr="00F505B1" w:rsidRDefault="00F505B1" w:rsidP="00F505B1">
      <w:pPr>
        <w:pStyle w:val="NormalnyWeb"/>
        <w:jc w:val="both"/>
        <w:rPr>
          <w:rFonts w:ascii="Calibri" w:hAnsi="Calibri" w:cs="Calibri"/>
          <w:color w:val="002060"/>
        </w:rPr>
      </w:pPr>
      <w:r w:rsidRPr="00F505B1">
        <w:rPr>
          <w:rFonts w:ascii="Calibri" w:hAnsi="Calibri" w:cs="Calibri"/>
          <w:color w:val="002060"/>
        </w:rPr>
        <w:t xml:space="preserve">– </w:t>
      </w:r>
      <w:r w:rsidRPr="00F505B1">
        <w:rPr>
          <w:rFonts w:ascii="Calibri" w:hAnsi="Calibri" w:cs="Calibri"/>
          <w:i/>
          <w:iCs/>
          <w:color w:val="002060"/>
        </w:rPr>
        <w:t>W przypadku wydatków związanych ze szkołą problemem nie jest wyłącznie ich wysokość, ale także ich kumulacja w krótkim czasie. To sprawia, że początek roku szkolnego staje się dla domowego budżetu swego rodzaju testem płynności finansowej pracownika. Z perspektywy pracodawcy jest to również sygnał, że nawet niewielkie, ale przewidywalne wsparcie może być dla zespołu realnie odczuwalne. Nie chodzi więc wyłącznie o wartość świadczenia, ale o moment, w którym pracownik może z niego skorzystać</w:t>
      </w:r>
      <w:r w:rsidR="00DF5EC4">
        <w:rPr>
          <w:rFonts w:ascii="Calibri" w:hAnsi="Calibri" w:cs="Calibri"/>
          <w:i/>
          <w:iCs/>
          <w:color w:val="002060"/>
        </w:rPr>
        <w:t xml:space="preserve">. </w:t>
      </w:r>
      <w:r w:rsidR="00DF5EC4">
        <w:rPr>
          <w:rStyle w:val="Pogrubienie"/>
          <w:rFonts w:ascii="Calibri" w:hAnsi="Calibri" w:cs="Calibri"/>
          <w:b w:val="0"/>
          <w:bCs w:val="0"/>
          <w:i/>
          <w:iCs/>
          <w:color w:val="002060"/>
        </w:rPr>
        <w:t>Jest to również</w:t>
      </w:r>
      <w:r w:rsidR="00DF5EC4" w:rsidRPr="00DF5EC4">
        <w:rPr>
          <w:rStyle w:val="Pogrubienie"/>
          <w:rFonts w:ascii="Calibri" w:hAnsi="Calibri" w:cs="Calibri"/>
          <w:b w:val="0"/>
          <w:bCs w:val="0"/>
          <w:i/>
          <w:iCs/>
          <w:color w:val="002060"/>
        </w:rPr>
        <w:t xml:space="preserve"> szczególnie istotne w czasach, gdy oczekiwania wobec pracodawców coraz częściej obejmują nie tylko poziom pensji, ale również stabilność i poczucie bezpieczeństwa finansowego</w:t>
      </w:r>
      <w:r w:rsidR="00616A6C">
        <w:rPr>
          <w:rFonts w:ascii="Calibri" w:hAnsi="Calibri" w:cs="Calibri"/>
          <w:b/>
          <w:bCs/>
          <w:color w:val="002060"/>
        </w:rPr>
        <w:t xml:space="preserve"> </w:t>
      </w:r>
      <w:r w:rsidRPr="00F505B1">
        <w:rPr>
          <w:rFonts w:ascii="Calibri" w:hAnsi="Calibri" w:cs="Calibri"/>
          <w:b/>
          <w:bCs/>
          <w:color w:val="002060"/>
        </w:rPr>
        <w:t xml:space="preserve">– mówi </w:t>
      </w:r>
      <w:r w:rsidR="00AD4828">
        <w:rPr>
          <w:rFonts w:ascii="Calibri" w:hAnsi="Calibri" w:cs="Calibri"/>
          <w:b/>
          <w:bCs/>
          <w:color w:val="002060"/>
        </w:rPr>
        <w:t xml:space="preserve">Paweł Dąbrowski, </w:t>
      </w:r>
      <w:r w:rsidR="00AD4828" w:rsidRPr="00E63240">
        <w:rPr>
          <w:rStyle w:val="Uwydatnienie"/>
          <w:rFonts w:ascii="Calibri" w:hAnsi="Calibri" w:cs="Calibri"/>
          <w:b/>
          <w:bCs/>
          <w:i w:val="0"/>
          <w:iCs w:val="0"/>
          <w:color w:val="002060"/>
          <w:shd w:val="clear" w:color="auto" w:fill="FFFFFF"/>
        </w:rPr>
        <w:t xml:space="preserve">prezes spółek operacyjnych w Grupie Progres. </w:t>
      </w:r>
      <w:r w:rsidRPr="00F505B1">
        <w:rPr>
          <w:rFonts w:ascii="Calibri" w:hAnsi="Calibri" w:cs="Calibri"/>
          <w:b/>
          <w:bCs/>
          <w:color w:val="002060"/>
        </w:rPr>
        <w:t xml:space="preserve"> </w:t>
      </w:r>
    </w:p>
    <w:p w14:paraId="1C58350F" w14:textId="4E2D1CB1" w:rsidR="00F22872" w:rsidRPr="00F505B1" w:rsidRDefault="00D716FE" w:rsidP="00F505B1">
      <w:pPr>
        <w:pStyle w:val="NormalnyWeb"/>
        <w:jc w:val="both"/>
        <w:rPr>
          <w:rFonts w:ascii="Calibri" w:hAnsi="Calibri" w:cs="Calibri"/>
          <w:b/>
          <w:bCs/>
          <w:color w:val="002060"/>
        </w:rPr>
      </w:pPr>
      <w:r w:rsidRPr="00F505B1">
        <w:rPr>
          <w:rFonts w:ascii="Calibri" w:hAnsi="Calibri" w:cs="Calibri"/>
          <w:b/>
          <w:bCs/>
          <w:color w:val="002060"/>
        </w:rPr>
        <w:t>Sposób na wyprawkę</w:t>
      </w:r>
    </w:p>
    <w:p w14:paraId="29FA0E85" w14:textId="790BE0B3" w:rsidR="002217E7" w:rsidRPr="002217E7" w:rsidRDefault="00F22872" w:rsidP="002217E7">
      <w:pPr>
        <w:jc w:val="both"/>
        <w:rPr>
          <w:rFonts w:eastAsia="Times New Roman"/>
          <w:color w:val="002060"/>
          <w:sz w:val="24"/>
          <w:szCs w:val="24"/>
          <w:lang w:eastAsia="pl-PL"/>
        </w:rPr>
      </w:pPr>
      <w:r w:rsidRPr="00F505B1">
        <w:rPr>
          <w:rFonts w:eastAsia="Times New Roman"/>
          <w:color w:val="002060"/>
          <w:sz w:val="24"/>
          <w:szCs w:val="24"/>
          <w:lang w:eastAsia="pl-PL"/>
        </w:rPr>
        <w:t xml:space="preserve">Wyprawka szkolna jako benefit nie jest już rozwiązaniem zarezerwowanym wyłącznie dla pracowników na wyższych stanowiskach. </w:t>
      </w:r>
      <w:r w:rsidR="002217E7" w:rsidRPr="002217E7">
        <w:rPr>
          <w:color w:val="002060"/>
          <w:sz w:val="24"/>
          <w:szCs w:val="24"/>
        </w:rPr>
        <w:t>P</w:t>
      </w:r>
      <w:r w:rsidR="002217E7" w:rsidRPr="00F505B1">
        <w:rPr>
          <w:rFonts w:eastAsia="Times New Roman"/>
          <w:color w:val="002060"/>
          <w:sz w:val="24"/>
          <w:szCs w:val="24"/>
          <w:lang w:eastAsia="pl-PL"/>
        </w:rPr>
        <w:t xml:space="preserve">racodawcy oferują takie wsparcie również osobom zatrudnionym na stanowiskach operacyjnych i niższych szczeblach. </w:t>
      </w:r>
      <w:r w:rsidR="00D716FE" w:rsidRPr="00F505B1">
        <w:rPr>
          <w:rFonts w:eastAsia="Times New Roman"/>
          <w:color w:val="002060"/>
          <w:sz w:val="24"/>
          <w:szCs w:val="24"/>
          <w:lang w:eastAsia="pl-PL"/>
        </w:rPr>
        <w:t xml:space="preserve">Jak wynika z analiz Grupy Progres </w:t>
      </w:r>
      <w:r w:rsidR="002217E7" w:rsidRPr="002217E7">
        <w:rPr>
          <w:rStyle w:val="Pogrubienie"/>
          <w:b w:val="0"/>
          <w:bCs w:val="0"/>
          <w:color w:val="002060"/>
          <w:sz w:val="24"/>
          <w:szCs w:val="24"/>
        </w:rPr>
        <w:t xml:space="preserve">w 2026 r. już </w:t>
      </w:r>
      <w:r w:rsidR="002217E7" w:rsidRPr="0065522E">
        <w:rPr>
          <w:rStyle w:val="Pogrubienie"/>
          <w:color w:val="002060"/>
          <w:sz w:val="24"/>
          <w:szCs w:val="24"/>
        </w:rPr>
        <w:t>21 proc. ogłoszeń o pracę zawiera informację o oferowanej pracownikom wyprawce szkolnej. Rok wcześniej taki benefit pojawiał się w 14 proc. ogłoszeń</w:t>
      </w:r>
      <w:r w:rsidR="002217E7" w:rsidRPr="002217E7">
        <w:rPr>
          <w:rStyle w:val="Pogrubienie"/>
          <w:b w:val="0"/>
          <w:bCs w:val="0"/>
          <w:color w:val="002060"/>
          <w:sz w:val="24"/>
          <w:szCs w:val="24"/>
        </w:rPr>
        <w:t>.</w:t>
      </w:r>
      <w:r w:rsidR="002217E7">
        <w:rPr>
          <w:b/>
          <w:bCs/>
          <w:color w:val="002060"/>
          <w:sz w:val="24"/>
          <w:szCs w:val="24"/>
        </w:rPr>
        <w:t xml:space="preserve"> </w:t>
      </w:r>
      <w:r w:rsidRPr="00F505B1">
        <w:rPr>
          <w:rFonts w:eastAsia="Times New Roman"/>
          <w:color w:val="002060"/>
          <w:sz w:val="24"/>
          <w:szCs w:val="24"/>
          <w:lang w:eastAsia="pl-PL"/>
        </w:rPr>
        <w:t>Najwięcej ofert z wyprawką szkolną dotyczy pracowników sklepów</w:t>
      </w:r>
      <w:r w:rsidR="00D716FE" w:rsidRPr="00F505B1">
        <w:rPr>
          <w:rFonts w:eastAsia="Times New Roman"/>
          <w:color w:val="002060"/>
          <w:sz w:val="24"/>
          <w:szCs w:val="24"/>
          <w:lang w:eastAsia="pl-PL"/>
        </w:rPr>
        <w:t xml:space="preserve"> i magazynów oraz produkcji.</w:t>
      </w:r>
      <w:r w:rsidRPr="00F505B1">
        <w:rPr>
          <w:rFonts w:eastAsia="Times New Roman"/>
          <w:color w:val="002060"/>
          <w:sz w:val="24"/>
          <w:szCs w:val="24"/>
          <w:lang w:eastAsia="pl-PL"/>
        </w:rPr>
        <w:t xml:space="preserve"> </w:t>
      </w:r>
      <w:r w:rsidR="00D716FE" w:rsidRPr="00F505B1">
        <w:rPr>
          <w:rFonts w:eastAsia="Times New Roman"/>
          <w:color w:val="002060"/>
          <w:sz w:val="24"/>
          <w:szCs w:val="24"/>
          <w:lang w:eastAsia="pl-PL"/>
        </w:rPr>
        <w:t>Taki benefit</w:t>
      </w:r>
      <w:r w:rsidRPr="00F505B1">
        <w:rPr>
          <w:rFonts w:eastAsia="Times New Roman"/>
          <w:color w:val="002060"/>
          <w:sz w:val="24"/>
          <w:szCs w:val="24"/>
          <w:lang w:eastAsia="pl-PL"/>
        </w:rPr>
        <w:t xml:space="preserve"> pojawia się również w ofertach dla kierowców, pracowników obsługi klienta, montażu i serwisu oraz mechaniki, ale także </w:t>
      </w:r>
      <w:r w:rsidR="00D716FE" w:rsidRPr="00F505B1">
        <w:rPr>
          <w:rFonts w:eastAsia="Times New Roman"/>
          <w:color w:val="002060"/>
          <w:sz w:val="24"/>
          <w:szCs w:val="24"/>
          <w:lang w:eastAsia="pl-PL"/>
        </w:rPr>
        <w:t xml:space="preserve">rekrutacji na etaty </w:t>
      </w:r>
      <w:r w:rsidRPr="00F505B1">
        <w:rPr>
          <w:rFonts w:eastAsia="Times New Roman"/>
          <w:color w:val="002060"/>
          <w:sz w:val="24"/>
          <w:szCs w:val="24"/>
          <w:lang w:eastAsia="pl-PL"/>
        </w:rPr>
        <w:t xml:space="preserve">w finansach i księgowości, IT i telekomunikacji czy inżynierii. </w:t>
      </w:r>
    </w:p>
    <w:p w14:paraId="06CF59EA" w14:textId="77D0BAC8" w:rsidR="00F22872" w:rsidRPr="00F505B1" w:rsidRDefault="00F22872" w:rsidP="00F505B1">
      <w:pPr>
        <w:spacing w:before="100" w:beforeAutospacing="1" w:after="100" w:afterAutospacing="1"/>
        <w:jc w:val="both"/>
        <w:rPr>
          <w:rFonts w:eastAsia="Times New Roman"/>
          <w:color w:val="002060"/>
          <w:sz w:val="24"/>
          <w:szCs w:val="24"/>
          <w:lang w:eastAsia="pl-PL"/>
        </w:rPr>
      </w:pPr>
      <w:r w:rsidRPr="00F505B1">
        <w:rPr>
          <w:rFonts w:eastAsia="Times New Roman"/>
          <w:color w:val="002060"/>
          <w:sz w:val="24"/>
          <w:szCs w:val="24"/>
          <w:lang w:eastAsia="pl-PL"/>
        </w:rPr>
        <w:t xml:space="preserve">Dodatkowe wydatki związane z początkiem roku szkolnego sprawiają jednak, że część rodziców szuka również sposobów na zwiększenie domowego budżetu. Niektórzy decydują się na nadgodziny, krótkoterminowe zlecenia lub zmianę pracy na lepiej płatną. </w:t>
      </w:r>
      <w:r w:rsidR="00D716FE" w:rsidRPr="00F505B1">
        <w:rPr>
          <w:rFonts w:eastAsia="Times New Roman"/>
          <w:color w:val="002060"/>
          <w:sz w:val="24"/>
          <w:szCs w:val="24"/>
          <w:lang w:eastAsia="pl-PL"/>
        </w:rPr>
        <w:t>S</w:t>
      </w:r>
      <w:r w:rsidRPr="00F505B1">
        <w:rPr>
          <w:rFonts w:eastAsia="Times New Roman"/>
          <w:color w:val="002060"/>
          <w:sz w:val="24"/>
          <w:szCs w:val="24"/>
          <w:lang w:eastAsia="pl-PL"/>
        </w:rPr>
        <w:t xml:space="preserve">ierpień i początek września stają się </w:t>
      </w:r>
      <w:r w:rsidR="00D716FE" w:rsidRPr="00F505B1">
        <w:rPr>
          <w:rFonts w:eastAsia="Times New Roman"/>
          <w:color w:val="002060"/>
          <w:sz w:val="24"/>
          <w:szCs w:val="24"/>
          <w:lang w:eastAsia="pl-PL"/>
        </w:rPr>
        <w:t xml:space="preserve">zatem </w:t>
      </w:r>
      <w:r w:rsidRPr="00F505B1">
        <w:rPr>
          <w:rFonts w:eastAsia="Times New Roman"/>
          <w:color w:val="002060"/>
          <w:sz w:val="24"/>
          <w:szCs w:val="24"/>
          <w:lang w:eastAsia="pl-PL"/>
        </w:rPr>
        <w:t>dla wielu rodzin okresem intensywniejszej aktywności zawodowej, której celem jest zgromadzenie pieniędzy na jednorazowe wydatki związane z edukacją dzieci.</w:t>
      </w:r>
    </w:p>
    <w:p w14:paraId="5BB9185C" w14:textId="2E4DD667" w:rsidR="00F22872" w:rsidRPr="00DF5EC4" w:rsidRDefault="00F22872" w:rsidP="00F505B1">
      <w:pPr>
        <w:spacing w:before="100" w:beforeAutospacing="1" w:after="100" w:afterAutospacing="1"/>
        <w:jc w:val="both"/>
        <w:rPr>
          <w:rFonts w:eastAsia="Times New Roman"/>
          <w:b/>
          <w:bCs/>
          <w:color w:val="002060"/>
          <w:sz w:val="24"/>
          <w:szCs w:val="24"/>
          <w:lang w:eastAsia="pl-PL"/>
        </w:rPr>
      </w:pPr>
      <w:r w:rsidRPr="00F505B1">
        <w:rPr>
          <w:rFonts w:eastAsia="Times New Roman"/>
          <w:color w:val="002060"/>
          <w:sz w:val="24"/>
          <w:szCs w:val="24"/>
          <w:lang w:eastAsia="pl-PL"/>
        </w:rPr>
        <w:t xml:space="preserve">Jak wskazują eksperci Grupy Progres, </w:t>
      </w:r>
      <w:r w:rsidR="00D716FE" w:rsidRPr="00F505B1">
        <w:rPr>
          <w:rFonts w:eastAsia="Times New Roman"/>
          <w:color w:val="002060"/>
          <w:sz w:val="24"/>
          <w:szCs w:val="24"/>
          <w:lang w:eastAsia="pl-PL"/>
        </w:rPr>
        <w:t xml:space="preserve">to </w:t>
      </w:r>
      <w:r w:rsidRPr="00F505B1">
        <w:rPr>
          <w:rFonts w:eastAsia="Times New Roman"/>
          <w:color w:val="002060"/>
          <w:sz w:val="24"/>
          <w:szCs w:val="24"/>
          <w:lang w:eastAsia="pl-PL"/>
        </w:rPr>
        <w:t xml:space="preserve">zjawisko dobrze widać w branżach, które w okresie wakacyjnym zwiększają zatrudnienie. Handel, logistyka, magazyny, produkcja czy e-commerce </w:t>
      </w:r>
      <w:r w:rsidRPr="00DF5EC4">
        <w:rPr>
          <w:rFonts w:eastAsia="Times New Roman"/>
          <w:color w:val="002060"/>
          <w:sz w:val="24"/>
          <w:szCs w:val="24"/>
          <w:lang w:eastAsia="pl-PL"/>
        </w:rPr>
        <w:t>uruchamiają dodatkowe rekrutacje i często oferują pracę na krótki czas – od kilku dni do kilku tygodni. Firmy potrzebują pracowników m.in. do przygotowania nowych sklepów do otwarcia, rozładunku dostaw, wykładania towaru i oznaczania cen, kompletowania zamówień czy obsługi sezonowego wzrostu sprzedaży.</w:t>
      </w:r>
    </w:p>
    <w:p w14:paraId="20422F06" w14:textId="7A37C0D6" w:rsidR="00DF5EC4" w:rsidRPr="00DF5EC4" w:rsidRDefault="00DF5EC4" w:rsidP="00F505B1">
      <w:pPr>
        <w:spacing w:before="100" w:beforeAutospacing="1" w:after="100" w:afterAutospacing="1"/>
        <w:jc w:val="both"/>
        <w:rPr>
          <w:rFonts w:eastAsia="Times New Roman"/>
          <w:b/>
          <w:bCs/>
          <w:color w:val="002060"/>
          <w:sz w:val="24"/>
          <w:szCs w:val="24"/>
          <w:lang w:eastAsia="pl-PL"/>
        </w:rPr>
      </w:pPr>
      <w:r w:rsidRPr="00DF5EC4">
        <w:rPr>
          <w:color w:val="002060"/>
          <w:sz w:val="24"/>
          <w:szCs w:val="24"/>
        </w:rPr>
        <w:t>–</w:t>
      </w:r>
      <w:r w:rsidRPr="00DF5EC4">
        <w:rPr>
          <w:b/>
          <w:bCs/>
          <w:color w:val="002060"/>
          <w:sz w:val="24"/>
          <w:szCs w:val="24"/>
        </w:rPr>
        <w:t xml:space="preserve"> </w:t>
      </w:r>
      <w:r w:rsidRPr="00DF5EC4">
        <w:rPr>
          <w:rStyle w:val="Pogrubienie"/>
          <w:b w:val="0"/>
          <w:bCs w:val="0"/>
          <w:i/>
          <w:iCs/>
          <w:color w:val="002060"/>
          <w:sz w:val="24"/>
          <w:szCs w:val="24"/>
        </w:rPr>
        <w:t xml:space="preserve">Sezonowa praca może pełnić dziś funkcję finansowego bufora dla gospodarstw domowych. Nie zawsze chodzi o trwałą zmianę sytuacji zawodowej, lecz o możliwość zwiększenia przychodów w konkretnym momencie bez konieczności zmiany podstawowego źródła </w:t>
      </w:r>
      <w:r w:rsidRPr="00DF5EC4">
        <w:rPr>
          <w:rStyle w:val="Pogrubienie"/>
          <w:b w:val="0"/>
          <w:bCs w:val="0"/>
          <w:i/>
          <w:iCs/>
          <w:color w:val="002060"/>
          <w:sz w:val="24"/>
          <w:szCs w:val="24"/>
        </w:rPr>
        <w:lastRenderedPageBreak/>
        <w:t>utrzymania. Z punktu widzenia pracownika ważna jest przy tym możliwość szybkiego wejścia do pracy i zakończenia jej po wykonaniu określonego projektu. Taki model może być szczególnie interesujący dla osób, które mają już stałe zatrudnienie, ale potrzebują dodatkowego dochodu przez kilka tygodni. Dla rynku pracy oznacza to również większe znaczenie krótkich, elastycznych form zatrudnienia jako sposobu dopasowania podaży pracy do sezonowych potrzeb firm. W efekcie okres zwiększonych wydatków rodzinnych zbiega się z czasem, w którym część przedsiębiorstw ma zwiększone zapotrzebowanie na pracowników</w:t>
      </w:r>
      <w:r w:rsidRPr="00DF5EC4">
        <w:rPr>
          <w:b/>
          <w:bCs/>
          <w:color w:val="002060"/>
          <w:sz w:val="24"/>
          <w:szCs w:val="24"/>
        </w:rPr>
        <w:t xml:space="preserve"> – </w:t>
      </w:r>
      <w:r w:rsidR="00AD4828">
        <w:rPr>
          <w:b/>
          <w:bCs/>
          <w:color w:val="002060"/>
          <w:sz w:val="24"/>
          <w:szCs w:val="24"/>
        </w:rPr>
        <w:t xml:space="preserve">zaznacza </w:t>
      </w:r>
      <w:r w:rsidR="00AD4828" w:rsidRPr="00AD4828">
        <w:rPr>
          <w:b/>
          <w:bCs/>
          <w:color w:val="002060"/>
          <w:sz w:val="24"/>
          <w:szCs w:val="24"/>
        </w:rPr>
        <w:t xml:space="preserve">Paweł Dąbrowski, prezes spółek operacyjnych w Grupie Progres.  </w:t>
      </w:r>
    </w:p>
    <w:p w14:paraId="127A172B" w14:textId="169692F3" w:rsidR="00475A5D" w:rsidRPr="00F505B1" w:rsidRDefault="00475A5D" w:rsidP="00F505B1">
      <w:pPr>
        <w:spacing w:after="160"/>
        <w:jc w:val="both"/>
        <w:rPr>
          <w:color w:val="002060"/>
          <w:sz w:val="24"/>
          <w:szCs w:val="24"/>
        </w:rPr>
      </w:pPr>
      <w:r w:rsidRPr="00F505B1">
        <w:rPr>
          <w:b/>
          <w:bCs/>
          <w:color w:val="002060"/>
          <w:sz w:val="24"/>
          <w:szCs w:val="24"/>
        </w:rPr>
        <w:t xml:space="preserve">Szkolna wyprawka staje się również elementem benefitów </w:t>
      </w:r>
    </w:p>
    <w:p w14:paraId="77FE6780" w14:textId="5968F256" w:rsidR="00475A5D" w:rsidRPr="00F505B1" w:rsidRDefault="00475A5D" w:rsidP="00F505B1">
      <w:pPr>
        <w:jc w:val="both"/>
        <w:rPr>
          <w:color w:val="002060"/>
          <w:sz w:val="24"/>
          <w:szCs w:val="24"/>
        </w:rPr>
      </w:pPr>
      <w:r w:rsidRPr="00F505B1">
        <w:rPr>
          <w:color w:val="002060"/>
          <w:sz w:val="24"/>
          <w:szCs w:val="24"/>
        </w:rPr>
        <w:t xml:space="preserve">Rosnące koszty związane z początkiem roku szkolnego sprawiają, że coraz więcej firm włącza się w finansowe wsparcie pracowników wychowujących dzieci. Jak wynika z </w:t>
      </w:r>
      <w:r w:rsidR="00D716FE" w:rsidRPr="00F505B1">
        <w:rPr>
          <w:color w:val="002060"/>
          <w:sz w:val="24"/>
          <w:szCs w:val="24"/>
        </w:rPr>
        <w:t>analiz</w:t>
      </w:r>
      <w:r w:rsidRPr="00F505B1">
        <w:rPr>
          <w:color w:val="002060"/>
          <w:sz w:val="24"/>
          <w:szCs w:val="24"/>
        </w:rPr>
        <w:t xml:space="preserve"> Grupy Progres, obok klasycznych świadczeń z Zakładowego Funduszu Świadczeń Socjalnych pracodawcy coraz częściej oferują jednorazowe zapomogi, bony zakupowe, karty przedpłacone czy paczki z artykułami szkolnymi. W części przedsiębiorstw organizowane są również akcje kompletowania wyprawek dla dzieci pracowników, a niektóre firmy refundują zakup podręczników lub przyborów szkolnych.</w:t>
      </w:r>
    </w:p>
    <w:p w14:paraId="1E5101E5" w14:textId="77777777" w:rsidR="00475A5D" w:rsidRPr="00F505B1" w:rsidRDefault="00475A5D" w:rsidP="00F505B1">
      <w:pPr>
        <w:jc w:val="both"/>
        <w:rPr>
          <w:color w:val="002060"/>
          <w:sz w:val="24"/>
          <w:szCs w:val="24"/>
        </w:rPr>
      </w:pPr>
    </w:p>
    <w:p w14:paraId="2AF14A33" w14:textId="1C888421" w:rsidR="00475A5D" w:rsidRDefault="00475A5D" w:rsidP="00DF5EC4">
      <w:pPr>
        <w:jc w:val="both"/>
        <w:rPr>
          <w:color w:val="002060"/>
          <w:sz w:val="24"/>
          <w:szCs w:val="24"/>
        </w:rPr>
      </w:pPr>
      <w:r w:rsidRPr="00F505B1">
        <w:rPr>
          <w:color w:val="002060"/>
          <w:sz w:val="24"/>
          <w:szCs w:val="24"/>
        </w:rPr>
        <w:t xml:space="preserve">Coraz większą popularnością cieszą się także benefity dostępne w systemach </w:t>
      </w:r>
      <w:proofErr w:type="spellStart"/>
      <w:r w:rsidRPr="00F505B1">
        <w:rPr>
          <w:color w:val="002060"/>
          <w:sz w:val="24"/>
          <w:szCs w:val="24"/>
        </w:rPr>
        <w:t>kafeteryjnych</w:t>
      </w:r>
      <w:proofErr w:type="spellEnd"/>
      <w:r w:rsidRPr="00F505B1">
        <w:rPr>
          <w:color w:val="002060"/>
          <w:sz w:val="24"/>
          <w:szCs w:val="24"/>
        </w:rPr>
        <w:t>. Pracownicy mogą przeznaczyć zgromadzone środki na zakup artykułów szkolnych, odzieży, obuwia czy sprzętu elektronicznego potrzebnego do nauki. W wielu organizacjach dodatkowe wsparcie trafia przede wszystkim do rodzin wielodzietnych lub osób znajdujących się w trudniejszej sytuacji finansowej.</w:t>
      </w:r>
    </w:p>
    <w:p w14:paraId="72FE3337" w14:textId="77777777" w:rsidR="00DF5EC4" w:rsidRPr="00F505B1" w:rsidRDefault="00DF5EC4" w:rsidP="00DF5EC4">
      <w:pPr>
        <w:jc w:val="both"/>
        <w:rPr>
          <w:color w:val="002060"/>
          <w:sz w:val="24"/>
          <w:szCs w:val="24"/>
        </w:rPr>
      </w:pPr>
    </w:p>
    <w:p w14:paraId="05B84CF7" w14:textId="77777777" w:rsidR="00475A5D" w:rsidRPr="00DF5EC4" w:rsidRDefault="00475A5D" w:rsidP="00F505B1">
      <w:pPr>
        <w:spacing w:after="160"/>
        <w:jc w:val="both"/>
        <w:rPr>
          <w:b/>
          <w:bCs/>
          <w:color w:val="002060"/>
          <w:sz w:val="24"/>
          <w:szCs w:val="24"/>
        </w:rPr>
      </w:pPr>
      <w:r w:rsidRPr="00DF5EC4">
        <w:rPr>
          <w:b/>
          <w:bCs/>
          <w:color w:val="002060"/>
          <w:sz w:val="24"/>
          <w:szCs w:val="24"/>
        </w:rPr>
        <w:t>Państwo dokłada 300 zł, ale to dopiero początek</w:t>
      </w:r>
    </w:p>
    <w:p w14:paraId="396516AC" w14:textId="595A21B3" w:rsidR="00337B84" w:rsidRPr="00DF5EC4" w:rsidRDefault="00337B84" w:rsidP="00F505B1">
      <w:pPr>
        <w:pStyle w:val="NormalnyWeb"/>
        <w:jc w:val="both"/>
        <w:rPr>
          <w:rFonts w:ascii="Calibri" w:hAnsi="Calibri" w:cs="Calibri"/>
          <w:color w:val="002060"/>
        </w:rPr>
      </w:pPr>
      <w:r w:rsidRPr="00DF5EC4">
        <w:rPr>
          <w:rFonts w:ascii="Calibri" w:hAnsi="Calibri" w:cs="Calibri"/>
          <w:color w:val="002060"/>
        </w:rPr>
        <w:t xml:space="preserve">Najbardziej popularną formą wsparcia pozostaje program </w:t>
      </w:r>
      <w:r w:rsidRPr="00DF5EC4">
        <w:rPr>
          <w:rStyle w:val="Pogrubienie"/>
          <w:rFonts w:ascii="Calibri" w:hAnsi="Calibri" w:cs="Calibri"/>
          <w:color w:val="002060"/>
        </w:rPr>
        <w:t>Dobry Start</w:t>
      </w:r>
      <w:r w:rsidRPr="00DF5EC4">
        <w:rPr>
          <w:rFonts w:ascii="Calibri" w:hAnsi="Calibri" w:cs="Calibri"/>
          <w:color w:val="002060"/>
        </w:rPr>
        <w:t xml:space="preserve">, w ramach którego rodzice i opiekunowie otrzymują </w:t>
      </w:r>
      <w:r w:rsidRPr="00DF5EC4">
        <w:rPr>
          <w:rStyle w:val="Pogrubienie"/>
          <w:rFonts w:ascii="Calibri" w:hAnsi="Calibri" w:cs="Calibri"/>
          <w:color w:val="002060"/>
        </w:rPr>
        <w:t>300 zł na każde uczące się dziecko</w:t>
      </w:r>
      <w:r w:rsidRPr="00DF5EC4">
        <w:rPr>
          <w:rFonts w:ascii="Calibri" w:hAnsi="Calibri" w:cs="Calibri"/>
          <w:color w:val="002060"/>
        </w:rPr>
        <w:t xml:space="preserve"> raz w roku, niezależnie od dochodu. Z danych ZUS wynika, że do </w:t>
      </w:r>
      <w:r w:rsidRPr="00DF5EC4">
        <w:rPr>
          <w:rStyle w:val="Pogrubienie"/>
          <w:rFonts w:ascii="Calibri" w:hAnsi="Calibri" w:cs="Calibri"/>
          <w:color w:val="002060"/>
        </w:rPr>
        <w:t>17 lipca 2026 r.</w:t>
      </w:r>
      <w:r w:rsidRPr="00DF5EC4">
        <w:rPr>
          <w:rFonts w:ascii="Calibri" w:hAnsi="Calibri" w:cs="Calibri"/>
          <w:color w:val="002060"/>
        </w:rPr>
        <w:t xml:space="preserve"> złożono blisko </w:t>
      </w:r>
      <w:r w:rsidRPr="00DF5EC4">
        <w:rPr>
          <w:rStyle w:val="Pogrubienie"/>
          <w:rFonts w:ascii="Calibri" w:hAnsi="Calibri" w:cs="Calibri"/>
          <w:color w:val="002060"/>
        </w:rPr>
        <w:t>1,4 mln wniosków</w:t>
      </w:r>
      <w:r w:rsidRPr="00DF5EC4">
        <w:rPr>
          <w:rFonts w:ascii="Calibri" w:hAnsi="Calibri" w:cs="Calibri"/>
          <w:color w:val="002060"/>
        </w:rPr>
        <w:t xml:space="preserve"> obejmujących ponad </w:t>
      </w:r>
      <w:r w:rsidRPr="00DF5EC4">
        <w:rPr>
          <w:rStyle w:val="Pogrubienie"/>
          <w:rFonts w:ascii="Calibri" w:hAnsi="Calibri" w:cs="Calibri"/>
          <w:color w:val="002060"/>
        </w:rPr>
        <w:t>2 mln dzieci</w:t>
      </w:r>
      <w:r w:rsidRPr="00DF5EC4">
        <w:rPr>
          <w:rFonts w:ascii="Calibri" w:hAnsi="Calibri" w:cs="Calibri"/>
          <w:color w:val="002060"/>
        </w:rPr>
        <w:t xml:space="preserve">, a wypłaty sięgnęły niemal </w:t>
      </w:r>
      <w:r w:rsidRPr="00DF5EC4">
        <w:rPr>
          <w:rStyle w:val="Pogrubienie"/>
          <w:rFonts w:ascii="Calibri" w:hAnsi="Calibri" w:cs="Calibri"/>
          <w:color w:val="002060"/>
        </w:rPr>
        <w:t>173 mln zł</w:t>
      </w:r>
      <w:r w:rsidRPr="00DF5EC4">
        <w:rPr>
          <w:rFonts w:ascii="Calibri" w:hAnsi="Calibri" w:cs="Calibri"/>
          <w:color w:val="002060"/>
        </w:rPr>
        <w:t xml:space="preserve">. W 2025 r. ZUS przyjął ponad </w:t>
      </w:r>
      <w:r w:rsidRPr="00DF5EC4">
        <w:rPr>
          <w:rStyle w:val="Pogrubienie"/>
          <w:rFonts w:ascii="Calibri" w:hAnsi="Calibri" w:cs="Calibri"/>
          <w:color w:val="002060"/>
        </w:rPr>
        <w:t>3,3 mln wniosków</w:t>
      </w:r>
      <w:r w:rsidRPr="00DF5EC4">
        <w:rPr>
          <w:rFonts w:ascii="Calibri" w:hAnsi="Calibri" w:cs="Calibri"/>
          <w:color w:val="002060"/>
        </w:rPr>
        <w:t xml:space="preserve"> dotyczących blisko </w:t>
      </w:r>
      <w:r w:rsidRPr="00DF5EC4">
        <w:rPr>
          <w:rStyle w:val="Pogrubienie"/>
          <w:rFonts w:ascii="Calibri" w:hAnsi="Calibri" w:cs="Calibri"/>
          <w:color w:val="002060"/>
        </w:rPr>
        <w:t>4,9 mln dzieci</w:t>
      </w:r>
      <w:r w:rsidRPr="00DF5EC4">
        <w:rPr>
          <w:rFonts w:ascii="Calibri" w:hAnsi="Calibri" w:cs="Calibri"/>
          <w:color w:val="002060"/>
        </w:rPr>
        <w:t xml:space="preserve">, wypłacając łącznie ponad </w:t>
      </w:r>
      <w:r w:rsidRPr="00DF5EC4">
        <w:rPr>
          <w:rStyle w:val="Pogrubienie"/>
          <w:rFonts w:ascii="Calibri" w:hAnsi="Calibri" w:cs="Calibri"/>
          <w:color w:val="002060"/>
        </w:rPr>
        <w:t>1,4 mld zł</w:t>
      </w:r>
      <w:r w:rsidRPr="00DF5EC4">
        <w:rPr>
          <w:rFonts w:ascii="Calibri" w:hAnsi="Calibri" w:cs="Calibri"/>
          <w:color w:val="002060"/>
        </w:rPr>
        <w:t>.</w:t>
      </w:r>
      <w:r w:rsidR="00DF5EC4">
        <w:rPr>
          <w:rFonts w:ascii="Calibri" w:hAnsi="Calibri" w:cs="Calibri"/>
          <w:color w:val="002060"/>
        </w:rPr>
        <w:t xml:space="preserve"> </w:t>
      </w:r>
      <w:r w:rsidRPr="00DF5EC4">
        <w:rPr>
          <w:rFonts w:ascii="Calibri" w:hAnsi="Calibri" w:cs="Calibri"/>
          <w:color w:val="002060"/>
        </w:rPr>
        <w:t xml:space="preserve">Dobry Start </w:t>
      </w:r>
      <w:r w:rsidR="00F505B1" w:rsidRPr="00DF5EC4">
        <w:rPr>
          <w:rFonts w:ascii="Calibri" w:hAnsi="Calibri" w:cs="Calibri"/>
          <w:color w:val="002060"/>
        </w:rPr>
        <w:t>nie jest jedyną formą pomocy</w:t>
      </w:r>
      <w:r w:rsidRPr="00DF5EC4">
        <w:rPr>
          <w:rFonts w:ascii="Calibri" w:hAnsi="Calibri" w:cs="Calibri"/>
          <w:color w:val="002060"/>
        </w:rPr>
        <w:t xml:space="preserve">. Rodziny spełniające kryteria dochodowe mogą otrzymać </w:t>
      </w:r>
      <w:r w:rsidRPr="00DF5EC4">
        <w:rPr>
          <w:rStyle w:val="Pogrubienie"/>
          <w:rFonts w:ascii="Calibri" w:hAnsi="Calibri" w:cs="Calibri"/>
          <w:color w:val="002060"/>
        </w:rPr>
        <w:t>100 zł dodatku na rozpoczęcie roku szkolnego</w:t>
      </w:r>
      <w:r w:rsidR="00F505B1" w:rsidRPr="00DF5EC4">
        <w:rPr>
          <w:rStyle w:val="Pogrubienie"/>
          <w:rFonts w:ascii="Calibri" w:hAnsi="Calibri" w:cs="Calibri"/>
          <w:color w:val="002060"/>
        </w:rPr>
        <w:t xml:space="preserve"> </w:t>
      </w:r>
      <w:r w:rsidR="00F505B1" w:rsidRPr="00DF5EC4">
        <w:rPr>
          <w:rFonts w:ascii="Calibri" w:hAnsi="Calibri" w:cs="Calibri"/>
          <w:color w:val="002060"/>
        </w:rPr>
        <w:t>przysługujący rodzinom pobierającym zasiłek rodzinny</w:t>
      </w:r>
      <w:r w:rsidRPr="00DF5EC4">
        <w:rPr>
          <w:rFonts w:ascii="Calibri" w:hAnsi="Calibri" w:cs="Calibri"/>
          <w:color w:val="002060"/>
        </w:rPr>
        <w:t xml:space="preserve">, a uczniowie w trudnej sytuacji materialnej – </w:t>
      </w:r>
      <w:r w:rsidRPr="00DF5EC4">
        <w:rPr>
          <w:rStyle w:val="Pogrubienie"/>
          <w:rFonts w:ascii="Calibri" w:hAnsi="Calibri" w:cs="Calibri"/>
          <w:color w:val="002060"/>
        </w:rPr>
        <w:t>stypendium szkolne do 2480 zł rocznie</w:t>
      </w:r>
      <w:r w:rsidRPr="00DF5EC4">
        <w:rPr>
          <w:rFonts w:ascii="Calibri" w:hAnsi="Calibri" w:cs="Calibri"/>
          <w:color w:val="002060"/>
        </w:rPr>
        <w:t xml:space="preserve">. Dostępne są również m.in. bezpłatne posiłki w szkołach, dofinansowanie podręczników dla uczniów z orzeczeniem oraz dodatki związane z nauką poza miejscem zamieszkania – do </w:t>
      </w:r>
      <w:r w:rsidRPr="00DF5EC4">
        <w:rPr>
          <w:rStyle w:val="Pogrubienie"/>
          <w:rFonts w:ascii="Calibri" w:hAnsi="Calibri" w:cs="Calibri"/>
          <w:color w:val="002060"/>
        </w:rPr>
        <w:t>1130 zł na zakwaterowanie</w:t>
      </w:r>
      <w:r w:rsidRPr="00DF5EC4">
        <w:rPr>
          <w:rFonts w:ascii="Calibri" w:hAnsi="Calibri" w:cs="Calibri"/>
          <w:color w:val="002060"/>
        </w:rPr>
        <w:t xml:space="preserve"> lub </w:t>
      </w:r>
      <w:r w:rsidRPr="00DF5EC4">
        <w:rPr>
          <w:rStyle w:val="Pogrubienie"/>
          <w:rFonts w:ascii="Calibri" w:hAnsi="Calibri" w:cs="Calibri"/>
          <w:color w:val="002060"/>
        </w:rPr>
        <w:t>690 zł na dojazdy</w:t>
      </w:r>
      <w:r w:rsidRPr="00DF5EC4">
        <w:rPr>
          <w:rFonts w:ascii="Calibri" w:hAnsi="Calibri" w:cs="Calibri"/>
          <w:color w:val="002060"/>
        </w:rPr>
        <w:t>.</w:t>
      </w:r>
    </w:p>
    <w:p w14:paraId="50A6E8DF" w14:textId="2050EAF4" w:rsidR="00475A5D" w:rsidRDefault="00337B84" w:rsidP="00F505B1">
      <w:pPr>
        <w:pStyle w:val="NormalnyWeb"/>
        <w:jc w:val="both"/>
        <w:rPr>
          <w:rFonts w:ascii="Calibri" w:hAnsi="Calibri" w:cs="Calibri"/>
          <w:color w:val="002060"/>
        </w:rPr>
      </w:pPr>
      <w:r w:rsidRPr="00DF5EC4">
        <w:rPr>
          <w:rFonts w:ascii="Calibri" w:hAnsi="Calibri" w:cs="Calibri"/>
          <w:color w:val="002060"/>
        </w:rPr>
        <w:t>Większość tych świadczeń nie jest przyznawana automatycznie – wymaga osobnego wniosku i spełnienia określonych kryteriów. Dlatego przed rozpoczęciem roku szkolnego warto sprawdzić wszystkie dostępne formy wsparcia, nie tylko Dobry Start, ale również pomoc oferowaną przez państwo, samorządy i pracodawców.</w:t>
      </w:r>
      <w:r w:rsidR="00475A5D" w:rsidRPr="00DF5EC4">
        <w:rPr>
          <w:rFonts w:ascii="Calibri" w:hAnsi="Calibri" w:cs="Calibri"/>
          <w:color w:val="002060"/>
        </w:rPr>
        <w:t xml:space="preserve"> </w:t>
      </w:r>
    </w:p>
    <w:p w14:paraId="048BA785" w14:textId="77777777" w:rsidR="00742F59" w:rsidRDefault="00742F59" w:rsidP="003838C9">
      <w:pPr>
        <w:pStyle w:val="NormalnyWeb"/>
        <w:shd w:val="clear" w:color="auto" w:fill="FFFFFF"/>
        <w:spacing w:before="0" w:beforeAutospacing="0" w:after="0" w:afterAutospacing="0" w:line="276" w:lineRule="auto"/>
        <w:jc w:val="both"/>
        <w:rPr>
          <w:rFonts w:asciiTheme="minorHAnsi" w:hAnsiTheme="minorHAnsi" w:cstheme="minorHAnsi"/>
          <w:b/>
          <w:bCs/>
          <w:color w:val="002060"/>
          <w:sz w:val="18"/>
          <w:szCs w:val="18"/>
        </w:rPr>
      </w:pPr>
    </w:p>
    <w:p w14:paraId="1507A076" w14:textId="77777777" w:rsidR="00742F59" w:rsidRDefault="00742F59" w:rsidP="003838C9">
      <w:pPr>
        <w:pStyle w:val="NormalnyWeb"/>
        <w:shd w:val="clear" w:color="auto" w:fill="FFFFFF"/>
        <w:spacing w:before="0" w:beforeAutospacing="0" w:after="0" w:afterAutospacing="0" w:line="276" w:lineRule="auto"/>
        <w:jc w:val="both"/>
        <w:rPr>
          <w:rFonts w:asciiTheme="minorHAnsi" w:hAnsiTheme="minorHAnsi" w:cstheme="minorHAnsi"/>
          <w:b/>
          <w:bCs/>
          <w:color w:val="002060"/>
          <w:sz w:val="18"/>
          <w:szCs w:val="18"/>
        </w:rPr>
      </w:pPr>
    </w:p>
    <w:p w14:paraId="7D47AA91" w14:textId="77777777" w:rsidR="00742F59" w:rsidRDefault="00742F59" w:rsidP="003838C9">
      <w:pPr>
        <w:pStyle w:val="NormalnyWeb"/>
        <w:shd w:val="clear" w:color="auto" w:fill="FFFFFF"/>
        <w:spacing w:before="0" w:beforeAutospacing="0" w:after="0" w:afterAutospacing="0" w:line="276" w:lineRule="auto"/>
        <w:jc w:val="both"/>
        <w:rPr>
          <w:rFonts w:asciiTheme="minorHAnsi" w:hAnsiTheme="minorHAnsi" w:cstheme="minorHAnsi"/>
          <w:b/>
          <w:bCs/>
          <w:color w:val="002060"/>
          <w:sz w:val="18"/>
          <w:szCs w:val="18"/>
        </w:rPr>
      </w:pPr>
    </w:p>
    <w:p w14:paraId="4BC0B57B" w14:textId="60A38C3B" w:rsidR="003838C9" w:rsidRPr="00FC7D83" w:rsidRDefault="003838C9" w:rsidP="003838C9">
      <w:pPr>
        <w:pStyle w:val="NormalnyWeb"/>
        <w:shd w:val="clear" w:color="auto" w:fill="FFFFFF"/>
        <w:spacing w:before="0" w:beforeAutospacing="0" w:after="0" w:afterAutospacing="0" w:line="276" w:lineRule="auto"/>
        <w:jc w:val="both"/>
        <w:rPr>
          <w:rFonts w:asciiTheme="minorHAnsi" w:hAnsiTheme="minorHAnsi" w:cstheme="minorHAnsi"/>
          <w:b/>
          <w:bCs/>
          <w:color w:val="002060"/>
          <w:sz w:val="18"/>
          <w:szCs w:val="18"/>
        </w:rPr>
      </w:pPr>
      <w:r w:rsidRPr="00FC7D83">
        <w:rPr>
          <w:rFonts w:asciiTheme="minorHAnsi" w:hAnsiTheme="minorHAnsi" w:cstheme="minorHAnsi"/>
          <w:b/>
          <w:bCs/>
          <w:color w:val="002060"/>
          <w:sz w:val="18"/>
          <w:szCs w:val="18"/>
        </w:rPr>
        <w:lastRenderedPageBreak/>
        <w:t>***</w:t>
      </w:r>
    </w:p>
    <w:p w14:paraId="66B513AD" w14:textId="574F9C77" w:rsidR="003838C9" w:rsidRPr="003838C9" w:rsidRDefault="003838C9" w:rsidP="003838C9">
      <w:pPr>
        <w:pStyle w:val="NormalnyWeb"/>
        <w:shd w:val="clear" w:color="auto" w:fill="FFFFFF"/>
        <w:spacing w:before="0" w:beforeAutospacing="0" w:after="0" w:afterAutospacing="0" w:line="276" w:lineRule="auto"/>
        <w:jc w:val="both"/>
        <w:rPr>
          <w:rFonts w:ascii="Calibri" w:eastAsiaTheme="minorHAnsi" w:hAnsi="Calibri" w:cs="Calibri"/>
          <w:color w:val="002060"/>
          <w:sz w:val="18"/>
          <w:szCs w:val="18"/>
          <w:lang w:eastAsia="en-US"/>
        </w:rPr>
      </w:pPr>
      <w:r w:rsidRPr="00FC7D83">
        <w:rPr>
          <w:rFonts w:ascii="Calibri" w:eastAsiaTheme="minorHAnsi" w:hAnsi="Calibri" w:cs="Calibri"/>
          <w:color w:val="002060"/>
          <w:sz w:val="18"/>
          <w:szCs w:val="18"/>
          <w:lang w:eastAsia="en-US"/>
        </w:rPr>
        <w:t xml:space="preserve">W komunikacie wykorzystano </w:t>
      </w:r>
      <w:r w:rsidRPr="00FC7D83">
        <w:rPr>
          <w:rFonts w:ascii="Calibri" w:hAnsi="Calibri" w:cs="Calibri"/>
          <w:color w:val="002060"/>
          <w:sz w:val="18"/>
          <w:szCs w:val="18"/>
        </w:rPr>
        <w:t xml:space="preserve">analizy </w:t>
      </w:r>
      <w:r w:rsidRPr="00FC7D83">
        <w:rPr>
          <w:rFonts w:ascii="Calibri" w:eastAsiaTheme="minorHAnsi" w:hAnsi="Calibri" w:cs="Calibri"/>
          <w:color w:val="002060"/>
          <w:sz w:val="18"/>
          <w:szCs w:val="18"/>
          <w:lang w:eastAsia="en-US"/>
        </w:rPr>
        <w:t>Grupy Progres przeprowadzane od 1 lipca do 10 sierpnia 202</w:t>
      </w:r>
      <w:r>
        <w:rPr>
          <w:rFonts w:ascii="Calibri" w:eastAsiaTheme="minorHAnsi" w:hAnsi="Calibri" w:cs="Calibri"/>
          <w:color w:val="002060"/>
          <w:sz w:val="18"/>
          <w:szCs w:val="18"/>
          <w:lang w:eastAsia="en-US"/>
        </w:rPr>
        <w:t>6</w:t>
      </w:r>
      <w:r w:rsidRPr="00FC7D83">
        <w:rPr>
          <w:rFonts w:ascii="Calibri" w:eastAsiaTheme="minorHAnsi" w:hAnsi="Calibri" w:cs="Calibri"/>
          <w:color w:val="002060"/>
          <w:sz w:val="18"/>
          <w:szCs w:val="18"/>
          <w:lang w:eastAsia="en-US"/>
        </w:rPr>
        <w:t xml:space="preserve"> r. i obejmujące zbiór niemal 140 tys. aktualnych ofert pracy opublikowanych w portalach ogłoszeniowych. Analizie poddano ogłoszenia oferowane przez przedsiębiorców, organizacje i instytucje z całej Polski z 35 branż.</w:t>
      </w:r>
    </w:p>
    <w:p w14:paraId="61598DF1" w14:textId="77777777" w:rsidR="00945697" w:rsidRPr="00BC7F36" w:rsidRDefault="00945697" w:rsidP="00945697">
      <w:pPr>
        <w:pStyle w:val="NormalnyWeb"/>
        <w:shd w:val="clear" w:color="auto" w:fill="FFFFFF"/>
        <w:spacing w:after="0" w:afterAutospacing="0" w:line="276" w:lineRule="auto"/>
        <w:jc w:val="both"/>
        <w:rPr>
          <w:rFonts w:ascii="Calibri" w:hAnsi="Calibri" w:cs="Calibri"/>
          <w:color w:val="002060"/>
          <w:sz w:val="18"/>
          <w:szCs w:val="18"/>
        </w:rPr>
      </w:pPr>
      <w:r w:rsidRPr="00BC7F36">
        <w:rPr>
          <w:rFonts w:ascii="Calibri" w:hAnsi="Calibri" w:cs="Calibri"/>
          <w:color w:val="002060"/>
          <w:sz w:val="18"/>
          <w:szCs w:val="18"/>
        </w:rPr>
        <w:t>***</w:t>
      </w:r>
    </w:p>
    <w:p w14:paraId="43A7510F" w14:textId="77777777" w:rsidR="00945697" w:rsidRPr="00BC7F36" w:rsidRDefault="00945697" w:rsidP="00945697">
      <w:pPr>
        <w:pStyle w:val="NormalnyWeb"/>
        <w:shd w:val="clear" w:color="auto" w:fill="FFFFFF"/>
        <w:jc w:val="both"/>
        <w:rPr>
          <w:rFonts w:ascii="Calibri" w:hAnsi="Calibri" w:cs="Calibri"/>
          <w:color w:val="002060"/>
          <w:sz w:val="18"/>
          <w:szCs w:val="18"/>
          <w:shd w:val="clear" w:color="auto" w:fill="FFFFFF"/>
        </w:rPr>
      </w:pPr>
      <w:r w:rsidRPr="0058404D">
        <w:rPr>
          <w:rFonts w:ascii="Calibri" w:hAnsi="Calibri" w:cs="Calibri"/>
          <w:b/>
          <w:bCs/>
          <w:color w:val="002060"/>
          <w:sz w:val="18"/>
          <w:szCs w:val="18"/>
          <w:shd w:val="clear" w:color="auto" w:fill="FFFFFF"/>
        </w:rPr>
        <w:t>Holding Grupy Progres</w:t>
      </w:r>
      <w:r w:rsidRPr="00BC7F36">
        <w:rPr>
          <w:rFonts w:ascii="Calibri" w:hAnsi="Calibri" w:cs="Calibri"/>
          <w:color w:val="002060"/>
          <w:sz w:val="18"/>
          <w:szCs w:val="18"/>
          <w:shd w:val="clear" w:color="auto" w:fill="FFFFFF"/>
        </w:rPr>
        <w:t xml:space="preserve"> jest jedną z największych agencji HR wśród firm z branży posiadających 100 proc. polskiego kapitału i działających na terenie całego kraju. W jej skład wchodzą spółki, z których najstarsza na rynku funkcjonuje od 2002 r. Grupa wspiera przedsiębiorstwa w całej Polsce w zakresie pracy tymczasowej (Progres HR), doradztwa biznesowego i szkoleń (Progres Consulting), rekrutacji stałych (Progres Permanent Recruitment), a także optymalizacji procesów (Progres Advanced Solutions). Rocznie zatrudnia niemal 20 tysięcy pracowników i realizuje 1,5 tysiąca projektów rekrutacyjnych. Posiada kilkadziesiąt oddziałów w Polsce i za granicą. Organizacja była wielokrotnie nagradzana w prestiżowych konkursach, plebiscytach i rankingach m.in. Deloitte – Best Managed Companies Poland 2025, Diamenty Forbesa (2025 r. – laureat), Ambasador Polskiej Gospodarki BCC (2025 r.), Gazele Biznesu (2024 r. – laureat), Medal Europejski (2024 r.), Lider Polskiego Biznesu (2025 r. i 2026 r.). </w:t>
      </w:r>
      <w:r w:rsidRPr="00BC7F36">
        <w:rPr>
          <w:rFonts w:ascii="Calibri" w:hAnsi="Calibri" w:cs="Calibri"/>
          <w:color w:val="002060"/>
          <w:sz w:val="18"/>
          <w:szCs w:val="18"/>
        </w:rPr>
        <w:t>Trzy spółki działające w ramach Holdingu (Grupa Progres, Progres Advanced Solutions i Progres HR Poland) znalazły się w rankingu Gazele Biznesu 2025, wyróżniającym najszybciej rozwijające się firmy z sektora MŚP w Polsce. Organizacja jest też laureatem konkursu „Firma Dobrze Widziana” (2025 r.), członkiem Konfederacji Lewiatan (od 2026 r.) oraz sygnatariuszem Karty Różnorodności (Forum Odpowiedzialnego Biznesu). Posiada również certyfikat Równości Płac przyznawany przez Business Center Club.</w:t>
      </w:r>
    </w:p>
    <w:p w14:paraId="04DD859E" w14:textId="77777777" w:rsidR="00945697" w:rsidRPr="00F84C29" w:rsidRDefault="00945697" w:rsidP="00945697">
      <w:pPr>
        <w:pStyle w:val="NormalnyWeb"/>
        <w:shd w:val="clear" w:color="auto" w:fill="FFFFFF"/>
        <w:spacing w:after="0" w:afterAutospacing="0"/>
        <w:jc w:val="both"/>
        <w:rPr>
          <w:rFonts w:ascii="Calibri" w:hAnsi="Calibri" w:cs="Calibri"/>
          <w:color w:val="002060"/>
        </w:rPr>
      </w:pPr>
      <w:r w:rsidRPr="00F84C29">
        <w:rPr>
          <w:rFonts w:ascii="Calibri" w:hAnsi="Calibri" w:cs="Calibri"/>
          <w:color w:val="002060"/>
        </w:rPr>
        <w:t>***</w:t>
      </w:r>
    </w:p>
    <w:p w14:paraId="415BB7B8" w14:textId="77777777" w:rsidR="00945697" w:rsidRPr="00F84C29" w:rsidRDefault="00945697" w:rsidP="00945697">
      <w:pPr>
        <w:pStyle w:val="NormalnyWeb"/>
        <w:shd w:val="clear" w:color="auto" w:fill="FFFFFF"/>
        <w:spacing w:before="0" w:beforeAutospacing="0" w:after="0" w:afterAutospacing="0"/>
        <w:jc w:val="both"/>
        <w:rPr>
          <w:rFonts w:ascii="Calibri" w:hAnsi="Calibri" w:cs="Calibri"/>
          <w:b/>
          <w:bCs/>
          <w:color w:val="002060"/>
        </w:rPr>
      </w:pPr>
      <w:r w:rsidRPr="00F84C29">
        <w:rPr>
          <w:rFonts w:ascii="Calibri" w:hAnsi="Calibri" w:cs="Calibri"/>
          <w:b/>
          <w:bCs/>
          <w:color w:val="002060"/>
        </w:rPr>
        <w:t xml:space="preserve">Biuro prasowe Grupy Progres: </w:t>
      </w:r>
    </w:p>
    <w:p w14:paraId="76A3E5F5" w14:textId="77777777" w:rsidR="00945697" w:rsidRPr="00F84C29" w:rsidRDefault="00945697" w:rsidP="00945697">
      <w:pPr>
        <w:pStyle w:val="NormalnyWeb"/>
        <w:shd w:val="clear" w:color="auto" w:fill="FFFFFF"/>
        <w:spacing w:before="0" w:beforeAutospacing="0" w:after="0" w:afterAutospacing="0"/>
        <w:jc w:val="both"/>
        <w:rPr>
          <w:rFonts w:ascii="Calibri" w:hAnsi="Calibri" w:cs="Calibri"/>
          <w:color w:val="002060"/>
        </w:rPr>
      </w:pPr>
      <w:r w:rsidRPr="00F84C29">
        <w:rPr>
          <w:rFonts w:ascii="Calibri" w:hAnsi="Calibri" w:cs="Calibri"/>
          <w:color w:val="002060"/>
        </w:rPr>
        <w:t>Kamila Tyniec</w:t>
      </w:r>
    </w:p>
    <w:p w14:paraId="08B9D939" w14:textId="3A655BE8" w:rsidR="00945697" w:rsidRPr="00F84C29" w:rsidRDefault="00945697" w:rsidP="00945697">
      <w:pPr>
        <w:pStyle w:val="NormalnyWeb"/>
        <w:shd w:val="clear" w:color="auto" w:fill="FFFFFF"/>
        <w:spacing w:before="0" w:beforeAutospacing="0" w:after="0" w:afterAutospacing="0"/>
        <w:jc w:val="both"/>
        <w:rPr>
          <w:rFonts w:ascii="Calibri" w:hAnsi="Calibri" w:cs="Calibri"/>
          <w:color w:val="002060"/>
        </w:rPr>
      </w:pPr>
      <w:r w:rsidRPr="00F84C29">
        <w:rPr>
          <w:rFonts w:ascii="Calibri" w:hAnsi="Calibri" w:cs="Calibri"/>
          <w:color w:val="002060"/>
        </w:rPr>
        <w:t xml:space="preserve">e-mail: </w:t>
      </w:r>
      <w:hyperlink r:id="rId8" w:history="1">
        <w:r w:rsidRPr="00F84C29">
          <w:rPr>
            <w:rStyle w:val="Hipercze"/>
            <w:rFonts w:ascii="Calibri" w:hAnsi="Calibri" w:cs="Calibri"/>
            <w:color w:val="002060"/>
          </w:rPr>
          <w:t>k.tyniec@bepr.pl</w:t>
        </w:r>
      </w:hyperlink>
      <w:r w:rsidRPr="00F84C29">
        <w:rPr>
          <w:rFonts w:ascii="Calibri" w:hAnsi="Calibri" w:cs="Calibri"/>
          <w:color w:val="002060"/>
        </w:rPr>
        <w:t xml:space="preserve">  lub kom. +48 500 690</w:t>
      </w:r>
      <w:r>
        <w:rPr>
          <w:rFonts w:ascii="Calibri" w:hAnsi="Calibri" w:cs="Calibri"/>
          <w:color w:val="002060"/>
        </w:rPr>
        <w:t> </w:t>
      </w:r>
      <w:r w:rsidRPr="00F84C29">
        <w:rPr>
          <w:rFonts w:ascii="Calibri" w:hAnsi="Calibri" w:cs="Calibri"/>
          <w:color w:val="002060"/>
        </w:rPr>
        <w:t>965</w:t>
      </w:r>
    </w:p>
    <w:p w14:paraId="7EED77F0" w14:textId="77777777" w:rsidR="004147EA" w:rsidRDefault="004147EA" w:rsidP="00D24642">
      <w:pPr>
        <w:jc w:val="both"/>
        <w:rPr>
          <w:color w:val="171717" w:themeColor="background2" w:themeShade="1A"/>
          <w:sz w:val="24"/>
        </w:rPr>
      </w:pPr>
    </w:p>
    <w:p w14:paraId="02923B71" w14:textId="77777777" w:rsidR="004147EA" w:rsidRDefault="004147EA" w:rsidP="00D24642">
      <w:pPr>
        <w:jc w:val="both"/>
        <w:rPr>
          <w:color w:val="171717" w:themeColor="background2" w:themeShade="1A"/>
          <w:sz w:val="24"/>
        </w:rPr>
      </w:pPr>
    </w:p>
    <w:p w14:paraId="5A1C7C0B" w14:textId="77777777" w:rsidR="004147EA" w:rsidRDefault="004147EA" w:rsidP="00D24642">
      <w:pPr>
        <w:jc w:val="both"/>
        <w:rPr>
          <w:color w:val="171717" w:themeColor="background2" w:themeShade="1A"/>
          <w:sz w:val="24"/>
        </w:rPr>
      </w:pPr>
    </w:p>
    <w:p w14:paraId="22520C3C" w14:textId="4114ED06" w:rsidR="00DF5583" w:rsidRPr="00BE55F3" w:rsidRDefault="00DF5583" w:rsidP="004147EA">
      <w:pPr>
        <w:rPr>
          <w:color w:val="171717" w:themeColor="background2" w:themeShade="1A"/>
        </w:rPr>
      </w:pPr>
    </w:p>
    <w:sectPr w:rsidR="00DF5583" w:rsidRPr="00BE55F3" w:rsidSect="004147EA">
      <w:headerReference w:type="even" r:id="rId9"/>
      <w:headerReference w:type="default" r:id="rId10"/>
      <w:footerReference w:type="even" r:id="rId11"/>
      <w:footerReference w:type="default" r:id="rId12"/>
      <w:headerReference w:type="first" r:id="rId13"/>
      <w:footerReference w:type="first" r:id="rId14"/>
      <w:pgSz w:w="11906" w:h="16838"/>
      <w:pgMar w:top="1418" w:right="1418" w:bottom="1985" w:left="1418" w:header="709" w:footer="11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BC7909C" w14:textId="77777777" w:rsidR="00C8485C" w:rsidRDefault="00C8485C" w:rsidP="00B332FF">
      <w:r>
        <w:separator/>
      </w:r>
    </w:p>
  </w:endnote>
  <w:endnote w:type="continuationSeparator" w:id="0">
    <w:p w14:paraId="0A0B761D" w14:textId="77777777" w:rsidR="00C8485C" w:rsidRDefault="00C8485C" w:rsidP="00B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20B0604020202020204"/>
    <w:charset w:val="00"/>
    <w:family w:val="swiss"/>
    <w:notTrueType/>
    <w:pitch w:val="default"/>
    <w:sig w:usb0="00000003" w:usb1="00000000" w:usb2="00000000" w:usb3="00000000" w:csb0="00000001" w:csb1="00000000"/>
  </w:font>
  <w:font w:name="Poppins Light">
    <w:panose1 w:val="000004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A3578F" w14:textId="77777777" w:rsidR="0099390E" w:rsidRDefault="0099390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278424" w14:textId="0E1B63FF" w:rsidR="00B332FF" w:rsidRDefault="002D41A7" w:rsidP="00A92ED7">
    <w:pPr>
      <w:pStyle w:val="Stopka"/>
    </w:pPr>
    <w:r>
      <w:rPr>
        <w:noProof/>
        <w:lang w:eastAsia="pl-PL"/>
      </w:rPr>
      <mc:AlternateContent>
        <mc:Choice Requires="wps">
          <w:drawing>
            <wp:anchor distT="0" distB="0" distL="114300" distR="114300" simplePos="0" relativeHeight="251671552" behindDoc="0" locked="0" layoutInCell="1" allowOverlap="1" wp14:anchorId="5ECC2044" wp14:editId="04687B7D">
              <wp:simplePos x="0" y="0"/>
              <wp:positionH relativeFrom="margin">
                <wp:posOffset>-170815</wp:posOffset>
              </wp:positionH>
              <wp:positionV relativeFrom="paragraph">
                <wp:posOffset>10160</wp:posOffset>
              </wp:positionV>
              <wp:extent cx="6007735" cy="1905"/>
              <wp:effectExtent l="0" t="0" r="31115" b="36195"/>
              <wp:wrapNone/>
              <wp:docPr id="2143017058" name="Łącznik prosty 7"/>
              <wp:cNvGraphicFramePr/>
              <a:graphic xmlns:a="http://schemas.openxmlformats.org/drawingml/2006/main">
                <a:graphicData uri="http://schemas.microsoft.com/office/word/2010/wordprocessingShape">
                  <wps:wsp>
                    <wps:cNvCnPr/>
                    <wps:spPr>
                      <a:xfrm flipV="1">
                        <a:off x="0" y="0"/>
                        <a:ext cx="6007735" cy="1905"/>
                      </a:xfrm>
                      <a:prstGeom prst="line">
                        <a:avLst/>
                      </a:prstGeom>
                      <a:ln>
                        <a:solidFill>
                          <a:srgbClr val="92939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63209C19" id="Łącznik prosty 7" o:spid="_x0000_s1026" style="position:absolute;flip:y;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45pt,.8pt" to="459.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2c7xAEAAOIDAAAOAAAAZHJzL2Uyb0RvYy54bWysU01v2zAMvQ/YfxB0X+ykaLsYcXpo0V2G&#10;rdjXXZGpWIAkCpIWO/9+lOy4xTYM2LALYUl8j3yP9O5utIadIESNruXrVc0ZOImddseWf/3y+OYt&#10;ZzEJ1wmDDlp+hsjv9q9f7QbfwAZ7NB0ERiQuNoNveZ+Sb6oqyh6siCv04OhRYbAi0TEcqy6Igdit&#10;qTZ1fVMNGDofUEKMdPswPfJ94VcKZPqoVITETMupt1RiKPGQY7XfieYYhO+1nNsQ/9CFFdpR0YXq&#10;QSTBvgf9C5XVMmBElVYSbYVKaQlFA6lZ1z+p+dwLD0ULmRP9YlP8f7Tyw+nePQWyYfCxif4pZBWj&#10;CpYpo/03mmnRRZ2ysdh2XmyDMTFJlzd1fXt7dc2ZpLf1tr7OrlYTS2bzIaZ3gJblj5Yb7bIo0YjT&#10;+5im1EtKvjYux4hGd4/amHIIx8O9CewkaIzbzfZqu5lrvEijihlaPQspX+lsYKL9BIrpjhqeJJUd&#10;g4VWSAkurWde4yg7wxS1sADr0vcfgXN+hkLZv78BL4hSGV1awFY7DL+rnsZLy2rKvzgw6c4WHLA7&#10;lxEXa2iRynTmpc+b+vJc4M+/5v4HAAAA//8DAFBLAwQUAAYACAAAACEA225mb9kAAAAHAQAADwAA&#10;AGRycy9kb3ducmV2LnhtbEyOTU/DMBBE70j8B2uRuLVOc4hwiFNBUK98FLhvYyeOiNdR7Lahv57l&#10;BMfRG828arv4UZzsHIdAGjbrDISlNpiBeg0f77vVHYiYkAyOgayGbxthW19fVViacKY3e9qnXvAI&#10;xRI1uJSmUsrYOusxrsNkiVkXZo+J49xLM+OZx/0o8ywrpMeB+MHhZBtn26/90WuY3KS69vP15fLU&#10;PF92j13RkEStb2+Wh3sQyS7prwy/+qwONTsdwpFMFKOGVV4orjIoQDBXG5WDOHBWIOtK/vevfwAA&#10;AP//AwBQSwECLQAUAAYACAAAACEAtoM4kv4AAADhAQAAEwAAAAAAAAAAAAAAAAAAAAAAW0NvbnRl&#10;bnRfVHlwZXNdLnhtbFBLAQItABQABgAIAAAAIQA4/SH/1gAAAJQBAAALAAAAAAAAAAAAAAAAAC8B&#10;AABfcmVscy8ucmVsc1BLAQItABQABgAIAAAAIQBjP2c7xAEAAOIDAAAOAAAAAAAAAAAAAAAAAC4C&#10;AABkcnMvZTJvRG9jLnhtbFBLAQItABQABgAIAAAAIQDbbmZv2QAAAAcBAAAPAAAAAAAAAAAAAAAA&#10;AB4EAABkcnMvZG93bnJldi54bWxQSwUGAAAAAAQABADzAAAAJAUAAAAA&#10;" strokecolor="#929392" strokeweight=".5pt">
              <v:stroke joinstyle="miter"/>
              <w10:wrap anchorx="margin"/>
            </v:line>
          </w:pict>
        </mc:Fallback>
      </mc:AlternateContent>
    </w:r>
    <w:r w:rsidR="00114274">
      <w:rPr>
        <w:noProof/>
        <w:lang w:eastAsia="pl-PL"/>
      </w:rPr>
      <mc:AlternateContent>
        <mc:Choice Requires="wps">
          <w:drawing>
            <wp:anchor distT="45720" distB="45720" distL="114300" distR="114300" simplePos="0" relativeHeight="251664384" behindDoc="1" locked="0" layoutInCell="1" allowOverlap="1" wp14:anchorId="274FF538" wp14:editId="2878EDAC">
              <wp:simplePos x="0" y="0"/>
              <wp:positionH relativeFrom="margin">
                <wp:posOffset>-116205</wp:posOffset>
              </wp:positionH>
              <wp:positionV relativeFrom="paragraph">
                <wp:posOffset>121285</wp:posOffset>
              </wp:positionV>
              <wp:extent cx="2858135" cy="471170"/>
              <wp:effectExtent l="0" t="0" r="0" b="5080"/>
              <wp:wrapNone/>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135" cy="471170"/>
                      </a:xfrm>
                      <a:prstGeom prst="rect">
                        <a:avLst/>
                      </a:prstGeom>
                      <a:noFill/>
                      <a:ln w="9525">
                        <a:noFill/>
                        <a:miter lim="800000"/>
                        <a:headEnd/>
                        <a:tailEnd/>
                      </a:ln>
                    </wps:spPr>
                    <wps:txbx>
                      <w:txbxContent>
                        <w:p w14:paraId="46051A93" w14:textId="7FF99995" w:rsidR="007637A8" w:rsidRPr="007637A8" w:rsidRDefault="00AE1D92" w:rsidP="007637A8">
                          <w:pPr>
                            <w:rPr>
                              <w:rFonts w:ascii="Poppins Light" w:hAnsi="Poppins Light" w:cs="Poppins Light"/>
                              <w:color w:val="767171" w:themeColor="background2" w:themeShade="80"/>
                              <w:sz w:val="14"/>
                              <w:szCs w:val="14"/>
                              <w:lang w:eastAsia="pl-PL"/>
                            </w:rPr>
                          </w:pPr>
                          <w:r w:rsidRPr="00AE1D92">
                            <w:rPr>
                              <w:rFonts w:ascii="Poppins Light" w:hAnsi="Poppins Light" w:cs="Poppins Light"/>
                              <w:color w:val="767171" w:themeColor="background2" w:themeShade="80"/>
                              <w:sz w:val="14"/>
                              <w:szCs w:val="14"/>
                              <w:lang w:eastAsia="pl-PL"/>
                            </w:rPr>
                            <w:t>Grupa Progres Sp. z o.o.</w:t>
                          </w:r>
                          <w:r w:rsidR="0099390E">
                            <w:rPr>
                              <w:rFonts w:ascii="Poppins Light" w:hAnsi="Poppins Light" w:cs="Poppins Light"/>
                              <w:color w:val="767171" w:themeColor="background2" w:themeShade="80"/>
                              <w:sz w:val="14"/>
                              <w:szCs w:val="14"/>
                              <w:lang w:eastAsia="pl-PL"/>
                            </w:rPr>
                            <w:br/>
                          </w:r>
                          <w:r w:rsidR="007637A8" w:rsidRPr="007637A8">
                            <w:rPr>
                              <w:rFonts w:ascii="Poppins Light" w:hAnsi="Poppins Light" w:cs="Poppins Light"/>
                              <w:color w:val="767171" w:themeColor="background2" w:themeShade="80"/>
                              <w:sz w:val="14"/>
                              <w:szCs w:val="14"/>
                              <w:lang w:eastAsia="pl-PL"/>
                            </w:rPr>
                            <w:t>Adres Al. Grunwaldzka 411, 80-309 Gdańsk,</w:t>
                          </w:r>
                        </w:p>
                        <w:p w14:paraId="2921D36F" w14:textId="52CA597C" w:rsidR="009C71E6" w:rsidRPr="001D6D0E" w:rsidRDefault="00AE1D92" w:rsidP="00AE1D92">
                          <w:pPr>
                            <w:rPr>
                              <w:rFonts w:ascii="Poppins Light" w:hAnsi="Poppins Light" w:cs="Poppins Light"/>
                              <w:b/>
                              <w:bCs/>
                              <w:color w:val="767171" w:themeColor="background2" w:themeShade="80"/>
                              <w:sz w:val="14"/>
                              <w:szCs w:val="14"/>
                            </w:rPr>
                          </w:pPr>
                          <w:r w:rsidRPr="00AE1D92">
                            <w:rPr>
                              <w:rFonts w:ascii="Poppins Light" w:hAnsi="Poppins Light" w:cs="Poppins Light"/>
                              <w:color w:val="767171" w:themeColor="background2" w:themeShade="80"/>
                              <w:sz w:val="14"/>
                              <w:szCs w:val="14"/>
                              <w:lang w:eastAsia="pl-PL"/>
                            </w:rPr>
                            <w:t>NIP</w:t>
                          </w:r>
                          <w:r>
                            <w:rPr>
                              <w:rFonts w:ascii="Poppins Light" w:hAnsi="Poppins Light" w:cs="Poppins Light"/>
                              <w:color w:val="767171" w:themeColor="background2" w:themeShade="80"/>
                              <w:sz w:val="14"/>
                              <w:szCs w:val="14"/>
                              <w:lang w:eastAsia="pl-PL"/>
                            </w:rPr>
                            <w:t xml:space="preserve"> </w:t>
                          </w:r>
                          <w:r w:rsidRPr="00AE1D92">
                            <w:rPr>
                              <w:rFonts w:ascii="Poppins Light" w:hAnsi="Poppins Light" w:cs="Poppins Light"/>
                              <w:color w:val="767171" w:themeColor="background2" w:themeShade="80"/>
                              <w:sz w:val="14"/>
                              <w:szCs w:val="14"/>
                              <w:lang w:eastAsia="pl-PL"/>
                            </w:rPr>
                            <w:t>5842739004</w:t>
                          </w:r>
                          <w:r>
                            <w:rPr>
                              <w:rFonts w:ascii="Poppins Light" w:hAnsi="Poppins Light" w:cs="Poppins Light"/>
                              <w:color w:val="767171" w:themeColor="background2" w:themeShade="80"/>
                              <w:sz w:val="14"/>
                              <w:szCs w:val="14"/>
                              <w:lang w:eastAsia="pl-PL"/>
                            </w:rPr>
                            <w:t>,</w:t>
                          </w:r>
                          <w:r w:rsidRPr="00AE1D92">
                            <w:rPr>
                              <w:rFonts w:ascii="Poppins Light" w:hAnsi="Poppins Light" w:cs="Poppins Light"/>
                              <w:color w:val="767171" w:themeColor="background2" w:themeShade="80"/>
                              <w:sz w:val="14"/>
                              <w:szCs w:val="14"/>
                              <w:lang w:eastAsia="pl-PL"/>
                            </w:rPr>
                            <w:t xml:space="preserve"> REGON 360182321</w:t>
                          </w:r>
                          <w:r w:rsidR="000E1AAA">
                            <w:rPr>
                              <w:rFonts w:ascii="Poppins Light" w:hAnsi="Poppins Light" w:cs="Poppins Light"/>
                              <w:color w:val="767171" w:themeColor="background2" w:themeShade="80"/>
                              <w:sz w:val="14"/>
                              <w:szCs w:val="14"/>
                              <w:lang w:eastAsia="pl-PL"/>
                            </w:rPr>
                            <w:t xml:space="preserve">, </w:t>
                          </w:r>
                          <w:r w:rsidR="000E1AAA" w:rsidRPr="000E1AAA">
                            <w:rPr>
                              <w:rFonts w:ascii="Poppins Light" w:hAnsi="Poppins Light" w:cs="Poppins Light"/>
                              <w:color w:val="767171" w:themeColor="background2" w:themeShade="80"/>
                              <w:sz w:val="14"/>
                              <w:szCs w:val="14"/>
                              <w:lang w:eastAsia="pl-PL"/>
                            </w:rPr>
                            <w:t>KRS 0000532455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4FF538" id="_x0000_t202" coordsize="21600,21600" o:spt="202" path="m,l,21600r21600,l21600,xe">
              <v:stroke joinstyle="miter"/>
              <v:path gradientshapeok="t" o:connecttype="rect"/>
            </v:shapetype>
            <v:shape id="Pole tekstowe 2" o:spid="_x0000_s1026" type="#_x0000_t202" style="position:absolute;margin-left:-9.15pt;margin-top:9.55pt;width:225.05pt;height:37.1pt;z-index:-251652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kldm+QEAAM0DAAAOAAAAZHJzL2Uyb0RvYy54bWysU8tu2zAQvBfoPxC817Jcu3YEy0GaNEWB&#13;&#10;9AGk/YA1RVlESS5L0pbcr8+SchyjvRXVgVhqydmd2eH6ejCaHaQPCm3Ny8mUM2kFNsruav7j+/2b&#13;&#10;FWchgm1Ao5U1P8rArzevX617V8kZdqgb6RmB2FD1ruZdjK4qiiA6aSBM0ElLyRa9gUhbvysaDz2h&#13;&#10;G13MptN3RY++cR6FDIH+3o1Jvsn4bStF/Nq2QUama069xbz6vG7TWmzWUO08uE6JUxvwD10YUJaK&#13;&#10;nqHuIALbe/UXlFHCY8A2TgSaAttWCZk5EJty+gebxw6czFxInODOMoX/Byu+HB7dN8/i8B4HGmAm&#13;&#10;EdwDip+BWbztwO7kjffYdxIaKlwmyYrehep0NUkdqpBAtv1nbGjIsI+YgYbWm6QK8WSETgM4nkWX&#13;&#10;Q2SCfs5Wi1X5dsGZoNx8WZbLPJUCqufbzof4UaJhKai5p6FmdDg8hJi6ger5SCpm8V5pnQerLetr&#13;&#10;frWYLfKFi4xRkXynlan5apq+0QmJ5Afb5MsRlB5jKqDtiXUiOlKOw3agg4n9Fpsj8fc4+oveAwUd&#13;&#10;+t+c9eStmodfe/CSM/3JkoZX5XyezJg388VyRht/mdleZsAKgqp55GwMb2M28Mj1hrRuVZbhpZNT&#13;&#10;r+SZrM7J38mUl/t86uUVbp4AAAD//wMAUEsDBBQABgAIAAAAIQAZBorQ4gAAAA4BAAAPAAAAZHJz&#13;&#10;L2Rvd25yZXYueG1sTI9BT8MwDIXvSPyHyEjctqTrmNau6TQxcQUxBhK3rPHaisapmmwt/x5zgosl&#13;&#10;6z0/v6/YTq4TVxxC60lDMlcgkCpvW6o1HN+eZmsQIRqypvOEGr4xwLa8vSlMbv1Ir3g9xFpwCIXc&#13;&#10;aGhi7HMpQ9WgM2HueyTWzn5wJvI61NIOZuRw18mFUivpTEv8oTE9PjZYfR0uTsP78/nzY6le6r17&#13;&#10;6Ec/KUkuk1rf3037DY/dBkTEKf5dwC8D94eSi538hWwQnYZZsk7ZykKWgGDDMk0Y6KQhS1OQZSH/&#13;&#10;Y5Q/AAAA//8DAFBLAQItABQABgAIAAAAIQC2gziS/gAAAOEBAAATAAAAAAAAAAAAAAAAAAAAAABb&#13;&#10;Q29udGVudF9UeXBlc10ueG1sUEsBAi0AFAAGAAgAAAAhADj9If/WAAAAlAEAAAsAAAAAAAAAAAAA&#13;&#10;AAAALwEAAF9yZWxzLy5yZWxzUEsBAi0AFAAGAAgAAAAhAOSSV2b5AQAAzQMAAA4AAAAAAAAAAAAA&#13;&#10;AAAALgIAAGRycy9lMm9Eb2MueG1sUEsBAi0AFAAGAAgAAAAhABkGitDiAAAADgEAAA8AAAAAAAAA&#13;&#10;AAAAAAAAUwQAAGRycy9kb3ducmV2LnhtbFBLBQYAAAAABAAEAPMAAABiBQAAAAA=&#13;&#10;" filled="f" stroked="f">
              <v:textbox>
                <w:txbxContent>
                  <w:p w14:paraId="46051A93" w14:textId="7FF99995" w:rsidR="007637A8" w:rsidRPr="007637A8" w:rsidRDefault="00AE1D92" w:rsidP="007637A8">
                    <w:pPr>
                      <w:rPr>
                        <w:rFonts w:ascii="Poppins Light" w:hAnsi="Poppins Light" w:cs="Poppins Light"/>
                        <w:color w:val="767171" w:themeColor="background2" w:themeShade="80"/>
                        <w:sz w:val="14"/>
                        <w:szCs w:val="14"/>
                        <w:lang w:eastAsia="pl-PL"/>
                      </w:rPr>
                    </w:pPr>
                    <w:r w:rsidRPr="00AE1D92">
                      <w:rPr>
                        <w:rFonts w:ascii="Poppins Light" w:hAnsi="Poppins Light" w:cs="Poppins Light"/>
                        <w:color w:val="767171" w:themeColor="background2" w:themeShade="80"/>
                        <w:sz w:val="14"/>
                        <w:szCs w:val="14"/>
                        <w:lang w:eastAsia="pl-PL"/>
                      </w:rPr>
                      <w:t>Grupa Progres Sp. z o.o.</w:t>
                    </w:r>
                    <w:r w:rsidR="0099390E">
                      <w:rPr>
                        <w:rFonts w:ascii="Poppins Light" w:hAnsi="Poppins Light" w:cs="Poppins Light"/>
                        <w:color w:val="767171" w:themeColor="background2" w:themeShade="80"/>
                        <w:sz w:val="14"/>
                        <w:szCs w:val="14"/>
                        <w:lang w:eastAsia="pl-PL"/>
                      </w:rPr>
                      <w:br/>
                    </w:r>
                    <w:r w:rsidR="007637A8" w:rsidRPr="007637A8">
                      <w:rPr>
                        <w:rFonts w:ascii="Poppins Light" w:hAnsi="Poppins Light" w:cs="Poppins Light"/>
                        <w:color w:val="767171" w:themeColor="background2" w:themeShade="80"/>
                        <w:sz w:val="14"/>
                        <w:szCs w:val="14"/>
                        <w:lang w:eastAsia="pl-PL"/>
                      </w:rPr>
                      <w:t>Adres Al. Grunwaldzka 411, 80-309 Gdańsk,</w:t>
                    </w:r>
                  </w:p>
                  <w:p w14:paraId="2921D36F" w14:textId="52CA597C" w:rsidR="009C71E6" w:rsidRPr="001D6D0E" w:rsidRDefault="00AE1D92" w:rsidP="00AE1D92">
                    <w:pPr>
                      <w:rPr>
                        <w:rFonts w:ascii="Poppins Light" w:hAnsi="Poppins Light" w:cs="Poppins Light"/>
                        <w:b/>
                        <w:bCs/>
                        <w:color w:val="767171" w:themeColor="background2" w:themeShade="80"/>
                        <w:sz w:val="14"/>
                        <w:szCs w:val="14"/>
                      </w:rPr>
                    </w:pPr>
                    <w:r w:rsidRPr="00AE1D92">
                      <w:rPr>
                        <w:rFonts w:ascii="Poppins Light" w:hAnsi="Poppins Light" w:cs="Poppins Light"/>
                        <w:color w:val="767171" w:themeColor="background2" w:themeShade="80"/>
                        <w:sz w:val="14"/>
                        <w:szCs w:val="14"/>
                        <w:lang w:eastAsia="pl-PL"/>
                      </w:rPr>
                      <w:t>NIP</w:t>
                    </w:r>
                    <w:r>
                      <w:rPr>
                        <w:rFonts w:ascii="Poppins Light" w:hAnsi="Poppins Light" w:cs="Poppins Light"/>
                        <w:color w:val="767171" w:themeColor="background2" w:themeShade="80"/>
                        <w:sz w:val="14"/>
                        <w:szCs w:val="14"/>
                        <w:lang w:eastAsia="pl-PL"/>
                      </w:rPr>
                      <w:t xml:space="preserve"> </w:t>
                    </w:r>
                    <w:r w:rsidRPr="00AE1D92">
                      <w:rPr>
                        <w:rFonts w:ascii="Poppins Light" w:hAnsi="Poppins Light" w:cs="Poppins Light"/>
                        <w:color w:val="767171" w:themeColor="background2" w:themeShade="80"/>
                        <w:sz w:val="14"/>
                        <w:szCs w:val="14"/>
                        <w:lang w:eastAsia="pl-PL"/>
                      </w:rPr>
                      <w:t>5842739004</w:t>
                    </w:r>
                    <w:r>
                      <w:rPr>
                        <w:rFonts w:ascii="Poppins Light" w:hAnsi="Poppins Light" w:cs="Poppins Light"/>
                        <w:color w:val="767171" w:themeColor="background2" w:themeShade="80"/>
                        <w:sz w:val="14"/>
                        <w:szCs w:val="14"/>
                        <w:lang w:eastAsia="pl-PL"/>
                      </w:rPr>
                      <w:t>,</w:t>
                    </w:r>
                    <w:r w:rsidRPr="00AE1D92">
                      <w:rPr>
                        <w:rFonts w:ascii="Poppins Light" w:hAnsi="Poppins Light" w:cs="Poppins Light"/>
                        <w:color w:val="767171" w:themeColor="background2" w:themeShade="80"/>
                        <w:sz w:val="14"/>
                        <w:szCs w:val="14"/>
                        <w:lang w:eastAsia="pl-PL"/>
                      </w:rPr>
                      <w:t xml:space="preserve"> REGON 360182321</w:t>
                    </w:r>
                    <w:r w:rsidR="000E1AAA">
                      <w:rPr>
                        <w:rFonts w:ascii="Poppins Light" w:hAnsi="Poppins Light" w:cs="Poppins Light"/>
                        <w:color w:val="767171" w:themeColor="background2" w:themeShade="80"/>
                        <w:sz w:val="14"/>
                        <w:szCs w:val="14"/>
                        <w:lang w:eastAsia="pl-PL"/>
                      </w:rPr>
                      <w:t xml:space="preserve">, </w:t>
                    </w:r>
                    <w:r w:rsidR="000E1AAA" w:rsidRPr="000E1AAA">
                      <w:rPr>
                        <w:rFonts w:ascii="Poppins Light" w:hAnsi="Poppins Light" w:cs="Poppins Light"/>
                        <w:color w:val="767171" w:themeColor="background2" w:themeShade="80"/>
                        <w:sz w:val="14"/>
                        <w:szCs w:val="14"/>
                        <w:lang w:eastAsia="pl-PL"/>
                      </w:rPr>
                      <w:t>KRS 0000532455</w:t>
                    </w:r>
                  </w:p>
                </w:txbxContent>
              </v:textbox>
              <w10:wrap anchorx="margin"/>
            </v:shape>
          </w:pict>
        </mc:Fallback>
      </mc:AlternateContent>
    </w:r>
    <w:r w:rsidR="00114274">
      <w:rPr>
        <w:noProof/>
        <w:lang w:eastAsia="pl-PL"/>
      </w:rPr>
      <mc:AlternateContent>
        <mc:Choice Requires="wps">
          <w:drawing>
            <wp:anchor distT="45720" distB="45720" distL="114300" distR="114300" simplePos="0" relativeHeight="251670528" behindDoc="1" locked="0" layoutInCell="1" allowOverlap="1" wp14:anchorId="1649654F" wp14:editId="4BD7DA5E">
              <wp:simplePos x="0" y="0"/>
              <wp:positionH relativeFrom="margin">
                <wp:posOffset>3012440</wp:posOffset>
              </wp:positionH>
              <wp:positionV relativeFrom="paragraph">
                <wp:posOffset>122311</wp:posOffset>
              </wp:positionV>
              <wp:extent cx="2858135" cy="550545"/>
              <wp:effectExtent l="0" t="0" r="0" b="1905"/>
              <wp:wrapNone/>
              <wp:docPr id="77841157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135" cy="550545"/>
                      </a:xfrm>
                      <a:prstGeom prst="rect">
                        <a:avLst/>
                      </a:prstGeom>
                      <a:noFill/>
                      <a:ln w="9525">
                        <a:noFill/>
                        <a:miter lim="800000"/>
                        <a:headEnd/>
                        <a:tailEnd/>
                      </a:ln>
                    </wps:spPr>
                    <wps:txbx>
                      <w:txbxContent>
                        <w:p w14:paraId="02B52C22" w14:textId="77777777" w:rsidR="007637A8" w:rsidRPr="007637A8" w:rsidRDefault="007637A8" w:rsidP="007637A8">
                          <w:pPr>
                            <w:jc w:val="right"/>
                            <w:rPr>
                              <w:rFonts w:ascii="Poppins Light" w:hAnsi="Poppins Light" w:cs="Poppins Light"/>
                              <w:color w:val="767171" w:themeColor="background2" w:themeShade="80"/>
                              <w:sz w:val="14"/>
                              <w:szCs w:val="14"/>
                              <w:lang w:eastAsia="pl-PL"/>
                            </w:rPr>
                          </w:pPr>
                          <w:r w:rsidRPr="007637A8">
                            <w:rPr>
                              <w:rFonts w:ascii="Poppins Light" w:hAnsi="Poppins Light" w:cs="Poppins Light"/>
                              <w:color w:val="767171" w:themeColor="background2" w:themeShade="80"/>
                              <w:sz w:val="14"/>
                              <w:szCs w:val="14"/>
                              <w:lang w:eastAsia="pl-PL"/>
                            </w:rPr>
                            <w:t>+48 58 511 05 50</w:t>
                          </w:r>
                        </w:p>
                        <w:p w14:paraId="7B6AC50D" w14:textId="77777777" w:rsidR="007637A8" w:rsidRPr="007637A8" w:rsidRDefault="007637A8" w:rsidP="007637A8">
                          <w:pPr>
                            <w:jc w:val="right"/>
                            <w:rPr>
                              <w:rFonts w:ascii="Poppins Light" w:hAnsi="Poppins Light" w:cs="Poppins Light"/>
                              <w:color w:val="767171" w:themeColor="background2" w:themeShade="80"/>
                              <w:sz w:val="14"/>
                              <w:szCs w:val="14"/>
                              <w:lang w:eastAsia="pl-PL"/>
                            </w:rPr>
                          </w:pPr>
                          <w:r w:rsidRPr="007637A8">
                            <w:rPr>
                              <w:rFonts w:ascii="Poppins Light" w:hAnsi="Poppins Light" w:cs="Poppins Light"/>
                              <w:color w:val="767171" w:themeColor="background2" w:themeShade="80"/>
                              <w:sz w:val="14"/>
                              <w:szCs w:val="14"/>
                              <w:lang w:eastAsia="pl-PL"/>
                            </w:rPr>
                            <w:t>kontakt@grupaprogres.pl</w:t>
                          </w:r>
                        </w:p>
                        <w:p w14:paraId="39600EC5" w14:textId="4A168679" w:rsidR="007637A8" w:rsidRPr="007637A8" w:rsidRDefault="007637A8" w:rsidP="007637A8">
                          <w:pPr>
                            <w:jc w:val="right"/>
                            <w:rPr>
                              <w:rFonts w:ascii="Poppins Light" w:hAnsi="Poppins Light" w:cs="Poppins Light"/>
                              <w:color w:val="767171" w:themeColor="background2" w:themeShade="80"/>
                              <w:sz w:val="14"/>
                              <w:szCs w:val="14"/>
                            </w:rPr>
                          </w:pPr>
                          <w:r w:rsidRPr="007637A8">
                            <w:rPr>
                              <w:rFonts w:ascii="Poppins Light" w:hAnsi="Poppins Light" w:cs="Poppins Light"/>
                              <w:color w:val="767171" w:themeColor="background2" w:themeShade="80"/>
                              <w:sz w:val="14"/>
                              <w:szCs w:val="14"/>
                              <w:lang w:eastAsia="pl-PL"/>
                            </w:rPr>
                            <w:t>www.grupaprogres.pl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49654F" id="_x0000_s1027" type="#_x0000_t202" style="position:absolute;margin-left:237.2pt;margin-top:9.65pt;width:225.05pt;height:43.35pt;z-index:-251645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t81v+gEAANQDAAAOAAAAZHJzL2Uyb0RvYy54bWysU9uO0zAQfUfiHyy/01xooBs1XS27LEJa&#13;&#10;LtLCBziO01jYHmO7TcrXM3ay3QreEHmwPJ74zJwzx9vrSStyFM5LMA0tVjklwnDopNk39Pu3+1cb&#13;&#10;SnxgpmMKjGjoSXh6vXv5YjvaWpQwgOqEIwhifD3ahg4h2DrLPB+EZn4FVhhM9uA0Cxi6fdY5NiK6&#13;&#10;VlmZ52+yEVxnHXDhPZ7ezUm6S/h9L3j40vdeBKIair2FtLq0tnHNdltW7x2zg+RLG+wfutBMGix6&#13;&#10;hrpjgZGDk39BackdeOjDioPOoO8lF4kDsinyP9g8DsyKxAXF8fYsk/9/sPzz8dF+dSRM72DCASYS&#13;&#10;3j4A/+GJgduBmb24cQ7GQbAOCxdRsmy0vl6uRql97SNIO36CDofMDgES0NQ7HVVBngTRcQCns+hi&#13;&#10;CoTjYbmpNsXrihKOuarKq3WVSrD66bZ1PnwQoEncNNThUBM6Oz74ELth9dMvsZiBe6lUGqwyZGzo&#13;&#10;VVVW6cJFRsuAvlNSN3STx292QiT53nTpcmBSzXssoMzCOhKdKYepnYjsFkmiCC10J5TBwWwzfBa4&#13;&#10;GcD9omREizXU/zwwJyhRHw1KeVWs19GTKVhXb0sM3GWmvcwwwxGqoYGSeXsbko9nyjcoeS+TGs+d&#13;&#10;LC2jdZJIi82jNy/j9NfzY9z9BgAA//8DAFBLAwQUAAYACAAAACEA9yUMdeAAAAAPAQAADwAAAGRy&#13;&#10;cy9kb3ducmV2LnhtbExPTU/DMAy9I/EfIiNxYwkj22jXdEJMXEEMhsQta7y2onGqJlvLv8ec4GLJ&#13;&#10;fs/vo9hMvhNnHGIbyMDtTIFAqoJrqTbw/vZ0cw8iJkvOdoHQwDdG2JSXF4XNXRjpFc+7VAsWoZhb&#13;&#10;A01KfS5lrBr0Ns5Cj8TYMQzeJl6HWrrBjizuOzlXaim9bYkdGtvjY4PV1+7kDeyfj58fWr3UW7/o&#13;&#10;xzApST6TxlxfTds1j4c1iIRT+vuA3w6cH0oOdggnclF0BvRKa6YykN2BYEI21wsQBz6opQJZFvJ/&#13;&#10;j/IHAAD//wMAUEsBAi0AFAAGAAgAAAAhALaDOJL+AAAA4QEAABMAAAAAAAAAAAAAAAAAAAAAAFtD&#13;&#10;b250ZW50X1R5cGVzXS54bWxQSwECLQAUAAYACAAAACEAOP0h/9YAAACUAQAACwAAAAAAAAAAAAAA&#13;&#10;AAAvAQAAX3JlbHMvLnJlbHNQSwECLQAUAAYACAAAACEA2rfNb/oBAADUAwAADgAAAAAAAAAAAAAA&#13;&#10;AAAuAgAAZHJzL2Uyb0RvYy54bWxQSwECLQAUAAYACAAAACEA9yUMdeAAAAAPAQAADwAAAAAAAAAA&#13;&#10;AAAAAABUBAAAZHJzL2Rvd25yZXYueG1sUEsFBgAAAAAEAAQA8wAAAGEFAAAAAA==&#13;&#10;" filled="f" stroked="f">
              <v:textbox>
                <w:txbxContent>
                  <w:p w14:paraId="02B52C22" w14:textId="77777777" w:rsidR="007637A8" w:rsidRPr="007637A8" w:rsidRDefault="007637A8" w:rsidP="007637A8">
                    <w:pPr>
                      <w:jc w:val="right"/>
                      <w:rPr>
                        <w:rFonts w:ascii="Poppins Light" w:hAnsi="Poppins Light" w:cs="Poppins Light"/>
                        <w:color w:val="767171" w:themeColor="background2" w:themeShade="80"/>
                        <w:sz w:val="14"/>
                        <w:szCs w:val="14"/>
                        <w:lang w:eastAsia="pl-PL"/>
                      </w:rPr>
                    </w:pPr>
                    <w:r w:rsidRPr="007637A8">
                      <w:rPr>
                        <w:rFonts w:ascii="Poppins Light" w:hAnsi="Poppins Light" w:cs="Poppins Light"/>
                        <w:color w:val="767171" w:themeColor="background2" w:themeShade="80"/>
                        <w:sz w:val="14"/>
                        <w:szCs w:val="14"/>
                        <w:lang w:eastAsia="pl-PL"/>
                      </w:rPr>
                      <w:t>+48 58 511 05 50</w:t>
                    </w:r>
                  </w:p>
                  <w:p w14:paraId="7B6AC50D" w14:textId="77777777" w:rsidR="007637A8" w:rsidRPr="007637A8" w:rsidRDefault="007637A8" w:rsidP="007637A8">
                    <w:pPr>
                      <w:jc w:val="right"/>
                      <w:rPr>
                        <w:rFonts w:ascii="Poppins Light" w:hAnsi="Poppins Light" w:cs="Poppins Light"/>
                        <w:color w:val="767171" w:themeColor="background2" w:themeShade="80"/>
                        <w:sz w:val="14"/>
                        <w:szCs w:val="14"/>
                        <w:lang w:eastAsia="pl-PL"/>
                      </w:rPr>
                    </w:pPr>
                    <w:r w:rsidRPr="007637A8">
                      <w:rPr>
                        <w:rFonts w:ascii="Poppins Light" w:hAnsi="Poppins Light" w:cs="Poppins Light"/>
                        <w:color w:val="767171" w:themeColor="background2" w:themeShade="80"/>
                        <w:sz w:val="14"/>
                        <w:szCs w:val="14"/>
                        <w:lang w:eastAsia="pl-PL"/>
                      </w:rPr>
                      <w:t>kontakt@grupaprogres.pl</w:t>
                    </w:r>
                  </w:p>
                  <w:p w14:paraId="39600EC5" w14:textId="4A168679" w:rsidR="007637A8" w:rsidRPr="007637A8" w:rsidRDefault="007637A8" w:rsidP="007637A8">
                    <w:pPr>
                      <w:jc w:val="right"/>
                      <w:rPr>
                        <w:rFonts w:ascii="Poppins Light" w:hAnsi="Poppins Light" w:cs="Poppins Light"/>
                        <w:color w:val="767171" w:themeColor="background2" w:themeShade="80"/>
                        <w:sz w:val="14"/>
                        <w:szCs w:val="14"/>
                      </w:rPr>
                    </w:pPr>
                    <w:r w:rsidRPr="007637A8">
                      <w:rPr>
                        <w:rFonts w:ascii="Poppins Light" w:hAnsi="Poppins Light" w:cs="Poppins Light"/>
                        <w:color w:val="767171" w:themeColor="background2" w:themeShade="80"/>
                        <w:sz w:val="14"/>
                        <w:szCs w:val="14"/>
                        <w:lang w:eastAsia="pl-PL"/>
                      </w:rPr>
                      <w:t>www.grupaprogres.pl</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E14644" w14:textId="77777777" w:rsidR="0099390E" w:rsidRDefault="0099390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C81E27F" w14:textId="77777777" w:rsidR="00C8485C" w:rsidRDefault="00C8485C" w:rsidP="00B332FF">
      <w:r>
        <w:separator/>
      </w:r>
    </w:p>
  </w:footnote>
  <w:footnote w:type="continuationSeparator" w:id="0">
    <w:p w14:paraId="3582D1AC" w14:textId="77777777" w:rsidR="00C8485C" w:rsidRDefault="00C8485C" w:rsidP="00B33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8724DC" w14:textId="77777777" w:rsidR="0099390E" w:rsidRDefault="0099390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D9857F" w14:textId="2071B024" w:rsidR="00A7049D" w:rsidRDefault="00BE55F3" w:rsidP="004E0946">
    <w:pPr>
      <w:pStyle w:val="Nagwek"/>
      <w:tabs>
        <w:tab w:val="clear" w:pos="4536"/>
      </w:tabs>
    </w:pPr>
    <w:r>
      <w:rPr>
        <w:noProof/>
      </w:rPr>
      <w:drawing>
        <wp:inline distT="0" distB="0" distL="0" distR="0" wp14:anchorId="6A45141C" wp14:editId="26F38962">
          <wp:extent cx="2055641" cy="250825"/>
          <wp:effectExtent l="0" t="0" r="1905" b="0"/>
          <wp:docPr id="845146880"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4506" cy="286072"/>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5B28C8" w14:textId="77777777" w:rsidR="0099390E" w:rsidRDefault="0099390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585370"/>
    <w:multiLevelType w:val="hybridMultilevel"/>
    <w:tmpl w:val="10A60F08"/>
    <w:lvl w:ilvl="0" w:tplc="09E2651C">
      <w:start w:val="1"/>
      <w:numFmt w:val="bullet"/>
      <w:lvlText w:val=""/>
      <w:lvlJc w:val="left"/>
      <w:pPr>
        <w:ind w:left="720" w:hanging="360"/>
      </w:pPr>
      <w:rPr>
        <w:rFonts w:ascii="Symbol" w:hAnsi="Symbol" w:hint="default"/>
        <w:color w:val="ED7D31" w:themeColor="accent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43E0808"/>
    <w:multiLevelType w:val="multilevel"/>
    <w:tmpl w:val="19B6DF1A"/>
    <w:lvl w:ilvl="0">
      <w:start w:val="1"/>
      <w:numFmt w:val="decimal"/>
      <w:lvlText w:val="%1."/>
      <w:lvlJc w:val="left"/>
      <w:pPr>
        <w:ind w:left="360" w:hanging="360"/>
      </w:pPr>
      <w:rPr>
        <w:rFonts w:hint="default"/>
        <w:b/>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28130E81"/>
    <w:multiLevelType w:val="multilevel"/>
    <w:tmpl w:val="28C442A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4C755D6A"/>
    <w:multiLevelType w:val="hybridMultilevel"/>
    <w:tmpl w:val="F4EA6D9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64FB4097"/>
    <w:multiLevelType w:val="hybridMultilevel"/>
    <w:tmpl w:val="CF4AE0A8"/>
    <w:lvl w:ilvl="0" w:tplc="0415000F">
      <w:start w:val="1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66040696"/>
    <w:multiLevelType w:val="hybridMultilevel"/>
    <w:tmpl w:val="F9A495DE"/>
    <w:lvl w:ilvl="0" w:tplc="DD6C1062">
      <w:start w:val="1"/>
      <w:numFmt w:val="bullet"/>
      <w:lvlText w:val=""/>
      <w:lvlJc w:val="left"/>
      <w:pPr>
        <w:ind w:left="720" w:hanging="360"/>
      </w:pPr>
      <w:rPr>
        <w:rFonts w:ascii="Symbol" w:hAnsi="Symbol" w:hint="default"/>
        <w:color w:val="ED7D31" w:themeColor="accent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F835758"/>
    <w:multiLevelType w:val="multilevel"/>
    <w:tmpl w:val="3CBC8B1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7601771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04859667">
    <w:abstractNumId w:val="3"/>
  </w:num>
  <w:num w:numId="3" w16cid:durableId="28721064">
    <w:abstractNumId w:val="5"/>
  </w:num>
  <w:num w:numId="4" w16cid:durableId="222722216">
    <w:abstractNumId w:val="1"/>
  </w:num>
  <w:num w:numId="5" w16cid:durableId="2076078049">
    <w:abstractNumId w:val="4"/>
  </w:num>
  <w:num w:numId="6" w16cid:durableId="765728980">
    <w:abstractNumId w:val="2"/>
  </w:num>
  <w:num w:numId="7" w16cid:durableId="1094592071">
    <w:abstractNumId w:val="6"/>
  </w:num>
  <w:num w:numId="8" w16cid:durableId="167538043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AC8"/>
    <w:rsid w:val="00016B01"/>
    <w:rsid w:val="000300CB"/>
    <w:rsid w:val="0006010A"/>
    <w:rsid w:val="00085DB1"/>
    <w:rsid w:val="000924FC"/>
    <w:rsid w:val="000A2698"/>
    <w:rsid w:val="000C6B49"/>
    <w:rsid w:val="000E1AAA"/>
    <w:rsid w:val="000E4BF3"/>
    <w:rsid w:val="000E6326"/>
    <w:rsid w:val="000F4A7C"/>
    <w:rsid w:val="001070AA"/>
    <w:rsid w:val="00114250"/>
    <w:rsid w:val="00114274"/>
    <w:rsid w:val="001255F2"/>
    <w:rsid w:val="00135F08"/>
    <w:rsid w:val="00140602"/>
    <w:rsid w:val="0014795B"/>
    <w:rsid w:val="00175ACE"/>
    <w:rsid w:val="00181529"/>
    <w:rsid w:val="00181865"/>
    <w:rsid w:val="001834B1"/>
    <w:rsid w:val="00195497"/>
    <w:rsid w:val="001A5717"/>
    <w:rsid w:val="001B1E26"/>
    <w:rsid w:val="001D6D0E"/>
    <w:rsid w:val="001E5866"/>
    <w:rsid w:val="001F0E61"/>
    <w:rsid w:val="0021569F"/>
    <w:rsid w:val="002217E7"/>
    <w:rsid w:val="002647CA"/>
    <w:rsid w:val="00266461"/>
    <w:rsid w:val="0027141A"/>
    <w:rsid w:val="00272A9C"/>
    <w:rsid w:val="00277AA7"/>
    <w:rsid w:val="00285424"/>
    <w:rsid w:val="002A0138"/>
    <w:rsid w:val="002C42AF"/>
    <w:rsid w:val="002D41A7"/>
    <w:rsid w:val="003063A1"/>
    <w:rsid w:val="00337B84"/>
    <w:rsid w:val="00345D91"/>
    <w:rsid w:val="003762FA"/>
    <w:rsid w:val="003838C9"/>
    <w:rsid w:val="00386092"/>
    <w:rsid w:val="003A19F3"/>
    <w:rsid w:val="003B2C2A"/>
    <w:rsid w:val="003C7F22"/>
    <w:rsid w:val="003D6C17"/>
    <w:rsid w:val="004029C4"/>
    <w:rsid w:val="004147EA"/>
    <w:rsid w:val="00454537"/>
    <w:rsid w:val="00465B97"/>
    <w:rsid w:val="00474CA1"/>
    <w:rsid w:val="00475A5D"/>
    <w:rsid w:val="004815B8"/>
    <w:rsid w:val="004903D7"/>
    <w:rsid w:val="004967DC"/>
    <w:rsid w:val="004A4D81"/>
    <w:rsid w:val="004E0946"/>
    <w:rsid w:val="004E572F"/>
    <w:rsid w:val="00540F74"/>
    <w:rsid w:val="00557A64"/>
    <w:rsid w:val="0057692F"/>
    <w:rsid w:val="0058312D"/>
    <w:rsid w:val="005D643E"/>
    <w:rsid w:val="005E4DE0"/>
    <w:rsid w:val="00616A6C"/>
    <w:rsid w:val="00622249"/>
    <w:rsid w:val="00625F13"/>
    <w:rsid w:val="0064304E"/>
    <w:rsid w:val="0065522E"/>
    <w:rsid w:val="00656E61"/>
    <w:rsid w:val="0066258C"/>
    <w:rsid w:val="00670266"/>
    <w:rsid w:val="006710CA"/>
    <w:rsid w:val="00673502"/>
    <w:rsid w:val="006751EB"/>
    <w:rsid w:val="00682338"/>
    <w:rsid w:val="0068598D"/>
    <w:rsid w:val="00693AE5"/>
    <w:rsid w:val="006A2ABC"/>
    <w:rsid w:val="006F096E"/>
    <w:rsid w:val="006F4D59"/>
    <w:rsid w:val="007207B1"/>
    <w:rsid w:val="00726343"/>
    <w:rsid w:val="00742F59"/>
    <w:rsid w:val="0076055E"/>
    <w:rsid w:val="007637A8"/>
    <w:rsid w:val="00783F7C"/>
    <w:rsid w:val="0078550F"/>
    <w:rsid w:val="007A5AF1"/>
    <w:rsid w:val="007A739F"/>
    <w:rsid w:val="007C4A8E"/>
    <w:rsid w:val="007E29E1"/>
    <w:rsid w:val="007F0B95"/>
    <w:rsid w:val="00816D92"/>
    <w:rsid w:val="00831DDC"/>
    <w:rsid w:val="00845941"/>
    <w:rsid w:val="0089087A"/>
    <w:rsid w:val="0089487D"/>
    <w:rsid w:val="008B38C5"/>
    <w:rsid w:val="008B7179"/>
    <w:rsid w:val="008C385E"/>
    <w:rsid w:val="008C4309"/>
    <w:rsid w:val="008E2911"/>
    <w:rsid w:val="0094428A"/>
    <w:rsid w:val="00945697"/>
    <w:rsid w:val="0096480F"/>
    <w:rsid w:val="0099390E"/>
    <w:rsid w:val="0099649A"/>
    <w:rsid w:val="009C71E6"/>
    <w:rsid w:val="009E5B91"/>
    <w:rsid w:val="009F7EC3"/>
    <w:rsid w:val="00A13EEA"/>
    <w:rsid w:val="00A22AC8"/>
    <w:rsid w:val="00A26D91"/>
    <w:rsid w:val="00A30BED"/>
    <w:rsid w:val="00A4496F"/>
    <w:rsid w:val="00A47755"/>
    <w:rsid w:val="00A51614"/>
    <w:rsid w:val="00A636C7"/>
    <w:rsid w:val="00A7049D"/>
    <w:rsid w:val="00A70F05"/>
    <w:rsid w:val="00A87FE3"/>
    <w:rsid w:val="00A92ED7"/>
    <w:rsid w:val="00AA002C"/>
    <w:rsid w:val="00AA7EA1"/>
    <w:rsid w:val="00AB0E67"/>
    <w:rsid w:val="00AD43A7"/>
    <w:rsid w:val="00AD4828"/>
    <w:rsid w:val="00AE1D92"/>
    <w:rsid w:val="00B332FF"/>
    <w:rsid w:val="00B574E5"/>
    <w:rsid w:val="00B73B04"/>
    <w:rsid w:val="00B777F0"/>
    <w:rsid w:val="00BA6790"/>
    <w:rsid w:val="00BD08B6"/>
    <w:rsid w:val="00BE5137"/>
    <w:rsid w:val="00BE55F3"/>
    <w:rsid w:val="00BE7867"/>
    <w:rsid w:val="00BF2449"/>
    <w:rsid w:val="00BF39C4"/>
    <w:rsid w:val="00C158C5"/>
    <w:rsid w:val="00C36CF7"/>
    <w:rsid w:val="00C40C2D"/>
    <w:rsid w:val="00C668A0"/>
    <w:rsid w:val="00C740EC"/>
    <w:rsid w:val="00C77F2D"/>
    <w:rsid w:val="00C8485C"/>
    <w:rsid w:val="00C95145"/>
    <w:rsid w:val="00C96978"/>
    <w:rsid w:val="00CA0381"/>
    <w:rsid w:val="00D16A51"/>
    <w:rsid w:val="00D24642"/>
    <w:rsid w:val="00D3158A"/>
    <w:rsid w:val="00D5128A"/>
    <w:rsid w:val="00D6608F"/>
    <w:rsid w:val="00D716FE"/>
    <w:rsid w:val="00DC40A9"/>
    <w:rsid w:val="00DE3CCD"/>
    <w:rsid w:val="00DF19DA"/>
    <w:rsid w:val="00DF5583"/>
    <w:rsid w:val="00DF5EC4"/>
    <w:rsid w:val="00E05455"/>
    <w:rsid w:val="00E150DD"/>
    <w:rsid w:val="00E36300"/>
    <w:rsid w:val="00E373E4"/>
    <w:rsid w:val="00E50385"/>
    <w:rsid w:val="00E65520"/>
    <w:rsid w:val="00E91B81"/>
    <w:rsid w:val="00EC74E8"/>
    <w:rsid w:val="00ED06F1"/>
    <w:rsid w:val="00ED3C1B"/>
    <w:rsid w:val="00ED62E3"/>
    <w:rsid w:val="00EE0E22"/>
    <w:rsid w:val="00F22872"/>
    <w:rsid w:val="00F47D77"/>
    <w:rsid w:val="00F505B1"/>
    <w:rsid w:val="00F858E4"/>
    <w:rsid w:val="00F92323"/>
    <w:rsid w:val="00F95C89"/>
    <w:rsid w:val="00FB6025"/>
    <w:rsid w:val="00FF32F8"/>
    <w:rsid w:val="00FF64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87C215"/>
  <w15:chartTrackingRefBased/>
  <w15:docId w15:val="{9760F2EC-6788-474B-A2F3-FEC828168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22AC8"/>
    <w:pPr>
      <w:spacing w:after="0" w:line="240" w:lineRule="auto"/>
    </w:pPr>
    <w:rPr>
      <w:rFonts w:ascii="Calibri" w:hAnsi="Calibri" w:cs="Calibri"/>
    </w:rPr>
  </w:style>
  <w:style w:type="paragraph" w:styleId="Nagwek1">
    <w:name w:val="heading 1"/>
    <w:basedOn w:val="Normalny"/>
    <w:link w:val="Nagwek1Znak"/>
    <w:uiPriority w:val="9"/>
    <w:qFormat/>
    <w:rsid w:val="00945697"/>
    <w:pPr>
      <w:spacing w:before="100" w:beforeAutospacing="1" w:after="100" w:afterAutospacing="1"/>
      <w:outlineLvl w:val="0"/>
    </w:pPr>
    <w:rPr>
      <w:rFonts w:ascii="Times New Roman" w:eastAsia="Times New Roman" w:hAnsi="Times New Roman" w:cs="Times New Roman"/>
      <w:b/>
      <w:bCs/>
      <w:kern w:val="36"/>
      <w:sz w:val="48"/>
      <w:szCs w:val="48"/>
      <w:lang w:eastAsia="pl-PL"/>
    </w:rPr>
  </w:style>
  <w:style w:type="paragraph" w:styleId="Nagwek2">
    <w:name w:val="heading 2"/>
    <w:basedOn w:val="Normalny"/>
    <w:link w:val="Nagwek2Znak"/>
    <w:uiPriority w:val="9"/>
    <w:qFormat/>
    <w:rsid w:val="00945697"/>
    <w:pPr>
      <w:spacing w:before="100" w:beforeAutospacing="1" w:after="100" w:afterAutospacing="1"/>
      <w:outlineLvl w:val="1"/>
    </w:pPr>
    <w:rPr>
      <w:rFonts w:ascii="Times New Roman" w:eastAsia="Times New Roman" w:hAnsi="Times New Roman" w:cs="Times New Roman"/>
      <w:b/>
      <w:bCs/>
      <w:sz w:val="36"/>
      <w:szCs w:val="36"/>
      <w:lang w:eastAsia="pl-PL"/>
    </w:rPr>
  </w:style>
  <w:style w:type="paragraph" w:styleId="Nagwek3">
    <w:name w:val="heading 3"/>
    <w:basedOn w:val="Normalny"/>
    <w:next w:val="Normalny"/>
    <w:link w:val="Nagwek3Znak"/>
    <w:uiPriority w:val="9"/>
    <w:unhideWhenUsed/>
    <w:qFormat/>
    <w:rsid w:val="00845941"/>
    <w:pPr>
      <w:keepNext/>
      <w:keepLines/>
      <w:spacing w:before="40"/>
      <w:outlineLvl w:val="2"/>
    </w:pPr>
    <w:rPr>
      <w:rFonts w:asciiTheme="majorHAnsi" w:eastAsiaTheme="majorEastAsia" w:hAnsiTheme="majorHAnsi" w:cstheme="majorBidi"/>
      <w:color w:val="522342"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A22AC8"/>
    <w:rPr>
      <w:rFonts w:ascii="Segoe UI" w:hAnsi="Segoe UI" w:cs="Segoe UI"/>
      <w:sz w:val="18"/>
      <w:szCs w:val="18"/>
    </w:rPr>
  </w:style>
  <w:style w:type="character" w:customStyle="1" w:styleId="TekstdymkaZnak">
    <w:name w:val="Tekst dymka Znak"/>
    <w:basedOn w:val="Domylnaczcionkaakapitu"/>
    <w:link w:val="Tekstdymka"/>
    <w:uiPriority w:val="99"/>
    <w:semiHidden/>
    <w:rsid w:val="00A22AC8"/>
    <w:rPr>
      <w:rFonts w:ascii="Segoe UI" w:hAnsi="Segoe UI" w:cs="Segoe UI"/>
      <w:sz w:val="18"/>
      <w:szCs w:val="18"/>
    </w:rPr>
  </w:style>
  <w:style w:type="paragraph" w:styleId="Nagwek">
    <w:name w:val="header"/>
    <w:basedOn w:val="Normalny"/>
    <w:link w:val="NagwekZnak"/>
    <w:uiPriority w:val="99"/>
    <w:unhideWhenUsed/>
    <w:rsid w:val="00B332FF"/>
    <w:pPr>
      <w:tabs>
        <w:tab w:val="center" w:pos="4536"/>
        <w:tab w:val="right" w:pos="9072"/>
      </w:tabs>
    </w:pPr>
  </w:style>
  <w:style w:type="character" w:customStyle="1" w:styleId="NagwekZnak">
    <w:name w:val="Nagłówek Znak"/>
    <w:basedOn w:val="Domylnaczcionkaakapitu"/>
    <w:link w:val="Nagwek"/>
    <w:uiPriority w:val="99"/>
    <w:rsid w:val="00B332FF"/>
    <w:rPr>
      <w:rFonts w:ascii="Calibri" w:hAnsi="Calibri" w:cs="Calibri"/>
    </w:rPr>
  </w:style>
  <w:style w:type="paragraph" w:styleId="Stopka">
    <w:name w:val="footer"/>
    <w:basedOn w:val="Normalny"/>
    <w:link w:val="StopkaZnak"/>
    <w:uiPriority w:val="99"/>
    <w:unhideWhenUsed/>
    <w:rsid w:val="00B332FF"/>
    <w:pPr>
      <w:tabs>
        <w:tab w:val="center" w:pos="4536"/>
        <w:tab w:val="right" w:pos="9072"/>
      </w:tabs>
    </w:pPr>
  </w:style>
  <w:style w:type="character" w:customStyle="1" w:styleId="StopkaZnak">
    <w:name w:val="Stopka Znak"/>
    <w:basedOn w:val="Domylnaczcionkaakapitu"/>
    <w:link w:val="Stopka"/>
    <w:uiPriority w:val="99"/>
    <w:rsid w:val="00B332FF"/>
    <w:rPr>
      <w:rFonts w:ascii="Calibri" w:hAnsi="Calibri" w:cs="Calibri"/>
    </w:rPr>
  </w:style>
  <w:style w:type="paragraph" w:styleId="NormalnyWeb">
    <w:name w:val="Normal (Web)"/>
    <w:basedOn w:val="Normalny"/>
    <w:uiPriority w:val="99"/>
    <w:unhideWhenUsed/>
    <w:rsid w:val="00A636C7"/>
    <w:pPr>
      <w:spacing w:before="100" w:beforeAutospacing="1" w:after="100" w:afterAutospacing="1"/>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89087A"/>
    <w:pPr>
      <w:ind w:left="720"/>
      <w:contextualSpacing/>
    </w:pPr>
  </w:style>
  <w:style w:type="paragraph" w:customStyle="1" w:styleId="Default">
    <w:name w:val="Default"/>
    <w:rsid w:val="004815B8"/>
    <w:pPr>
      <w:autoSpaceDE w:val="0"/>
      <w:autoSpaceDN w:val="0"/>
      <w:adjustRightInd w:val="0"/>
      <w:spacing w:after="0" w:line="240" w:lineRule="auto"/>
    </w:pPr>
    <w:rPr>
      <w:rFonts w:ascii="Myriad Pro" w:hAnsi="Myriad Pro" w:cs="Myriad Pro"/>
      <w:color w:val="000000"/>
      <w:sz w:val="24"/>
      <w:szCs w:val="24"/>
    </w:rPr>
  </w:style>
  <w:style w:type="character" w:customStyle="1" w:styleId="A5">
    <w:name w:val="A5"/>
    <w:uiPriority w:val="99"/>
    <w:rsid w:val="004815B8"/>
    <w:rPr>
      <w:rFonts w:cs="Myriad Pro"/>
      <w:b/>
      <w:bCs/>
      <w:color w:val="000000"/>
      <w:sz w:val="90"/>
      <w:szCs w:val="90"/>
    </w:rPr>
  </w:style>
  <w:style w:type="character" w:styleId="Hipercze">
    <w:name w:val="Hyperlink"/>
    <w:basedOn w:val="Domylnaczcionkaakapitu"/>
    <w:uiPriority w:val="99"/>
    <w:unhideWhenUsed/>
    <w:rsid w:val="00945697"/>
    <w:rPr>
      <w:color w:val="0563C1" w:themeColor="hyperlink"/>
      <w:u w:val="single"/>
    </w:rPr>
  </w:style>
  <w:style w:type="character" w:styleId="Pogrubienie">
    <w:name w:val="Strong"/>
    <w:basedOn w:val="Domylnaczcionkaakapitu"/>
    <w:uiPriority w:val="22"/>
    <w:qFormat/>
    <w:rsid w:val="00945697"/>
    <w:rPr>
      <w:b/>
      <w:bCs/>
    </w:rPr>
  </w:style>
  <w:style w:type="character" w:customStyle="1" w:styleId="Nagwek1Znak">
    <w:name w:val="Nagłówek 1 Znak"/>
    <w:basedOn w:val="Domylnaczcionkaakapitu"/>
    <w:link w:val="Nagwek1"/>
    <w:uiPriority w:val="9"/>
    <w:rsid w:val="00945697"/>
    <w:rPr>
      <w:rFonts w:ascii="Times New Roman" w:eastAsia="Times New Roman" w:hAnsi="Times New Roman" w:cs="Times New Roman"/>
      <w:b/>
      <w:bCs/>
      <w:kern w:val="36"/>
      <w:sz w:val="48"/>
      <w:szCs w:val="48"/>
      <w:lang w:eastAsia="pl-PL"/>
    </w:rPr>
  </w:style>
  <w:style w:type="character" w:customStyle="1" w:styleId="Nagwek2Znak">
    <w:name w:val="Nagłówek 2 Znak"/>
    <w:basedOn w:val="Domylnaczcionkaakapitu"/>
    <w:link w:val="Nagwek2"/>
    <w:uiPriority w:val="9"/>
    <w:rsid w:val="00945697"/>
    <w:rPr>
      <w:rFonts w:ascii="Times New Roman" w:eastAsia="Times New Roman" w:hAnsi="Times New Roman" w:cs="Times New Roman"/>
      <w:b/>
      <w:bCs/>
      <w:sz w:val="36"/>
      <w:szCs w:val="36"/>
      <w:lang w:eastAsia="pl-PL"/>
    </w:rPr>
  </w:style>
  <w:style w:type="character" w:customStyle="1" w:styleId="Nagwek3Znak">
    <w:name w:val="Nagłówek 3 Znak"/>
    <w:basedOn w:val="Domylnaczcionkaakapitu"/>
    <w:link w:val="Nagwek3"/>
    <w:uiPriority w:val="9"/>
    <w:rsid w:val="00845941"/>
    <w:rPr>
      <w:rFonts w:asciiTheme="majorHAnsi" w:eastAsiaTheme="majorEastAsia" w:hAnsiTheme="majorHAnsi" w:cstheme="majorBidi"/>
      <w:color w:val="522342" w:themeColor="accent1" w:themeShade="7F"/>
      <w:sz w:val="24"/>
      <w:szCs w:val="24"/>
    </w:rPr>
  </w:style>
  <w:style w:type="paragraph" w:customStyle="1" w:styleId="isselectedend">
    <w:name w:val="isselectedend"/>
    <w:basedOn w:val="Normalny"/>
    <w:rsid w:val="00682338"/>
    <w:pPr>
      <w:spacing w:before="100" w:beforeAutospacing="1" w:after="100" w:afterAutospacing="1"/>
    </w:pPr>
    <w:rPr>
      <w:rFonts w:ascii="Times New Roman" w:eastAsia="Times New Roman" w:hAnsi="Times New Roman" w:cs="Times New Roman"/>
      <w:sz w:val="24"/>
      <w:szCs w:val="24"/>
      <w:lang w:eastAsia="pl-PL"/>
    </w:rPr>
  </w:style>
  <w:style w:type="paragraph" w:styleId="Poprawka">
    <w:name w:val="Revision"/>
    <w:hidden/>
    <w:uiPriority w:val="99"/>
    <w:semiHidden/>
    <w:rsid w:val="00C36CF7"/>
    <w:pPr>
      <w:spacing w:after="0" w:line="240" w:lineRule="auto"/>
    </w:pPr>
    <w:rPr>
      <w:rFonts w:ascii="Calibri" w:hAnsi="Calibri" w:cs="Calibri"/>
    </w:rPr>
  </w:style>
  <w:style w:type="paragraph" w:customStyle="1" w:styleId="pdq2pgselectionanchorcontainer">
    <w:name w:val="pdq2pg_selectionanchorcontainer"/>
    <w:basedOn w:val="Normalny"/>
    <w:rsid w:val="007A5AF1"/>
    <w:pPr>
      <w:spacing w:before="100" w:beforeAutospacing="1" w:after="100" w:afterAutospacing="1"/>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AD48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57526053">
      <w:bodyDiv w:val="1"/>
      <w:marLeft w:val="0"/>
      <w:marRight w:val="0"/>
      <w:marTop w:val="0"/>
      <w:marBottom w:val="0"/>
      <w:divBdr>
        <w:top w:val="none" w:sz="0" w:space="0" w:color="auto"/>
        <w:left w:val="none" w:sz="0" w:space="0" w:color="auto"/>
        <w:bottom w:val="none" w:sz="0" w:space="0" w:color="auto"/>
        <w:right w:val="none" w:sz="0" w:space="0" w:color="auto"/>
      </w:divBdr>
    </w:div>
    <w:div w:id="527329930">
      <w:bodyDiv w:val="1"/>
      <w:marLeft w:val="0"/>
      <w:marRight w:val="0"/>
      <w:marTop w:val="0"/>
      <w:marBottom w:val="0"/>
      <w:divBdr>
        <w:top w:val="none" w:sz="0" w:space="0" w:color="auto"/>
        <w:left w:val="none" w:sz="0" w:space="0" w:color="auto"/>
        <w:bottom w:val="none" w:sz="0" w:space="0" w:color="auto"/>
        <w:right w:val="none" w:sz="0" w:space="0" w:color="auto"/>
      </w:divBdr>
    </w:div>
    <w:div w:id="982545551">
      <w:bodyDiv w:val="1"/>
      <w:marLeft w:val="0"/>
      <w:marRight w:val="0"/>
      <w:marTop w:val="0"/>
      <w:marBottom w:val="0"/>
      <w:divBdr>
        <w:top w:val="none" w:sz="0" w:space="0" w:color="auto"/>
        <w:left w:val="none" w:sz="0" w:space="0" w:color="auto"/>
        <w:bottom w:val="none" w:sz="0" w:space="0" w:color="auto"/>
        <w:right w:val="none" w:sz="0" w:space="0" w:color="auto"/>
      </w:divBdr>
    </w:div>
    <w:div w:id="1139226519">
      <w:bodyDiv w:val="1"/>
      <w:marLeft w:val="0"/>
      <w:marRight w:val="0"/>
      <w:marTop w:val="0"/>
      <w:marBottom w:val="0"/>
      <w:divBdr>
        <w:top w:val="none" w:sz="0" w:space="0" w:color="auto"/>
        <w:left w:val="none" w:sz="0" w:space="0" w:color="auto"/>
        <w:bottom w:val="none" w:sz="0" w:space="0" w:color="auto"/>
        <w:right w:val="none" w:sz="0" w:space="0" w:color="auto"/>
      </w:divBdr>
    </w:div>
    <w:div w:id="1184830513">
      <w:bodyDiv w:val="1"/>
      <w:marLeft w:val="0"/>
      <w:marRight w:val="0"/>
      <w:marTop w:val="0"/>
      <w:marBottom w:val="0"/>
      <w:divBdr>
        <w:top w:val="none" w:sz="0" w:space="0" w:color="auto"/>
        <w:left w:val="none" w:sz="0" w:space="0" w:color="auto"/>
        <w:bottom w:val="none" w:sz="0" w:space="0" w:color="auto"/>
        <w:right w:val="none" w:sz="0" w:space="0" w:color="auto"/>
      </w:divBdr>
    </w:div>
    <w:div w:id="1246380826">
      <w:bodyDiv w:val="1"/>
      <w:marLeft w:val="0"/>
      <w:marRight w:val="0"/>
      <w:marTop w:val="0"/>
      <w:marBottom w:val="0"/>
      <w:divBdr>
        <w:top w:val="none" w:sz="0" w:space="0" w:color="auto"/>
        <w:left w:val="none" w:sz="0" w:space="0" w:color="auto"/>
        <w:bottom w:val="none" w:sz="0" w:space="0" w:color="auto"/>
        <w:right w:val="none" w:sz="0" w:space="0" w:color="auto"/>
      </w:divBdr>
    </w:div>
    <w:div w:id="1249120148">
      <w:bodyDiv w:val="1"/>
      <w:marLeft w:val="0"/>
      <w:marRight w:val="0"/>
      <w:marTop w:val="0"/>
      <w:marBottom w:val="0"/>
      <w:divBdr>
        <w:top w:val="none" w:sz="0" w:space="0" w:color="auto"/>
        <w:left w:val="none" w:sz="0" w:space="0" w:color="auto"/>
        <w:bottom w:val="none" w:sz="0" w:space="0" w:color="auto"/>
        <w:right w:val="none" w:sz="0" w:space="0" w:color="auto"/>
      </w:divBdr>
    </w:div>
    <w:div w:id="1385062210">
      <w:bodyDiv w:val="1"/>
      <w:marLeft w:val="0"/>
      <w:marRight w:val="0"/>
      <w:marTop w:val="0"/>
      <w:marBottom w:val="0"/>
      <w:divBdr>
        <w:top w:val="none" w:sz="0" w:space="0" w:color="auto"/>
        <w:left w:val="none" w:sz="0" w:space="0" w:color="auto"/>
        <w:bottom w:val="none" w:sz="0" w:space="0" w:color="auto"/>
        <w:right w:val="none" w:sz="0" w:space="0" w:color="auto"/>
      </w:divBdr>
    </w:div>
    <w:div w:id="1711226737">
      <w:bodyDiv w:val="1"/>
      <w:marLeft w:val="0"/>
      <w:marRight w:val="0"/>
      <w:marTop w:val="0"/>
      <w:marBottom w:val="0"/>
      <w:divBdr>
        <w:top w:val="none" w:sz="0" w:space="0" w:color="auto"/>
        <w:left w:val="none" w:sz="0" w:space="0" w:color="auto"/>
        <w:bottom w:val="none" w:sz="0" w:space="0" w:color="auto"/>
        <w:right w:val="none" w:sz="0" w:space="0" w:color="auto"/>
      </w:divBdr>
    </w:div>
    <w:div w:id="1816951365">
      <w:bodyDiv w:val="1"/>
      <w:marLeft w:val="0"/>
      <w:marRight w:val="0"/>
      <w:marTop w:val="0"/>
      <w:marBottom w:val="0"/>
      <w:divBdr>
        <w:top w:val="none" w:sz="0" w:space="0" w:color="auto"/>
        <w:left w:val="none" w:sz="0" w:space="0" w:color="auto"/>
        <w:bottom w:val="none" w:sz="0" w:space="0" w:color="auto"/>
        <w:right w:val="none" w:sz="0" w:space="0" w:color="auto"/>
      </w:divBdr>
    </w:div>
    <w:div w:id="2062899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tyniec@bepr.p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Grupa progres">
      <a:dk1>
        <a:srgbClr val="1F1B41"/>
      </a:dk1>
      <a:lt1>
        <a:sysClr val="window" lastClr="FFFFFF"/>
      </a:lt1>
      <a:dk2>
        <a:srgbClr val="1F1B2C"/>
      </a:dk2>
      <a:lt2>
        <a:srgbClr val="E7E6E6"/>
      </a:lt2>
      <a:accent1>
        <a:srgbClr val="A54686"/>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B0C38-FFAB-41B1-888D-4055A882F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4</Pages>
  <Words>1558</Words>
  <Characters>9354</Characters>
  <Application>Microsoft Office Word</Application>
  <DocSecurity>0</DocSecurity>
  <Lines>77</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Przemysław Zieliński</dc:creator>
  <cp:keywords/>
  <dc:description/>
  <cp:lastModifiedBy>Kamila Tyniec</cp:lastModifiedBy>
  <cp:revision>31</cp:revision>
  <cp:lastPrinted>2026-07-17T08:13:00Z</cp:lastPrinted>
  <dcterms:created xsi:type="dcterms:W3CDTF">2026-07-23T11:28:00Z</dcterms:created>
  <dcterms:modified xsi:type="dcterms:W3CDTF">2026-08-13T15:38:00Z</dcterms:modified>
</cp:coreProperties>
</file>