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0027D" w14:textId="6CC5336C" w:rsidR="00045F40" w:rsidRPr="001A0714" w:rsidRDefault="000460C8">
      <w:pPr>
        <w:pBdr>
          <w:bottom w:val="single" w:sz="12" w:space="1" w:color="auto"/>
        </w:pBdr>
        <w:jc w:val="both"/>
        <w:rPr>
          <w:rFonts w:asciiTheme="majorHAnsi" w:hAnsiTheme="majorHAnsi" w:cs="Times New Roman"/>
          <w:b/>
          <w:color w:val="auto"/>
          <w:sz w:val="28"/>
          <w:szCs w:val="18"/>
        </w:rPr>
      </w:pPr>
      <w:r w:rsidRPr="001A0714">
        <w:rPr>
          <w:rFonts w:asciiTheme="majorHAnsi" w:hAnsiTheme="majorHAnsi"/>
          <w:b/>
          <w:sz w:val="28"/>
          <w:szCs w:val="18"/>
        </w:rPr>
        <w:t>INFORMACJA PRASOWA</w:t>
      </w:r>
    </w:p>
    <w:p w14:paraId="04A0027E" w14:textId="01814704" w:rsidR="00045F40" w:rsidRPr="001A0714" w:rsidRDefault="000460C8">
      <w:pPr>
        <w:jc w:val="both"/>
        <w:rPr>
          <w:rFonts w:asciiTheme="majorHAnsi" w:hAnsiTheme="majorHAnsi"/>
          <w:sz w:val="18"/>
          <w:szCs w:val="18"/>
        </w:rPr>
      </w:pPr>
      <w:r w:rsidRPr="001A0714">
        <w:rPr>
          <w:rFonts w:asciiTheme="majorHAnsi" w:hAnsiTheme="majorHAnsi"/>
          <w:sz w:val="18"/>
          <w:szCs w:val="18"/>
        </w:rPr>
        <w:t xml:space="preserve">Gdańsk, </w:t>
      </w:r>
      <w:r w:rsidR="005017CE">
        <w:rPr>
          <w:rFonts w:asciiTheme="majorHAnsi" w:hAnsiTheme="majorHAnsi"/>
          <w:sz w:val="18"/>
          <w:szCs w:val="18"/>
        </w:rPr>
        <w:t xml:space="preserve">20 </w:t>
      </w:r>
      <w:r w:rsidR="00955166">
        <w:rPr>
          <w:rFonts w:asciiTheme="majorHAnsi" w:hAnsiTheme="majorHAnsi"/>
          <w:sz w:val="18"/>
          <w:szCs w:val="18"/>
        </w:rPr>
        <w:t>sierpnia</w:t>
      </w:r>
      <w:r w:rsidRPr="001A0714">
        <w:rPr>
          <w:rFonts w:asciiTheme="majorHAnsi" w:hAnsiTheme="majorHAnsi"/>
          <w:sz w:val="18"/>
          <w:szCs w:val="18"/>
        </w:rPr>
        <w:t xml:space="preserve"> 202</w:t>
      </w:r>
      <w:r w:rsidR="00F04F7F">
        <w:rPr>
          <w:rFonts w:asciiTheme="majorHAnsi" w:hAnsiTheme="majorHAnsi"/>
          <w:sz w:val="18"/>
          <w:szCs w:val="18"/>
        </w:rPr>
        <w:t>6</w:t>
      </w:r>
      <w:r w:rsidRPr="001A0714">
        <w:rPr>
          <w:rFonts w:asciiTheme="majorHAnsi" w:hAnsiTheme="majorHAnsi"/>
          <w:sz w:val="18"/>
          <w:szCs w:val="18"/>
        </w:rPr>
        <w:t xml:space="preserve"> r</w:t>
      </w:r>
      <w:r w:rsidR="00BA49AA" w:rsidRPr="001A0714">
        <w:rPr>
          <w:rFonts w:asciiTheme="majorHAnsi" w:hAnsiTheme="majorHAnsi"/>
          <w:sz w:val="18"/>
          <w:szCs w:val="18"/>
        </w:rPr>
        <w:t>.</w:t>
      </w:r>
    </w:p>
    <w:p w14:paraId="05C37DF8" w14:textId="77777777" w:rsidR="00612F3E" w:rsidRDefault="00612F3E" w:rsidP="00955166">
      <w:pPr>
        <w:spacing w:line="276" w:lineRule="auto"/>
        <w:jc w:val="both"/>
        <w:rPr>
          <w:rFonts w:asciiTheme="majorHAnsi" w:hAnsiTheme="majorHAnsi" w:cstheme="minorHAnsi"/>
          <w:b/>
          <w:bCs/>
          <w:iCs/>
          <w:color w:val="314173"/>
          <w:sz w:val="24"/>
          <w:szCs w:val="21"/>
        </w:rPr>
      </w:pPr>
      <w:bookmarkStart w:id="0" w:name="_Hlk120263354"/>
    </w:p>
    <w:p w14:paraId="16B06E9B" w14:textId="48B09537" w:rsidR="00955166" w:rsidRDefault="00612F3E" w:rsidP="00955166">
      <w:pPr>
        <w:spacing w:line="276" w:lineRule="auto"/>
        <w:jc w:val="both"/>
        <w:rPr>
          <w:rFonts w:ascii="Cambria" w:hAnsi="Cambria"/>
          <w:b/>
          <w:bCs/>
          <w:color w:val="1F497D" w:themeColor="text2"/>
          <w:sz w:val="28"/>
          <w:szCs w:val="28"/>
        </w:rPr>
      </w:pPr>
      <w:r w:rsidRPr="00612F3E">
        <w:rPr>
          <w:rFonts w:asciiTheme="majorHAnsi" w:hAnsiTheme="majorHAnsi" w:cstheme="minorHAnsi"/>
          <w:b/>
          <w:bCs/>
          <w:iCs/>
          <w:color w:val="314173"/>
          <w:sz w:val="28"/>
          <w:szCs w:val="28"/>
        </w:rPr>
        <w:t>Sektor</w:t>
      </w:r>
      <w:r w:rsidR="00955166" w:rsidRPr="00955166">
        <w:rPr>
          <w:rFonts w:ascii="Cambria" w:hAnsi="Cambria"/>
          <w:b/>
          <w:bCs/>
          <w:color w:val="1F497D" w:themeColor="text2"/>
          <w:sz w:val="28"/>
          <w:szCs w:val="28"/>
        </w:rPr>
        <w:t xml:space="preserve"> pośrednictwa finansowego rośnie. Najmocniej w kredytach hipotecznych</w:t>
      </w:r>
    </w:p>
    <w:p w14:paraId="279C3DA3" w14:textId="77777777" w:rsidR="00F1069A" w:rsidRDefault="00F1069A" w:rsidP="00955166">
      <w:pPr>
        <w:spacing w:line="276" w:lineRule="auto"/>
        <w:jc w:val="both"/>
        <w:rPr>
          <w:rFonts w:ascii="Cambria" w:hAnsi="Cambria"/>
          <w:sz w:val="21"/>
          <w:szCs w:val="21"/>
        </w:rPr>
      </w:pPr>
    </w:p>
    <w:p w14:paraId="53EEB808" w14:textId="1436D597" w:rsidR="00F1069A" w:rsidRPr="00F1069A" w:rsidRDefault="00F1069A" w:rsidP="00955166">
      <w:pPr>
        <w:spacing w:line="276" w:lineRule="auto"/>
        <w:jc w:val="both"/>
        <w:rPr>
          <w:rFonts w:asciiTheme="majorHAnsi" w:hAnsiTheme="majorHAnsi" w:cstheme="minorHAnsi"/>
          <w:b/>
          <w:bCs/>
          <w:iCs/>
          <w:color w:val="1F497D" w:themeColor="text2"/>
          <w:sz w:val="28"/>
          <w:szCs w:val="28"/>
        </w:rPr>
      </w:pPr>
      <w:r w:rsidRPr="00F1069A">
        <w:rPr>
          <w:rFonts w:ascii="Cambria" w:hAnsi="Cambria"/>
          <w:b/>
          <w:bCs/>
          <w:sz w:val="21"/>
          <w:szCs w:val="21"/>
        </w:rPr>
        <w:t>Drugi kwartał</w:t>
      </w:r>
      <w:r w:rsidR="00373420">
        <w:rPr>
          <w:rFonts w:ascii="Cambria" w:hAnsi="Cambria"/>
          <w:b/>
          <w:bCs/>
          <w:sz w:val="21"/>
          <w:szCs w:val="21"/>
        </w:rPr>
        <w:t xml:space="preserve"> 2026 r.</w:t>
      </w:r>
      <w:r w:rsidRPr="00F1069A">
        <w:rPr>
          <w:rFonts w:ascii="Cambria" w:hAnsi="Cambria"/>
          <w:b/>
          <w:bCs/>
          <w:sz w:val="21"/>
          <w:szCs w:val="21"/>
        </w:rPr>
        <w:t xml:space="preserve"> przyniósł wzrosty we wszystkich analizowanych segmentach, zarówno w ujęciu kwartalnym, jak i rocznym. Największą </w:t>
      </w:r>
      <w:r w:rsidR="005A478E">
        <w:rPr>
          <w:rFonts w:ascii="Cambria" w:hAnsi="Cambria"/>
          <w:b/>
          <w:bCs/>
          <w:sz w:val="21"/>
          <w:szCs w:val="21"/>
        </w:rPr>
        <w:t>dynamikę</w:t>
      </w:r>
      <w:r w:rsidR="00612F3E">
        <w:rPr>
          <w:rFonts w:ascii="Cambria" w:hAnsi="Cambria"/>
          <w:b/>
          <w:bCs/>
          <w:sz w:val="21"/>
          <w:szCs w:val="21"/>
        </w:rPr>
        <w:t xml:space="preserve"> odnotowano w kategorii</w:t>
      </w:r>
      <w:r w:rsidRPr="00F1069A">
        <w:rPr>
          <w:rFonts w:ascii="Cambria" w:hAnsi="Cambria"/>
          <w:b/>
          <w:bCs/>
          <w:sz w:val="21"/>
          <w:szCs w:val="21"/>
        </w:rPr>
        <w:t xml:space="preserve"> kredytów hipotecznych, ale dobre wyniki widać również w finansowaniu gotówkowym i firmowym</w:t>
      </w:r>
      <w:r w:rsidR="00612F3E">
        <w:rPr>
          <w:rFonts w:ascii="Cambria" w:hAnsi="Cambria"/>
          <w:b/>
          <w:bCs/>
          <w:sz w:val="21"/>
          <w:szCs w:val="21"/>
        </w:rPr>
        <w:t>.</w:t>
      </w:r>
    </w:p>
    <w:p w14:paraId="098FF339" w14:textId="77777777" w:rsidR="00955166" w:rsidRPr="00955166" w:rsidRDefault="00955166" w:rsidP="00955166">
      <w:pPr>
        <w:spacing w:line="276" w:lineRule="auto"/>
        <w:jc w:val="both"/>
        <w:rPr>
          <w:rFonts w:ascii="Cambria" w:hAnsi="Cambria"/>
          <w:sz w:val="21"/>
          <w:szCs w:val="21"/>
        </w:rPr>
      </w:pPr>
    </w:p>
    <w:p w14:paraId="4205405F" w14:textId="77777777" w:rsidR="00955166" w:rsidRPr="00955166" w:rsidRDefault="00955166" w:rsidP="00955166">
      <w:pPr>
        <w:spacing w:line="276" w:lineRule="auto"/>
        <w:jc w:val="both"/>
        <w:rPr>
          <w:rFonts w:ascii="Cambria" w:hAnsi="Cambria"/>
          <w:sz w:val="21"/>
          <w:szCs w:val="21"/>
        </w:rPr>
      </w:pPr>
      <w:r w:rsidRPr="00955166">
        <w:rPr>
          <w:rFonts w:ascii="Cambria" w:hAnsi="Cambria"/>
          <w:sz w:val="21"/>
          <w:szCs w:val="21"/>
        </w:rPr>
        <w:t>Podmioty z sektora pośrednictwa finansowego zrzeszone w Związku Przedsiębiorstw Finansowych w Polsce (ZPF) zaprezentowały dane za II kw. 2026 r. Dotyczą one sprzedaży kredytów hipotecznych, gotówkowych oraz firmowych.</w:t>
      </w:r>
    </w:p>
    <w:p w14:paraId="155F86E6" w14:textId="77777777" w:rsidR="00955166" w:rsidRPr="00955166" w:rsidRDefault="00955166" w:rsidP="00955166">
      <w:pPr>
        <w:spacing w:line="276" w:lineRule="auto"/>
        <w:jc w:val="both"/>
        <w:rPr>
          <w:rFonts w:ascii="Cambria" w:hAnsi="Cambria"/>
          <w:sz w:val="21"/>
          <w:szCs w:val="21"/>
        </w:rPr>
      </w:pPr>
    </w:p>
    <w:p w14:paraId="0CC6E16D" w14:textId="77777777" w:rsidR="00955166" w:rsidRDefault="00955166" w:rsidP="00955166">
      <w:pPr>
        <w:spacing w:line="276" w:lineRule="auto"/>
        <w:jc w:val="both"/>
        <w:rPr>
          <w:rFonts w:ascii="Cambria" w:hAnsi="Cambria"/>
          <w:sz w:val="21"/>
          <w:szCs w:val="21"/>
        </w:rPr>
      </w:pPr>
      <w:r w:rsidRPr="00955166">
        <w:rPr>
          <w:rFonts w:ascii="Cambria" w:hAnsi="Cambria"/>
          <w:sz w:val="21"/>
          <w:szCs w:val="21"/>
        </w:rPr>
        <w:t>Wyniki sektora pośrednictwa finansowego prezentujemy na poniższej grafice.</w:t>
      </w:r>
    </w:p>
    <w:p w14:paraId="4F286809" w14:textId="77777777" w:rsidR="00955166" w:rsidRDefault="00955166" w:rsidP="00955166">
      <w:pPr>
        <w:spacing w:line="276" w:lineRule="auto"/>
        <w:jc w:val="both"/>
        <w:rPr>
          <w:rFonts w:ascii="Cambria" w:hAnsi="Cambria"/>
          <w:sz w:val="21"/>
          <w:szCs w:val="21"/>
        </w:rPr>
      </w:pPr>
    </w:p>
    <w:p w14:paraId="42EECD9C" w14:textId="2738E931" w:rsidR="00955166" w:rsidRPr="00955166" w:rsidRDefault="00955166" w:rsidP="00955166">
      <w:pPr>
        <w:spacing w:line="276" w:lineRule="auto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noProof/>
          <w:sz w:val="21"/>
          <w:szCs w:val="21"/>
        </w:rPr>
        <w:drawing>
          <wp:inline distT="0" distB="0" distL="0" distR="0" wp14:anchorId="4D56CF4C" wp14:editId="66482C87">
            <wp:extent cx="5966460" cy="3132392"/>
            <wp:effectExtent l="0" t="0" r="0" b="0"/>
            <wp:docPr id="116629789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297892" name="Obraz 116629789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3768" cy="314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2CB18" w14:textId="77777777" w:rsidR="00955166" w:rsidRPr="005A478E" w:rsidRDefault="00955166" w:rsidP="00955166">
      <w:pPr>
        <w:spacing w:line="276" w:lineRule="auto"/>
        <w:jc w:val="both"/>
        <w:rPr>
          <w:rFonts w:ascii="Cambria" w:hAnsi="Cambria"/>
          <w:b/>
          <w:bCs/>
          <w:sz w:val="21"/>
          <w:szCs w:val="21"/>
        </w:rPr>
      </w:pPr>
    </w:p>
    <w:p w14:paraId="7FF62FE8" w14:textId="5D2E1BAA" w:rsidR="00955166" w:rsidRPr="005A478E" w:rsidRDefault="00C143AC" w:rsidP="00955166">
      <w:pPr>
        <w:spacing w:line="276" w:lineRule="auto"/>
        <w:jc w:val="both"/>
        <w:rPr>
          <w:rFonts w:ascii="Cambria" w:hAnsi="Cambria"/>
          <w:b/>
          <w:bCs/>
          <w:sz w:val="21"/>
          <w:szCs w:val="21"/>
        </w:rPr>
      </w:pPr>
      <w:r w:rsidRPr="00C143AC">
        <w:rPr>
          <w:rFonts w:ascii="Cambria" w:hAnsi="Cambria"/>
          <w:b/>
          <w:bCs/>
          <w:sz w:val="21"/>
          <w:szCs w:val="21"/>
        </w:rPr>
        <w:t>Największy udział w sprzedaży mają kredyty hipoteczne</w:t>
      </w:r>
    </w:p>
    <w:p w14:paraId="2298CF78" w14:textId="77777777" w:rsidR="00955166" w:rsidRPr="00955166" w:rsidRDefault="00955166" w:rsidP="00955166">
      <w:pPr>
        <w:spacing w:line="276" w:lineRule="auto"/>
        <w:jc w:val="both"/>
        <w:rPr>
          <w:rFonts w:ascii="Cambria" w:hAnsi="Cambria"/>
          <w:sz w:val="21"/>
          <w:szCs w:val="21"/>
        </w:rPr>
      </w:pPr>
    </w:p>
    <w:p w14:paraId="5B5BEF8E" w14:textId="15EEB49E" w:rsidR="00955166" w:rsidRPr="00955166" w:rsidRDefault="005A478E" w:rsidP="00955166">
      <w:pPr>
        <w:spacing w:line="276" w:lineRule="auto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Z</w:t>
      </w:r>
      <w:r w:rsidR="00955166" w:rsidRPr="00955166">
        <w:rPr>
          <w:rFonts w:ascii="Cambria" w:hAnsi="Cambria"/>
          <w:sz w:val="21"/>
          <w:szCs w:val="21"/>
        </w:rPr>
        <w:t xml:space="preserve"> danych ZPF</w:t>
      </w:r>
      <w:r>
        <w:rPr>
          <w:rFonts w:ascii="Cambria" w:hAnsi="Cambria"/>
          <w:sz w:val="21"/>
          <w:szCs w:val="21"/>
        </w:rPr>
        <w:t xml:space="preserve"> wynika</w:t>
      </w:r>
      <w:r w:rsidR="00955166" w:rsidRPr="00955166">
        <w:rPr>
          <w:rFonts w:ascii="Cambria" w:hAnsi="Cambria"/>
          <w:sz w:val="21"/>
          <w:szCs w:val="21"/>
        </w:rPr>
        <w:t>,</w:t>
      </w:r>
      <w:r>
        <w:rPr>
          <w:rFonts w:ascii="Cambria" w:hAnsi="Cambria"/>
          <w:sz w:val="21"/>
          <w:szCs w:val="21"/>
        </w:rPr>
        <w:t xml:space="preserve"> że</w:t>
      </w:r>
      <w:r w:rsidR="00955166" w:rsidRPr="00955166">
        <w:rPr>
          <w:rFonts w:ascii="Cambria" w:hAnsi="Cambria"/>
          <w:sz w:val="21"/>
          <w:szCs w:val="21"/>
        </w:rPr>
        <w:t xml:space="preserve"> w II kw. 2026 r. instytucje finansowe we współpracy z pośrednikami udzieliły 55,6 tys. kredytów hipotecznych o łącznej wartości 26,98 mld zł. Oznacza to wzrost wartości o 20,3 proc. w porównaniu z I kwartałem 2026 r. oraz o 56,8 proc. względem analogicznego okresu poprzedniego roku.</w:t>
      </w:r>
    </w:p>
    <w:p w14:paraId="710206EE" w14:textId="77777777" w:rsidR="00955166" w:rsidRPr="00955166" w:rsidRDefault="00955166" w:rsidP="00955166">
      <w:pPr>
        <w:spacing w:line="276" w:lineRule="auto"/>
        <w:jc w:val="both"/>
        <w:rPr>
          <w:rFonts w:ascii="Cambria" w:hAnsi="Cambria"/>
          <w:sz w:val="21"/>
          <w:szCs w:val="21"/>
        </w:rPr>
      </w:pPr>
    </w:p>
    <w:p w14:paraId="75D0CB53" w14:textId="578E0891" w:rsidR="00955166" w:rsidRDefault="00955166" w:rsidP="00955166">
      <w:pPr>
        <w:spacing w:line="276" w:lineRule="auto"/>
        <w:jc w:val="both"/>
        <w:rPr>
          <w:rFonts w:ascii="Cambria" w:hAnsi="Cambria"/>
          <w:sz w:val="21"/>
          <w:szCs w:val="21"/>
        </w:rPr>
      </w:pPr>
      <w:r w:rsidRPr="00955166">
        <w:rPr>
          <w:rFonts w:ascii="Cambria" w:hAnsi="Cambria"/>
          <w:sz w:val="21"/>
          <w:szCs w:val="21"/>
        </w:rPr>
        <w:t>– Przy większej aktywności na rynku kredytów hipotecznych szczególnego znaczenia nabiera jakość obsługi klienta. K</w:t>
      </w:r>
      <w:r w:rsidR="005A478E">
        <w:rPr>
          <w:rFonts w:ascii="Cambria" w:hAnsi="Cambria"/>
          <w:sz w:val="21"/>
          <w:szCs w:val="21"/>
        </w:rPr>
        <w:t>onsument</w:t>
      </w:r>
      <w:r w:rsidRPr="00955166">
        <w:rPr>
          <w:rFonts w:ascii="Cambria" w:hAnsi="Cambria"/>
          <w:sz w:val="21"/>
          <w:szCs w:val="21"/>
        </w:rPr>
        <w:t xml:space="preserve"> powinien </w:t>
      </w:r>
      <w:r w:rsidR="005A478E">
        <w:rPr>
          <w:rFonts w:ascii="Cambria" w:hAnsi="Cambria"/>
          <w:sz w:val="21"/>
          <w:szCs w:val="21"/>
        </w:rPr>
        <w:t>być świadomy wszystkich</w:t>
      </w:r>
      <w:r w:rsidRPr="00955166">
        <w:rPr>
          <w:rFonts w:ascii="Cambria" w:hAnsi="Cambria"/>
          <w:sz w:val="21"/>
          <w:szCs w:val="21"/>
        </w:rPr>
        <w:t xml:space="preserve"> koszt</w:t>
      </w:r>
      <w:r w:rsidR="005A478E">
        <w:rPr>
          <w:rFonts w:ascii="Cambria" w:hAnsi="Cambria"/>
          <w:sz w:val="21"/>
          <w:szCs w:val="21"/>
        </w:rPr>
        <w:t>ów</w:t>
      </w:r>
      <w:r w:rsidRPr="00955166">
        <w:rPr>
          <w:rFonts w:ascii="Cambria" w:hAnsi="Cambria"/>
          <w:sz w:val="21"/>
          <w:szCs w:val="21"/>
        </w:rPr>
        <w:t xml:space="preserve"> kredytu, warunk</w:t>
      </w:r>
      <w:r w:rsidR="005A478E">
        <w:rPr>
          <w:rFonts w:ascii="Cambria" w:hAnsi="Cambria"/>
          <w:sz w:val="21"/>
          <w:szCs w:val="21"/>
        </w:rPr>
        <w:t>ów</w:t>
      </w:r>
      <w:r w:rsidRPr="00955166">
        <w:rPr>
          <w:rFonts w:ascii="Cambria" w:hAnsi="Cambria"/>
          <w:sz w:val="21"/>
          <w:szCs w:val="21"/>
        </w:rPr>
        <w:t xml:space="preserve"> spłaty i konsekwencj</w:t>
      </w:r>
      <w:r w:rsidR="005A478E">
        <w:rPr>
          <w:rFonts w:ascii="Cambria" w:hAnsi="Cambria"/>
          <w:sz w:val="21"/>
          <w:szCs w:val="21"/>
        </w:rPr>
        <w:t>i</w:t>
      </w:r>
      <w:r w:rsidRPr="00955166">
        <w:rPr>
          <w:rFonts w:ascii="Cambria" w:hAnsi="Cambria"/>
          <w:sz w:val="21"/>
          <w:szCs w:val="21"/>
        </w:rPr>
        <w:t xml:space="preserve"> zobowiązania zaciąganego na wiele lat. To jest obszar, w którym profesjonalny pośrednik </w:t>
      </w:r>
      <w:r w:rsidR="005A478E">
        <w:rPr>
          <w:rFonts w:ascii="Cambria" w:hAnsi="Cambria"/>
          <w:sz w:val="21"/>
          <w:szCs w:val="21"/>
        </w:rPr>
        <w:t xml:space="preserve">kredytowy </w:t>
      </w:r>
      <w:r w:rsidRPr="00955166">
        <w:rPr>
          <w:rFonts w:ascii="Cambria" w:hAnsi="Cambria"/>
          <w:sz w:val="21"/>
          <w:szCs w:val="21"/>
        </w:rPr>
        <w:t xml:space="preserve">pomaga podjąć świadomą decyzję – </w:t>
      </w:r>
      <w:r w:rsidR="005A478E">
        <w:rPr>
          <w:rFonts w:ascii="Cambria" w:hAnsi="Cambria"/>
          <w:sz w:val="21"/>
          <w:szCs w:val="21"/>
        </w:rPr>
        <w:t>podkreśla</w:t>
      </w:r>
      <w:r w:rsidRPr="00955166">
        <w:rPr>
          <w:rFonts w:ascii="Cambria" w:hAnsi="Cambria"/>
          <w:sz w:val="21"/>
          <w:szCs w:val="21"/>
        </w:rPr>
        <w:t xml:space="preserve"> Marcin Czugan, Prezes ZPF.</w:t>
      </w:r>
    </w:p>
    <w:p w14:paraId="34638D33" w14:textId="77777777" w:rsidR="00D30B99" w:rsidRPr="00955166" w:rsidRDefault="00D30B99" w:rsidP="00955166">
      <w:pPr>
        <w:spacing w:line="276" w:lineRule="auto"/>
        <w:jc w:val="both"/>
        <w:rPr>
          <w:rFonts w:ascii="Cambria" w:hAnsi="Cambria"/>
          <w:sz w:val="21"/>
          <w:szCs w:val="21"/>
        </w:rPr>
      </w:pPr>
    </w:p>
    <w:p w14:paraId="7BDDCC96" w14:textId="08B27220" w:rsidR="00955166" w:rsidRPr="008E4919" w:rsidRDefault="008E4919" w:rsidP="00955166">
      <w:pPr>
        <w:spacing w:line="276" w:lineRule="auto"/>
        <w:jc w:val="both"/>
        <w:rPr>
          <w:rFonts w:ascii="Cambria" w:hAnsi="Cambria"/>
          <w:b/>
          <w:bCs/>
          <w:sz w:val="21"/>
          <w:szCs w:val="21"/>
        </w:rPr>
      </w:pPr>
      <w:r w:rsidRPr="008E4919">
        <w:rPr>
          <w:rFonts w:ascii="Cambria" w:hAnsi="Cambria"/>
          <w:b/>
          <w:bCs/>
          <w:sz w:val="21"/>
          <w:szCs w:val="21"/>
        </w:rPr>
        <w:lastRenderedPageBreak/>
        <w:t>Dobre wyniki również w kredytach gotówkowych i firmowych</w:t>
      </w:r>
    </w:p>
    <w:p w14:paraId="28D36465" w14:textId="77777777" w:rsidR="008E4919" w:rsidRPr="00955166" w:rsidRDefault="008E4919" w:rsidP="00955166">
      <w:pPr>
        <w:spacing w:line="276" w:lineRule="auto"/>
        <w:jc w:val="both"/>
        <w:rPr>
          <w:rFonts w:ascii="Cambria" w:hAnsi="Cambria"/>
          <w:sz w:val="21"/>
          <w:szCs w:val="21"/>
        </w:rPr>
      </w:pPr>
    </w:p>
    <w:p w14:paraId="06FE91E7" w14:textId="39C06258" w:rsidR="00955166" w:rsidRPr="00955166" w:rsidRDefault="00955166" w:rsidP="00955166">
      <w:pPr>
        <w:spacing w:line="276" w:lineRule="auto"/>
        <w:jc w:val="both"/>
        <w:rPr>
          <w:rFonts w:ascii="Cambria" w:hAnsi="Cambria"/>
          <w:sz w:val="21"/>
          <w:szCs w:val="21"/>
        </w:rPr>
      </w:pPr>
      <w:r w:rsidRPr="00955166">
        <w:rPr>
          <w:rFonts w:ascii="Cambria" w:hAnsi="Cambria"/>
          <w:sz w:val="21"/>
          <w:szCs w:val="21"/>
        </w:rPr>
        <w:t xml:space="preserve">W II kw. 2026 r. </w:t>
      </w:r>
      <w:r w:rsidR="00AF737A">
        <w:rPr>
          <w:rFonts w:ascii="Cambria" w:hAnsi="Cambria"/>
          <w:sz w:val="21"/>
          <w:szCs w:val="21"/>
        </w:rPr>
        <w:t>firmy</w:t>
      </w:r>
      <w:r w:rsidR="00243E0C" w:rsidRPr="00243E0C">
        <w:rPr>
          <w:rFonts w:ascii="Cambria" w:hAnsi="Cambria"/>
          <w:sz w:val="21"/>
          <w:szCs w:val="21"/>
        </w:rPr>
        <w:t xml:space="preserve"> uczestnicząc</w:t>
      </w:r>
      <w:r w:rsidR="00AF737A">
        <w:rPr>
          <w:rFonts w:ascii="Cambria" w:hAnsi="Cambria"/>
          <w:sz w:val="21"/>
          <w:szCs w:val="21"/>
        </w:rPr>
        <w:t>e</w:t>
      </w:r>
      <w:r w:rsidR="00243E0C" w:rsidRPr="00243E0C">
        <w:rPr>
          <w:rFonts w:ascii="Cambria" w:hAnsi="Cambria"/>
          <w:sz w:val="21"/>
          <w:szCs w:val="21"/>
        </w:rPr>
        <w:t xml:space="preserve"> w badaniu pośredniczy</w:t>
      </w:r>
      <w:r w:rsidR="00AF737A">
        <w:rPr>
          <w:rFonts w:ascii="Cambria" w:hAnsi="Cambria"/>
          <w:sz w:val="21"/>
          <w:szCs w:val="21"/>
        </w:rPr>
        <w:t>ły</w:t>
      </w:r>
      <w:r w:rsidR="00243E0C" w:rsidRPr="00243E0C">
        <w:rPr>
          <w:rFonts w:ascii="Cambria" w:hAnsi="Cambria"/>
          <w:sz w:val="21"/>
          <w:szCs w:val="21"/>
        </w:rPr>
        <w:t xml:space="preserve"> w udzieleniu 20,6 tys. kredytów gotówkowych</w:t>
      </w:r>
      <w:r w:rsidRPr="00955166">
        <w:rPr>
          <w:rFonts w:ascii="Cambria" w:hAnsi="Cambria"/>
          <w:sz w:val="21"/>
          <w:szCs w:val="21"/>
        </w:rPr>
        <w:t xml:space="preserve"> o łącznej wartości 1,36 mld zł. W porównaniu z poprzednim kwartałem oznacza to wzrost wartości o 16,2 proc., a w ujęciu rocznym – o 24,7 proc.</w:t>
      </w:r>
    </w:p>
    <w:p w14:paraId="6F3004AF" w14:textId="77777777" w:rsidR="00955166" w:rsidRPr="00955166" w:rsidRDefault="00955166" w:rsidP="00955166">
      <w:pPr>
        <w:spacing w:line="276" w:lineRule="auto"/>
        <w:jc w:val="both"/>
        <w:rPr>
          <w:rFonts w:ascii="Cambria" w:hAnsi="Cambria"/>
          <w:sz w:val="21"/>
          <w:szCs w:val="21"/>
        </w:rPr>
      </w:pPr>
    </w:p>
    <w:p w14:paraId="2030AF81" w14:textId="0E48DA91" w:rsidR="00955166" w:rsidRPr="00955166" w:rsidRDefault="00955166" w:rsidP="00955166">
      <w:pPr>
        <w:spacing w:line="276" w:lineRule="auto"/>
        <w:jc w:val="both"/>
        <w:rPr>
          <w:rFonts w:ascii="Cambria" w:hAnsi="Cambria"/>
          <w:sz w:val="21"/>
          <w:szCs w:val="21"/>
        </w:rPr>
      </w:pPr>
      <w:r w:rsidRPr="00955166">
        <w:rPr>
          <w:rFonts w:ascii="Cambria" w:hAnsi="Cambria"/>
          <w:sz w:val="21"/>
          <w:szCs w:val="21"/>
        </w:rPr>
        <w:t>W</w:t>
      </w:r>
      <w:r w:rsidR="00956354" w:rsidRPr="00956354">
        <w:rPr>
          <w:rFonts w:ascii="Cambria" w:hAnsi="Cambria"/>
          <w:sz w:val="21"/>
          <w:szCs w:val="21"/>
        </w:rPr>
        <w:t xml:space="preserve"> segmencie finansowania przedsiębiorców pośrednicy uczestniczyli w udzieleniu blisko 3,9 tys. kredytów firmowych</w:t>
      </w:r>
      <w:r w:rsidR="00956354">
        <w:rPr>
          <w:rFonts w:ascii="Cambria" w:hAnsi="Cambria"/>
          <w:sz w:val="21"/>
          <w:szCs w:val="21"/>
        </w:rPr>
        <w:t xml:space="preserve"> </w:t>
      </w:r>
      <w:r w:rsidRPr="00955166">
        <w:rPr>
          <w:rFonts w:ascii="Cambria" w:hAnsi="Cambria"/>
          <w:sz w:val="21"/>
          <w:szCs w:val="21"/>
        </w:rPr>
        <w:t>o łącznej wartości 722,29 mln zł. To o 8,8 proc. więcej niż w I kwartale 2026 r. oraz o 9,2 proc. więcej niż rok wcześniej.</w:t>
      </w:r>
    </w:p>
    <w:p w14:paraId="06C99A25" w14:textId="77777777" w:rsidR="00955166" w:rsidRPr="00955166" w:rsidRDefault="00955166" w:rsidP="00955166">
      <w:pPr>
        <w:spacing w:line="276" w:lineRule="auto"/>
        <w:jc w:val="both"/>
        <w:rPr>
          <w:rFonts w:ascii="Cambria" w:hAnsi="Cambria"/>
          <w:sz w:val="21"/>
          <w:szCs w:val="21"/>
        </w:rPr>
      </w:pPr>
    </w:p>
    <w:p w14:paraId="365120EF" w14:textId="2E3F4C9F" w:rsidR="00955166" w:rsidRDefault="00622C8C" w:rsidP="00955166">
      <w:pPr>
        <w:spacing w:line="276" w:lineRule="auto"/>
        <w:jc w:val="both"/>
        <w:rPr>
          <w:rFonts w:ascii="Cambria" w:hAnsi="Cambria"/>
          <w:sz w:val="21"/>
          <w:szCs w:val="21"/>
        </w:rPr>
      </w:pPr>
      <w:r w:rsidRPr="002166AC">
        <w:rPr>
          <w:rFonts w:ascii="Cambria" w:hAnsi="Cambria"/>
          <w:sz w:val="21"/>
          <w:szCs w:val="21"/>
        </w:rPr>
        <w:t>– Pierwsze półrocze pokazuje rynek w fazie wyraźnego ożywienia, ale nie jest to już wzrost oparty wyłącznie na nowych zakupach mieszkań. Coraz większe znaczenie mają</w:t>
      </w:r>
      <w:r w:rsidR="005152FB">
        <w:rPr>
          <w:rFonts w:ascii="Cambria" w:hAnsi="Cambria"/>
          <w:sz w:val="21"/>
          <w:szCs w:val="21"/>
        </w:rPr>
        <w:t xml:space="preserve"> niedawne decyzje RPP o obniżce stóp procentowych,</w:t>
      </w:r>
      <w:r w:rsidRPr="002166AC">
        <w:rPr>
          <w:rFonts w:ascii="Cambria" w:hAnsi="Cambria"/>
          <w:sz w:val="21"/>
          <w:szCs w:val="21"/>
        </w:rPr>
        <w:t xml:space="preserve"> poprawa zdolności kredytowej części klientów oraz ostrożny powrót firm do finansowania zewnętrznego. </w:t>
      </w:r>
      <w:r w:rsidR="00F63A89" w:rsidRPr="00F63A89">
        <w:rPr>
          <w:rFonts w:ascii="Cambria" w:hAnsi="Cambria"/>
          <w:sz w:val="21"/>
          <w:szCs w:val="21"/>
        </w:rPr>
        <w:t>W drugim półroczu kluczowe będzie utrzymanie korzystnych warunków makroekonomicznych oraz stabilnego popytu na finansowanie zarówno wśród gospodarstw domowych, jak i przedsiębiorców</w:t>
      </w:r>
      <w:r w:rsidR="00105CE0">
        <w:rPr>
          <w:rFonts w:ascii="Cambria" w:hAnsi="Cambria"/>
          <w:sz w:val="21"/>
          <w:szCs w:val="21"/>
        </w:rPr>
        <w:t xml:space="preserve"> </w:t>
      </w:r>
      <w:r w:rsidRPr="002166AC">
        <w:rPr>
          <w:rFonts w:ascii="Cambria" w:hAnsi="Cambria"/>
          <w:sz w:val="21"/>
          <w:szCs w:val="21"/>
        </w:rPr>
        <w:t>– wskazuje Agnieszka Kozioł, Dyrektor Departamentu Raportów i Analiz ZPF.</w:t>
      </w:r>
    </w:p>
    <w:p w14:paraId="2D8B088E" w14:textId="77777777" w:rsidR="00B63F53" w:rsidRPr="00C45823" w:rsidRDefault="00B63F53" w:rsidP="00955166">
      <w:pPr>
        <w:spacing w:line="276" w:lineRule="auto"/>
        <w:jc w:val="both"/>
        <w:rPr>
          <w:rFonts w:ascii="Cambria" w:hAnsi="Cambria"/>
          <w:b/>
          <w:bCs/>
          <w:sz w:val="21"/>
          <w:szCs w:val="21"/>
        </w:rPr>
      </w:pPr>
    </w:p>
    <w:p w14:paraId="7F6E3964" w14:textId="77777777" w:rsidR="00B63F53" w:rsidRPr="00C45823" w:rsidRDefault="00B63F53" w:rsidP="00B63F53">
      <w:pPr>
        <w:spacing w:line="276" w:lineRule="auto"/>
        <w:jc w:val="both"/>
        <w:rPr>
          <w:rFonts w:ascii="Cambria" w:hAnsi="Cambria"/>
          <w:b/>
          <w:bCs/>
          <w:sz w:val="21"/>
          <w:szCs w:val="21"/>
        </w:rPr>
      </w:pPr>
      <w:r w:rsidRPr="00C45823">
        <w:rPr>
          <w:rFonts w:ascii="Cambria" w:hAnsi="Cambria"/>
          <w:b/>
          <w:bCs/>
          <w:sz w:val="21"/>
          <w:szCs w:val="21"/>
        </w:rPr>
        <w:t>Branża spotka się na Kongresie Pośrednictwa Finansowego</w:t>
      </w:r>
    </w:p>
    <w:p w14:paraId="429CC037" w14:textId="77777777" w:rsidR="00B63F53" w:rsidRPr="00B63F53" w:rsidRDefault="00B63F53" w:rsidP="00B63F53">
      <w:pPr>
        <w:spacing w:line="276" w:lineRule="auto"/>
        <w:jc w:val="both"/>
        <w:rPr>
          <w:rFonts w:ascii="Cambria" w:hAnsi="Cambria"/>
          <w:sz w:val="21"/>
          <w:szCs w:val="21"/>
        </w:rPr>
      </w:pPr>
    </w:p>
    <w:p w14:paraId="4AFE782D" w14:textId="3C743B04" w:rsidR="00C45823" w:rsidRDefault="00B63F53" w:rsidP="00B63F53">
      <w:pPr>
        <w:spacing w:line="276" w:lineRule="auto"/>
        <w:jc w:val="both"/>
        <w:rPr>
          <w:rFonts w:ascii="Cambria" w:hAnsi="Cambria"/>
          <w:sz w:val="21"/>
          <w:szCs w:val="21"/>
        </w:rPr>
      </w:pPr>
      <w:r w:rsidRPr="00B63F53">
        <w:rPr>
          <w:rFonts w:ascii="Cambria" w:hAnsi="Cambria"/>
          <w:sz w:val="21"/>
          <w:szCs w:val="21"/>
        </w:rPr>
        <w:t>O kondycji sektora, zmianach regulacyjnych, technologii i przyszłości relacji z klientem przedstawiciele rynku będą rozmawiać podczas XII Kongresu Pośrednictwa Finansowego, który odbędzie się 18–19 listopada 2026 r. w Hotelu Warszawianka w Serocku. Organizowane przez ZPF wydarzenie od lat gromadzi kadrę zarządzającą firm doradztwa i pośrednictwa finansowego, banków, firm ubezpieczeniowych oraz instytucji pożyczkowych. Tegoroczna edycja będzie okazją do dyskusji o tym, jak branża odpowiada na rosnącą aktywność klientów, nowe regulacje, cyfryzację, rozwój AI oraz wyzwania związane z bezpieczeństwem i jakością obsługi.</w:t>
      </w:r>
      <w:r w:rsidR="00C45823">
        <w:rPr>
          <w:rFonts w:ascii="Cambria" w:hAnsi="Cambria"/>
          <w:sz w:val="21"/>
          <w:szCs w:val="21"/>
        </w:rPr>
        <w:t xml:space="preserve"> Program Kongresu Pośrednictwa Finansowego oraz zapisy: </w:t>
      </w:r>
      <w:hyperlink r:id="rId12" w:history="1">
        <w:r w:rsidR="00C45823" w:rsidRPr="00D02018">
          <w:rPr>
            <w:rStyle w:val="Hipercze"/>
            <w:rFonts w:ascii="Cambria" w:hAnsi="Cambria" w:cs="Arial"/>
            <w:sz w:val="21"/>
            <w:szCs w:val="21"/>
          </w:rPr>
          <w:t>https://zpf.pl/kongres-posrednictwa-finansowego/</w:t>
        </w:r>
      </w:hyperlink>
    </w:p>
    <w:p w14:paraId="233D82D2" w14:textId="77777777" w:rsidR="00C45823" w:rsidRDefault="00C45823" w:rsidP="00B63F53">
      <w:pPr>
        <w:spacing w:line="276" w:lineRule="auto"/>
        <w:jc w:val="both"/>
        <w:rPr>
          <w:rFonts w:ascii="Cambria" w:hAnsi="Cambria"/>
          <w:sz w:val="21"/>
          <w:szCs w:val="21"/>
        </w:rPr>
      </w:pPr>
    </w:p>
    <w:p w14:paraId="2600516C" w14:textId="179D2AD5" w:rsidR="00EE4665" w:rsidRPr="00BD221A" w:rsidRDefault="00EE4665" w:rsidP="00EE4665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  <w:r w:rsidRPr="00BD221A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Wyniki pośredników finansowych w I</w:t>
      </w:r>
      <w:r w:rsidR="00BD221A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I</w:t>
      </w:r>
      <w:r w:rsidRPr="00BD221A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 xml:space="preserve"> kw. 202</w:t>
      </w:r>
      <w:r w:rsidR="00026412" w:rsidRPr="00BD221A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6</w:t>
      </w:r>
      <w:r w:rsidRPr="00BD221A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 xml:space="preserve"> r. Komentarze</w:t>
      </w:r>
    </w:p>
    <w:p w14:paraId="56CD0303" w14:textId="77777777" w:rsidR="00894657" w:rsidRPr="00BD221A" w:rsidRDefault="00894657" w:rsidP="00EE4665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0042A53C" w14:textId="2F1255B5" w:rsidR="00185049" w:rsidRDefault="005B5DDC" w:rsidP="00185049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BD221A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Opiniami na temat wyników i kondycji branży pośrednictwa finansowego podzielili się eksperci z firm zrzeszonych w ZPF:</w:t>
      </w:r>
      <w:r w:rsidR="00A63F20" w:rsidRPr="00BD221A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r w:rsidR="00612F3E" w:rsidRPr="00612F3E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ANG Odpowiedzialne Finanse oraz </w:t>
      </w:r>
      <w:proofErr w:type="spellStart"/>
      <w:r w:rsidR="00185049" w:rsidRPr="0018504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Phinance</w:t>
      </w:r>
      <w:proofErr w:type="spellEnd"/>
      <w:r w:rsidR="0018504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.</w:t>
      </w:r>
      <w:r w:rsidR="00185049" w:rsidRPr="0018504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</w:p>
    <w:p w14:paraId="563B4A00" w14:textId="17C9AD84" w:rsidR="00010A32" w:rsidRDefault="00010A32" w:rsidP="00026412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21C50785" w14:textId="04F126F7" w:rsidR="00A43E7F" w:rsidRPr="00A43E7F" w:rsidRDefault="00A43E7F" w:rsidP="00A43E7F">
      <w:pPr>
        <w:rPr>
          <w:rFonts w:asciiTheme="majorHAnsi" w:hAnsiTheme="majorHAnsi" w:cs="Aptos"/>
          <w:b/>
          <w:bCs/>
          <w:color w:val="auto"/>
          <w:sz w:val="21"/>
          <w:szCs w:val="21"/>
        </w:rPr>
      </w:pPr>
      <w:r w:rsidRPr="00A43E7F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Artur Nowak-</w:t>
      </w:r>
      <w:proofErr w:type="spellStart"/>
      <w:r w:rsidRPr="00A43E7F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Gocławski</w:t>
      </w:r>
      <w:proofErr w:type="spellEnd"/>
      <w:r w:rsidRPr="00A43E7F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, Prezes Zarządu</w:t>
      </w:r>
      <w:r w:rsidR="00AA3741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,</w:t>
      </w:r>
      <w:r w:rsidRPr="00A43E7F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 xml:space="preserve"> </w:t>
      </w:r>
      <w:r w:rsidRPr="00A43E7F">
        <w:rPr>
          <w:rFonts w:asciiTheme="majorHAnsi" w:hAnsiTheme="majorHAnsi" w:cs="Helvetica"/>
          <w:b/>
          <w:bCs/>
          <w:sz w:val="21"/>
          <w:szCs w:val="21"/>
        </w:rPr>
        <w:t xml:space="preserve">ANG Odpowiedzialne Finanse </w:t>
      </w:r>
      <w:r w:rsidR="00AA3741">
        <w:rPr>
          <w:rFonts w:asciiTheme="majorHAnsi" w:hAnsiTheme="majorHAnsi" w:cs="Helvetica"/>
          <w:b/>
          <w:bCs/>
          <w:sz w:val="21"/>
          <w:szCs w:val="21"/>
        </w:rPr>
        <w:t>S.A.</w:t>
      </w:r>
    </w:p>
    <w:p w14:paraId="38ECE804" w14:textId="1EBE3DBA" w:rsidR="00A43E7F" w:rsidRPr="00BD221A" w:rsidRDefault="00A43E7F" w:rsidP="00026412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0B938D69" w14:textId="495CAF52" w:rsidR="007C1C84" w:rsidRDefault="00A43E7F" w:rsidP="007C1C84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A43E7F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Po raz kolejny cieszymy się znakomitym, rekordowym kwartałem w sprzedaży kredytów hipotecznych i świetnymi wynikami w pozostałych produktach. Stwarza nam to wszystkim na rynku komfortowe warunki do pracy nad doskonaleniem naszych organizacji, do rozwoju i snucia planów. Nasze firmy powstały dla ludzi, którzy z nami pracują, współpracują i dla ludzi, którzy są naszymi klientami.  I o tym staramy się pamiętać przy każdym podsumowaniu kwartału</w:t>
      </w:r>
      <w:r w:rsidR="006C74F7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,</w:t>
      </w:r>
      <w:r w:rsidRPr="00A43E7F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dziękując im za to.</w:t>
      </w:r>
    </w:p>
    <w:p w14:paraId="4C74449A" w14:textId="77777777" w:rsidR="00185049" w:rsidRDefault="00185049" w:rsidP="007C1C84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7C0E8D96" w14:textId="20DAEFD9" w:rsidR="00185049" w:rsidRPr="00185049" w:rsidRDefault="00185049" w:rsidP="00185049">
      <w:pPr>
        <w:spacing w:line="276" w:lineRule="auto"/>
        <w:jc w:val="both"/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</w:pPr>
      <w:r w:rsidRPr="00185049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 xml:space="preserve">Adam Kasperski, Dyrektor Departamentu Produktów Kredytowych, </w:t>
      </w:r>
      <w:proofErr w:type="spellStart"/>
      <w:r w:rsidRPr="00185049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Phinance</w:t>
      </w:r>
      <w:proofErr w:type="spellEnd"/>
      <w:r w:rsidRPr="00185049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 xml:space="preserve"> </w:t>
      </w:r>
      <w:r w:rsidR="00AA3741">
        <w:rPr>
          <w:rFonts w:asciiTheme="majorHAnsi" w:hAnsiTheme="majorHAnsi" w:cs="Calibri"/>
          <w:b/>
          <w:bCs/>
          <w:iCs/>
          <w:color w:val="auto"/>
          <w:spacing w:val="-2"/>
          <w:sz w:val="21"/>
          <w:szCs w:val="21"/>
        </w:rPr>
        <w:t>S.A.</w:t>
      </w:r>
    </w:p>
    <w:p w14:paraId="67AF58FF" w14:textId="77777777" w:rsidR="00185049" w:rsidRDefault="00185049" w:rsidP="007C1C84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63A6B49D" w14:textId="77777777" w:rsidR="00185049" w:rsidRPr="00185049" w:rsidRDefault="00185049" w:rsidP="00185049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18504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Rynek pośrednictwa finansowego w 2026 roku pozostaje w fazie wyraźnego ożywienia. Rosnąca aktywność klientów, poprawiająca się dostępność finansowania oraz utrzymujący się popyt na kredyty tworzą dobre warunki do dalszego rozwoju rynku. Jednocześnie coraz większego znaczenia nabiera </w:t>
      </w:r>
      <w:r w:rsidRPr="0018504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lastRenderedPageBreak/>
        <w:t>kompleksowa obsługa klienta i możliwość dopasowania rozwiązań do wszystkich jego potrzeb finansowych.</w:t>
      </w:r>
    </w:p>
    <w:p w14:paraId="0D6BD19E" w14:textId="77777777" w:rsidR="00185049" w:rsidRPr="00185049" w:rsidRDefault="00185049" w:rsidP="00185049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18504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</w:p>
    <w:p w14:paraId="7C55410F" w14:textId="3785C274" w:rsidR="00185049" w:rsidRPr="00185049" w:rsidRDefault="00AA3741" w:rsidP="00185049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Drugi kwartał</w:t>
      </w:r>
      <w:r w:rsidR="00185049" w:rsidRPr="0018504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2026</w:t>
      </w:r>
      <w:r w:rsidR="00555AD5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r.</w:t>
      </w:r>
      <w:r w:rsidR="00185049" w:rsidRPr="0018504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był dla </w:t>
      </w:r>
      <w:proofErr w:type="spellStart"/>
      <w:r w:rsidR="00185049" w:rsidRPr="0018504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Phinance</w:t>
      </w:r>
      <w:proofErr w:type="spellEnd"/>
      <w:r w:rsidR="00185049" w:rsidRPr="0018504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kolejnym bardzo mocnym kwartałem i potwierdził, że jako firma skutecznie wykorzystujemy sprzyjające otoczenie rynkowe. Wartość uruchomionego finansowania po raz pierwszy przekroczyła 1 mld zł w kwartale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.</w:t>
      </w:r>
      <w:r w:rsidR="00185049" w:rsidRPr="0018504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Szczególnie dynamicznie rozwija się segment kredytów hipotecznych – w II kwartale odnotowaliśmy wzrost wartości transakcji o blisko 70</w:t>
      </w: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proc.</w:t>
      </w:r>
      <w:r w:rsidR="00185049" w:rsidRPr="0018504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względem analogicznego okresu w roku ubiegłym.</w:t>
      </w:r>
    </w:p>
    <w:p w14:paraId="6DADD229" w14:textId="77777777" w:rsidR="00185049" w:rsidRPr="00185049" w:rsidRDefault="00185049" w:rsidP="00185049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18504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</w:p>
    <w:p w14:paraId="40645685" w14:textId="77777777" w:rsidR="00185049" w:rsidRPr="00185049" w:rsidRDefault="00185049" w:rsidP="00185049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18504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Pozytywnie oceniamy również wyniki pozostałych obszarów działalności. Naszą przewagą jest możliwość dostarczania klientom rozwiązań obejmujących cały obszar ich życia finansowego – od różnych form finansowania, przez ubezpieczenia, oszczędzanie i inwestycje, po leasing oraz zabezpieczenie emerytalne. Cały rynek finansowy w jednym miejscu i z jednej ręki. To podejście pozwala nam budować z klientami długoterminowe relacje i odpowiadać na zmieniające się potrzeby na każdym etapie ich życia.</w:t>
      </w:r>
    </w:p>
    <w:p w14:paraId="367B5188" w14:textId="77777777" w:rsidR="00056263" w:rsidRDefault="00056263" w:rsidP="00185049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2127703D" w14:textId="5965EE7F" w:rsidR="00185049" w:rsidRPr="00185049" w:rsidRDefault="00185049" w:rsidP="00185049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18504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Osiągane wyniki są więc efektem połączenia dobrej koniunktury, rosnącej aktywności naszych klientów oraz konsekwentnej realizacji strategii rozwoju </w:t>
      </w:r>
      <w:proofErr w:type="spellStart"/>
      <w:r w:rsidRPr="0018504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Phinance</w:t>
      </w:r>
      <w:proofErr w:type="spellEnd"/>
      <w:r w:rsidRPr="0018504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. Skala obecnego wzrostu daje nam solidne podstawy, by z optymizmem patrzeć na kolejne kwartały i dalsze umacnianie naszej pozycji na rynku.</w:t>
      </w:r>
    </w:p>
    <w:p w14:paraId="0109967A" w14:textId="77777777" w:rsidR="00185049" w:rsidRPr="00185049" w:rsidRDefault="00185049" w:rsidP="00185049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18504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</w:p>
    <w:p w14:paraId="37162106" w14:textId="59FC22A6" w:rsidR="00185049" w:rsidRPr="00A43E7F" w:rsidRDefault="00185049" w:rsidP="007C1C84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185049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</w:p>
    <w:p w14:paraId="1C0B8571" w14:textId="410C2BB0" w:rsidR="00A753E1" w:rsidRPr="007C1C84" w:rsidRDefault="00A753E1" w:rsidP="00A753E1">
      <w:pPr>
        <w:spacing w:line="276" w:lineRule="auto"/>
        <w:jc w:val="center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***</w:t>
      </w:r>
    </w:p>
    <w:p w14:paraId="45209914" w14:textId="77777777" w:rsidR="00DF31D6" w:rsidRDefault="00DF31D6" w:rsidP="007C1C84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60C64A3B" w14:textId="55CD19FE" w:rsidR="007F1A61" w:rsidRDefault="007F1A61" w:rsidP="007C1C84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7F1A61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W badaniu udział wzięło 7 firm z branży pośrednictwa kredytowego: ANG Odpowiedzialne Finanse, </w:t>
      </w:r>
      <w:proofErr w:type="spellStart"/>
      <w:r w:rsidRPr="007F1A61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Credipass</w:t>
      </w:r>
      <w:proofErr w:type="spellEnd"/>
      <w:r w:rsidRPr="007F1A61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Polska, </w:t>
      </w:r>
      <w:proofErr w:type="spellStart"/>
      <w:r w:rsidRPr="007F1A61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Expander</w:t>
      </w:r>
      <w:proofErr w:type="spellEnd"/>
      <w:r w:rsidRPr="007F1A61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  <w:proofErr w:type="spellStart"/>
      <w:r w:rsidRPr="007F1A61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Advisors</w:t>
      </w:r>
      <w:proofErr w:type="spellEnd"/>
      <w:r w:rsidRPr="007F1A61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, </w:t>
      </w:r>
      <w:proofErr w:type="spellStart"/>
      <w:r w:rsidRPr="007F1A61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Lendi</w:t>
      </w:r>
      <w:proofErr w:type="spellEnd"/>
      <w:r w:rsidRPr="007F1A61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, </w:t>
      </w:r>
      <w:proofErr w:type="spellStart"/>
      <w:r w:rsidRPr="007F1A61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mFinanse</w:t>
      </w:r>
      <w:proofErr w:type="spellEnd"/>
      <w:r w:rsidRPr="007F1A61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, </w:t>
      </w:r>
      <w:proofErr w:type="spellStart"/>
      <w:r w:rsidRPr="007F1A61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Notus</w:t>
      </w:r>
      <w:proofErr w:type="spellEnd"/>
      <w:r w:rsidRPr="007F1A61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Finanse oraz </w:t>
      </w:r>
      <w:proofErr w:type="spellStart"/>
      <w:r w:rsidRPr="007F1A61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Phinance</w:t>
      </w:r>
      <w:proofErr w:type="spellEnd"/>
      <w:r w:rsidRPr="007F1A61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.</w:t>
      </w:r>
    </w:p>
    <w:p w14:paraId="06E3DCCA" w14:textId="77777777" w:rsidR="00010A32" w:rsidRPr="001A0714" w:rsidRDefault="00010A32" w:rsidP="00030024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1BF5E421" w14:textId="59BD407B" w:rsidR="004E2F2D" w:rsidRDefault="004E2F2D" w:rsidP="00F07C63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4E2F2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Więcej o wynikach: </w:t>
      </w:r>
      <w:hyperlink r:id="rId13" w:history="1">
        <w:r w:rsidRPr="003C29F5">
          <w:rPr>
            <w:rStyle w:val="Hipercze"/>
            <w:rFonts w:asciiTheme="majorHAnsi" w:hAnsiTheme="majorHAnsi" w:cs="Calibri"/>
            <w:iCs/>
            <w:spacing w:val="-2"/>
            <w:sz w:val="21"/>
            <w:szCs w:val="21"/>
          </w:rPr>
          <w:t>https://zpf.pl/sektor-posrednictwa-finansowego/</w:t>
        </w:r>
      </w:hyperlink>
      <w:r w:rsidRPr="004E2F2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</w:t>
      </w:r>
    </w:p>
    <w:p w14:paraId="73F5BC5D" w14:textId="77777777" w:rsidR="002820DD" w:rsidRDefault="002820DD" w:rsidP="00F07C63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</w:p>
    <w:p w14:paraId="0384DC86" w14:textId="681A2A87" w:rsidR="007063FA" w:rsidRDefault="00F07C63" w:rsidP="00F07C63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4E2F2D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W przypadku pytań zapraszamy Państwa do kontaktu na adres: </w:t>
      </w:r>
      <w:hyperlink r:id="rId14" w:history="1">
        <w:r w:rsidR="007063FA" w:rsidRPr="003C29F5">
          <w:rPr>
            <w:rStyle w:val="Hipercze"/>
            <w:rFonts w:asciiTheme="majorHAnsi" w:hAnsiTheme="majorHAnsi" w:cs="Calibri"/>
            <w:iCs/>
            <w:spacing w:val="-2"/>
            <w:sz w:val="21"/>
            <w:szCs w:val="21"/>
          </w:rPr>
          <w:t>media@zpf.pl</w:t>
        </w:r>
      </w:hyperlink>
      <w:r w:rsidR="007063FA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>.</w:t>
      </w:r>
      <w:r w:rsidR="00051D41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t xml:space="preserve"> Chętnie udzielimy dodatkowych komentarzy.</w:t>
      </w:r>
    </w:p>
    <w:p w14:paraId="7AAFCDDD" w14:textId="62AF8B6E" w:rsidR="00694013" w:rsidRPr="001A0714" w:rsidRDefault="00CE6077" w:rsidP="00F07C63">
      <w:pPr>
        <w:spacing w:line="276" w:lineRule="auto"/>
        <w:jc w:val="both"/>
        <w:rPr>
          <w:rFonts w:asciiTheme="majorHAnsi" w:hAnsiTheme="majorHAnsi" w:cs="Calibri"/>
          <w:iCs/>
          <w:color w:val="auto"/>
          <w:spacing w:val="-2"/>
          <w:sz w:val="21"/>
          <w:szCs w:val="21"/>
        </w:rPr>
      </w:pPr>
      <w:r w:rsidRPr="001A0714">
        <w:rPr>
          <w:rFonts w:asciiTheme="majorHAnsi" w:hAnsiTheme="majorHAnsi" w:cs="Calibri"/>
          <w:iCs/>
          <w:color w:val="auto"/>
          <w:spacing w:val="-2"/>
          <w:sz w:val="21"/>
          <w:szCs w:val="21"/>
        </w:rPr>
        <w:br/>
      </w:r>
    </w:p>
    <w:p w14:paraId="04A002AF" w14:textId="61638C06" w:rsidR="00045F40" w:rsidRPr="001A0714" w:rsidRDefault="000460C8" w:rsidP="00F04F7F">
      <w:pPr>
        <w:jc w:val="center"/>
        <w:rPr>
          <w:rFonts w:asciiTheme="majorHAnsi" w:hAnsiTheme="majorHAnsi" w:cstheme="minorHAnsi"/>
          <w:sz w:val="21"/>
          <w:szCs w:val="21"/>
        </w:rPr>
      </w:pPr>
      <w:r w:rsidRPr="001A0714">
        <w:rPr>
          <w:rFonts w:asciiTheme="majorHAnsi" w:hAnsiTheme="majorHAnsi" w:cstheme="minorHAnsi"/>
          <w:sz w:val="21"/>
          <w:szCs w:val="21"/>
        </w:rPr>
        <w:t>***</w:t>
      </w:r>
    </w:p>
    <w:p w14:paraId="04A002B0" w14:textId="77777777" w:rsidR="00045F40" w:rsidRPr="001A0714" w:rsidRDefault="00045F40">
      <w:pPr>
        <w:jc w:val="both"/>
        <w:rPr>
          <w:rFonts w:asciiTheme="majorHAnsi" w:hAnsiTheme="majorHAnsi" w:cstheme="minorHAnsi"/>
          <w:sz w:val="22"/>
          <w:szCs w:val="22"/>
        </w:rPr>
      </w:pPr>
    </w:p>
    <w:p w14:paraId="06DE8D91" w14:textId="77777777" w:rsidR="00F04F7F" w:rsidRPr="0065044E" w:rsidRDefault="00F04F7F" w:rsidP="00F04F7F">
      <w:pPr>
        <w:spacing w:line="276" w:lineRule="auto"/>
        <w:jc w:val="both"/>
        <w:rPr>
          <w:rFonts w:ascii="Cambria" w:hAnsi="Cambria"/>
          <w:sz w:val="18"/>
          <w:szCs w:val="18"/>
        </w:rPr>
      </w:pPr>
      <w:r w:rsidRPr="0065044E">
        <w:rPr>
          <w:rFonts w:ascii="Cambria" w:hAnsi="Cambria"/>
          <w:b/>
          <w:bCs/>
          <w:sz w:val="18"/>
          <w:szCs w:val="18"/>
        </w:rPr>
        <w:t>Związek Przedsiębiorstw Finansowych w Polsce</w:t>
      </w:r>
      <w:r w:rsidRPr="0065044E">
        <w:rPr>
          <w:rFonts w:ascii="Cambria" w:hAnsi="Cambria"/>
          <w:sz w:val="18"/>
          <w:szCs w:val="18"/>
        </w:rPr>
        <w:t xml:space="preserve"> (wcześniej Konferencja Przedsiębiorstw Finansowych w Polsce) powstał 27 października 1999 roku i obecnie skupia ponad 110 przedsiębiorstw z wielu sektorów polskiego rynku finansowego, w tym bankowości, zarządzania wierzytelnościami, pośredników finansowych, instytucji pożyczkowych, zarządzających informacją gospodarczą, odwróconej hipoteki w modelu sprzedażowym, </w:t>
      </w:r>
      <w:proofErr w:type="spellStart"/>
      <w:r w:rsidRPr="0065044E">
        <w:rPr>
          <w:rFonts w:ascii="Cambria" w:hAnsi="Cambria"/>
          <w:sz w:val="18"/>
          <w:szCs w:val="18"/>
        </w:rPr>
        <w:t>fintech</w:t>
      </w:r>
      <w:proofErr w:type="spellEnd"/>
      <w:r w:rsidRPr="0065044E">
        <w:rPr>
          <w:rFonts w:ascii="Cambria" w:hAnsi="Cambria"/>
          <w:sz w:val="18"/>
          <w:szCs w:val="18"/>
        </w:rPr>
        <w:t xml:space="preserve">. Jest największą </w:t>
      </w:r>
      <w:proofErr w:type="spellStart"/>
      <w:r w:rsidRPr="0065044E">
        <w:rPr>
          <w:rFonts w:ascii="Cambria" w:hAnsi="Cambria"/>
          <w:sz w:val="18"/>
          <w:szCs w:val="18"/>
        </w:rPr>
        <w:t>multisektorową</w:t>
      </w:r>
      <w:proofErr w:type="spellEnd"/>
      <w:r w:rsidRPr="0065044E">
        <w:rPr>
          <w:rFonts w:ascii="Cambria" w:hAnsi="Cambria"/>
          <w:sz w:val="18"/>
          <w:szCs w:val="18"/>
        </w:rPr>
        <w:t xml:space="preserve"> organizacją podmiotów rynku finansowego w Polsce.</w:t>
      </w:r>
    </w:p>
    <w:p w14:paraId="22E9B637" w14:textId="77777777" w:rsidR="00F04F7F" w:rsidRPr="0065044E" w:rsidRDefault="00F04F7F" w:rsidP="00F04F7F">
      <w:pPr>
        <w:spacing w:line="276" w:lineRule="auto"/>
        <w:jc w:val="both"/>
        <w:rPr>
          <w:rFonts w:ascii="Cambria" w:hAnsi="Cambria"/>
          <w:sz w:val="18"/>
          <w:szCs w:val="18"/>
        </w:rPr>
      </w:pPr>
    </w:p>
    <w:p w14:paraId="7B001AD8" w14:textId="77777777" w:rsidR="00F04F7F" w:rsidRPr="0065044E" w:rsidRDefault="00F04F7F" w:rsidP="00F04F7F">
      <w:pPr>
        <w:spacing w:line="276" w:lineRule="auto"/>
        <w:jc w:val="both"/>
        <w:rPr>
          <w:rFonts w:ascii="Cambria" w:hAnsi="Cambria"/>
          <w:sz w:val="18"/>
          <w:szCs w:val="18"/>
        </w:rPr>
      </w:pPr>
      <w:r w:rsidRPr="0065044E">
        <w:rPr>
          <w:rFonts w:ascii="Cambria" w:hAnsi="Cambria"/>
          <w:sz w:val="18"/>
          <w:szCs w:val="18"/>
        </w:rPr>
        <w:t>Od ponad 25 lat ZPF działa na rzecz rozwoju rynku finansowego w Polsce i podnoszenia standardów etycznych w branży, występuje aktywnie jako partner społeczny w procesach legislacyjnych, a także reprezentuje polskie instytucje finansowe w UE. ZPF to członek dwóch organizacji samorządowych na szczeblu europejskim: EUROFINAS (</w:t>
      </w:r>
      <w:proofErr w:type="spellStart"/>
      <w:r w:rsidRPr="0065044E">
        <w:rPr>
          <w:rFonts w:ascii="Cambria" w:hAnsi="Cambria"/>
          <w:sz w:val="18"/>
          <w:szCs w:val="18"/>
        </w:rPr>
        <w:t>European</w:t>
      </w:r>
      <w:proofErr w:type="spellEnd"/>
      <w:r w:rsidRPr="0065044E">
        <w:rPr>
          <w:rFonts w:ascii="Cambria" w:hAnsi="Cambria"/>
          <w:sz w:val="18"/>
          <w:szCs w:val="18"/>
        </w:rPr>
        <w:t xml:space="preserve"> </w:t>
      </w:r>
      <w:proofErr w:type="spellStart"/>
      <w:r w:rsidRPr="0065044E">
        <w:rPr>
          <w:rFonts w:ascii="Cambria" w:hAnsi="Cambria"/>
          <w:sz w:val="18"/>
          <w:szCs w:val="18"/>
        </w:rPr>
        <w:t>Federation</w:t>
      </w:r>
      <w:proofErr w:type="spellEnd"/>
      <w:r w:rsidRPr="0065044E">
        <w:rPr>
          <w:rFonts w:ascii="Cambria" w:hAnsi="Cambria"/>
          <w:sz w:val="18"/>
          <w:szCs w:val="18"/>
        </w:rPr>
        <w:t xml:space="preserve"> of Finance House </w:t>
      </w:r>
      <w:proofErr w:type="spellStart"/>
      <w:r w:rsidRPr="0065044E">
        <w:rPr>
          <w:rFonts w:ascii="Cambria" w:hAnsi="Cambria"/>
          <w:sz w:val="18"/>
          <w:szCs w:val="18"/>
        </w:rPr>
        <w:t>Associations</w:t>
      </w:r>
      <w:proofErr w:type="spellEnd"/>
      <w:r w:rsidRPr="0065044E">
        <w:rPr>
          <w:rFonts w:ascii="Cambria" w:hAnsi="Cambria"/>
          <w:sz w:val="18"/>
          <w:szCs w:val="18"/>
        </w:rPr>
        <w:t>), zrzeszającej instytucje związane z rynkiem kredytu konsumenckiego w Europie oraz FENCA (</w:t>
      </w:r>
      <w:proofErr w:type="spellStart"/>
      <w:r w:rsidRPr="0065044E">
        <w:rPr>
          <w:rFonts w:ascii="Cambria" w:hAnsi="Cambria"/>
          <w:sz w:val="18"/>
          <w:szCs w:val="18"/>
        </w:rPr>
        <w:t>Federation</w:t>
      </w:r>
      <w:proofErr w:type="spellEnd"/>
      <w:r w:rsidRPr="0065044E">
        <w:rPr>
          <w:rFonts w:ascii="Cambria" w:hAnsi="Cambria"/>
          <w:sz w:val="18"/>
          <w:szCs w:val="18"/>
        </w:rPr>
        <w:t xml:space="preserve"> of </w:t>
      </w:r>
      <w:proofErr w:type="spellStart"/>
      <w:r w:rsidRPr="0065044E">
        <w:rPr>
          <w:rFonts w:ascii="Cambria" w:hAnsi="Cambria"/>
          <w:sz w:val="18"/>
          <w:szCs w:val="18"/>
        </w:rPr>
        <w:t>European</w:t>
      </w:r>
      <w:proofErr w:type="spellEnd"/>
      <w:r w:rsidRPr="0065044E">
        <w:rPr>
          <w:rFonts w:ascii="Cambria" w:hAnsi="Cambria"/>
          <w:sz w:val="18"/>
          <w:szCs w:val="18"/>
        </w:rPr>
        <w:t xml:space="preserve"> </w:t>
      </w:r>
      <w:proofErr w:type="spellStart"/>
      <w:r w:rsidRPr="0065044E">
        <w:rPr>
          <w:rFonts w:ascii="Cambria" w:hAnsi="Cambria"/>
          <w:sz w:val="18"/>
          <w:szCs w:val="18"/>
        </w:rPr>
        <w:t>National</w:t>
      </w:r>
      <w:proofErr w:type="spellEnd"/>
      <w:r w:rsidRPr="0065044E">
        <w:rPr>
          <w:rFonts w:ascii="Cambria" w:hAnsi="Cambria"/>
          <w:sz w:val="18"/>
          <w:szCs w:val="18"/>
        </w:rPr>
        <w:t xml:space="preserve"> Collection </w:t>
      </w:r>
      <w:proofErr w:type="spellStart"/>
      <w:r w:rsidRPr="0065044E">
        <w:rPr>
          <w:rFonts w:ascii="Cambria" w:hAnsi="Cambria"/>
          <w:sz w:val="18"/>
          <w:szCs w:val="18"/>
        </w:rPr>
        <w:t>Associations</w:t>
      </w:r>
      <w:proofErr w:type="spellEnd"/>
      <w:r w:rsidRPr="0065044E">
        <w:rPr>
          <w:rFonts w:ascii="Cambria" w:hAnsi="Cambria"/>
          <w:sz w:val="18"/>
          <w:szCs w:val="18"/>
        </w:rPr>
        <w:t>), która reprezentuje interesy sektora zarządzania wierzytelnościami w Europie.</w:t>
      </w:r>
    </w:p>
    <w:p w14:paraId="4E12B985" w14:textId="77777777" w:rsidR="00F04F7F" w:rsidRPr="0065044E" w:rsidRDefault="00F04F7F" w:rsidP="00F04F7F">
      <w:pPr>
        <w:spacing w:line="276" w:lineRule="auto"/>
        <w:jc w:val="both"/>
        <w:rPr>
          <w:rFonts w:ascii="Cambria" w:hAnsi="Cambria"/>
          <w:sz w:val="18"/>
          <w:szCs w:val="18"/>
        </w:rPr>
      </w:pPr>
    </w:p>
    <w:p w14:paraId="3F63F045" w14:textId="77777777" w:rsidR="00F04F7F" w:rsidRPr="0065044E" w:rsidRDefault="00F04F7F" w:rsidP="00F04F7F">
      <w:pPr>
        <w:spacing w:line="276" w:lineRule="auto"/>
        <w:jc w:val="both"/>
        <w:rPr>
          <w:rFonts w:ascii="Cambria" w:hAnsi="Cambria"/>
          <w:sz w:val="18"/>
          <w:szCs w:val="18"/>
        </w:rPr>
      </w:pPr>
      <w:r w:rsidRPr="0065044E">
        <w:rPr>
          <w:rFonts w:ascii="Cambria" w:hAnsi="Cambria"/>
          <w:sz w:val="18"/>
          <w:szCs w:val="18"/>
        </w:rPr>
        <w:t xml:space="preserve">ZPF ma w swoim dorobku badawczym kilkaset raportów branżowych. Jest też organizatorem kongresów, </w:t>
      </w:r>
      <w:proofErr w:type="spellStart"/>
      <w:r w:rsidRPr="0065044E">
        <w:rPr>
          <w:rFonts w:ascii="Cambria" w:hAnsi="Cambria"/>
          <w:sz w:val="18"/>
          <w:szCs w:val="18"/>
        </w:rPr>
        <w:t>webinarów</w:t>
      </w:r>
      <w:proofErr w:type="spellEnd"/>
      <w:r w:rsidRPr="0065044E">
        <w:rPr>
          <w:rFonts w:ascii="Cambria" w:hAnsi="Cambria"/>
          <w:sz w:val="18"/>
          <w:szCs w:val="18"/>
        </w:rPr>
        <w:t xml:space="preserve"> i innych inicjatyw dla branży finansowej.</w:t>
      </w:r>
    </w:p>
    <w:p w14:paraId="04A002B8" w14:textId="77777777" w:rsidR="00045F40" w:rsidRPr="001A0714" w:rsidRDefault="00045F40">
      <w:pPr>
        <w:jc w:val="both"/>
        <w:rPr>
          <w:rFonts w:asciiTheme="majorHAnsi" w:hAnsiTheme="majorHAnsi"/>
        </w:rPr>
      </w:pPr>
    </w:p>
    <w:p w14:paraId="04A002B9" w14:textId="77777777" w:rsidR="00045F40" w:rsidRPr="001A0714" w:rsidRDefault="000460C8">
      <w:pPr>
        <w:jc w:val="both"/>
        <w:rPr>
          <w:rFonts w:asciiTheme="majorHAnsi" w:hAnsiTheme="majorHAnsi"/>
          <w:b/>
          <w:color w:val="000090"/>
          <w:sz w:val="16"/>
          <w:szCs w:val="18"/>
        </w:rPr>
      </w:pPr>
      <w:r w:rsidRPr="001A0714">
        <w:rPr>
          <w:rFonts w:asciiTheme="majorHAnsi" w:hAnsiTheme="majorHAnsi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4A002C2" wp14:editId="3DAC36BB">
            <wp:simplePos x="0" y="0"/>
            <wp:positionH relativeFrom="margin">
              <wp:align>left</wp:align>
            </wp:positionH>
            <wp:positionV relativeFrom="paragraph">
              <wp:posOffset>74930</wp:posOffset>
            </wp:positionV>
            <wp:extent cx="252095" cy="252095"/>
            <wp:effectExtent l="0" t="0" r="0" b="0"/>
            <wp:wrapSquare wrapText="bothSides"/>
            <wp:docPr id="3" name="Obraz 3" descr="Obraz zawierający tekst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, clipar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A002BB" w14:textId="4D4087B1" w:rsidR="00045F40" w:rsidRPr="001A0714" w:rsidRDefault="000460C8" w:rsidP="00E67710">
      <w:pPr>
        <w:jc w:val="both"/>
        <w:rPr>
          <w:rStyle w:val="Hipercze"/>
          <w:rFonts w:asciiTheme="majorHAnsi" w:hAnsiTheme="majorHAnsi"/>
          <w:sz w:val="16"/>
          <w:szCs w:val="18"/>
        </w:rPr>
      </w:pPr>
      <w:hyperlink r:id="rId16" w:history="1">
        <w:r w:rsidRPr="001A0714">
          <w:rPr>
            <w:rStyle w:val="Hipercze"/>
            <w:rFonts w:asciiTheme="majorHAnsi" w:hAnsiTheme="majorHAnsi"/>
            <w:sz w:val="16"/>
            <w:szCs w:val="18"/>
          </w:rPr>
          <w:t>http://www.linkedin.com/company/zpf</w:t>
        </w:r>
      </w:hyperlink>
      <w:bookmarkEnd w:id="0"/>
    </w:p>
    <w:p w14:paraId="06FA49EC" w14:textId="77777777" w:rsidR="00337009" w:rsidRPr="001A0714" w:rsidRDefault="00337009" w:rsidP="00E67710">
      <w:pPr>
        <w:jc w:val="both"/>
        <w:rPr>
          <w:rStyle w:val="Hipercze"/>
          <w:rFonts w:asciiTheme="majorHAnsi" w:hAnsiTheme="majorHAnsi"/>
          <w:sz w:val="16"/>
          <w:szCs w:val="18"/>
        </w:rPr>
      </w:pPr>
    </w:p>
    <w:p w14:paraId="56D58EA9" w14:textId="77777777" w:rsidR="00337009" w:rsidRPr="001A0714" w:rsidRDefault="00337009" w:rsidP="00E67710">
      <w:pPr>
        <w:jc w:val="both"/>
        <w:rPr>
          <w:rStyle w:val="Hipercze"/>
          <w:rFonts w:asciiTheme="majorHAnsi" w:hAnsiTheme="majorHAnsi"/>
          <w:sz w:val="16"/>
          <w:szCs w:val="18"/>
        </w:rPr>
      </w:pPr>
    </w:p>
    <w:p w14:paraId="6CC87F18" w14:textId="1C084251" w:rsidR="00337009" w:rsidRPr="001A0714" w:rsidRDefault="00337009" w:rsidP="00E67710">
      <w:pPr>
        <w:jc w:val="both"/>
        <w:rPr>
          <w:rFonts w:asciiTheme="majorHAnsi" w:hAnsiTheme="majorHAnsi"/>
          <w:iCs/>
          <w:color w:val="auto"/>
          <w:spacing w:val="-2"/>
          <w:sz w:val="21"/>
          <w:szCs w:val="21"/>
        </w:rPr>
      </w:pPr>
      <w:r w:rsidRPr="001A0714">
        <w:rPr>
          <w:noProof/>
        </w:rPr>
        <w:drawing>
          <wp:inline distT="0" distB="0" distL="0" distR="0" wp14:anchorId="03E4E4B0" wp14:editId="7F25DD72">
            <wp:extent cx="2369820" cy="601980"/>
            <wp:effectExtent l="0" t="0" r="0" b="7620"/>
            <wp:docPr id="117099482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002BC" w14:textId="77777777" w:rsidR="00045F40" w:rsidRDefault="00045F40">
      <w:pPr>
        <w:spacing w:line="276" w:lineRule="auto"/>
        <w:jc w:val="both"/>
        <w:rPr>
          <w:rFonts w:asciiTheme="majorHAnsi" w:hAnsiTheme="majorHAnsi"/>
          <w:iCs/>
          <w:color w:val="auto"/>
          <w:spacing w:val="-2"/>
          <w:sz w:val="21"/>
          <w:szCs w:val="21"/>
        </w:rPr>
      </w:pPr>
    </w:p>
    <w:sectPr w:rsidR="00045F40">
      <w:headerReference w:type="default" r:id="rId18"/>
      <w:footerReference w:type="default" r:id="rId19"/>
      <w:type w:val="continuous"/>
      <w:pgSz w:w="11906" w:h="16838"/>
      <w:pgMar w:top="1843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9C209" w14:textId="77777777" w:rsidR="0024196C" w:rsidRPr="001A0714" w:rsidRDefault="0024196C">
      <w:r w:rsidRPr="001A0714">
        <w:separator/>
      </w:r>
    </w:p>
    <w:p w14:paraId="4BB5BBCB" w14:textId="77777777" w:rsidR="0024196C" w:rsidRPr="001A0714" w:rsidRDefault="0024196C"/>
  </w:endnote>
  <w:endnote w:type="continuationSeparator" w:id="0">
    <w:p w14:paraId="0A14366F" w14:textId="77777777" w:rsidR="0024196C" w:rsidRPr="001A0714" w:rsidRDefault="0024196C">
      <w:r w:rsidRPr="001A0714">
        <w:continuationSeparator/>
      </w:r>
    </w:p>
    <w:p w14:paraId="4478E4E4" w14:textId="77777777" w:rsidR="0024196C" w:rsidRPr="001A0714" w:rsidRDefault="002419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  <w:sz w:val="18"/>
        <w:szCs w:val="18"/>
      </w:rPr>
      <w:id w:val="-50545918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/>
            <w:sz w:val="18"/>
            <w:szCs w:val="18"/>
          </w:rPr>
          <w:id w:val="-1329895559"/>
          <w:docPartObj>
            <w:docPartGallery w:val="Page Numbers (Top of Page)"/>
            <w:docPartUnique/>
          </w:docPartObj>
        </w:sdtPr>
        <w:sdtContent>
          <w:p w14:paraId="04A002CD" w14:textId="77777777" w:rsidR="00045F40" w:rsidRPr="001A0714" w:rsidRDefault="000460C8">
            <w:pPr>
              <w:pStyle w:val="Stopka"/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1A0714">
              <w:rPr>
                <w:rFonts w:asciiTheme="majorHAnsi" w:hAnsiTheme="majorHAnsi"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04A002D0" wp14:editId="04A002D1">
                  <wp:simplePos x="0" y="0"/>
                  <wp:positionH relativeFrom="column">
                    <wp:posOffset>-900430</wp:posOffset>
                  </wp:positionH>
                  <wp:positionV relativeFrom="paragraph">
                    <wp:posOffset>-178435</wp:posOffset>
                  </wp:positionV>
                  <wp:extent cx="5732145" cy="748030"/>
                  <wp:effectExtent l="0" t="0" r="0" b="0"/>
                  <wp:wrapNone/>
                  <wp:docPr id="10" name="Obraz 10" descr="D:\Dokumenty KPF\GRAFIKA\_ZPF_Identyfikacja wizualna\ZPF_DOKUMENTY\ZPF_stopka-bez-eur-2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kumenty KPF\GRAFIKA\_ZPF_Identyfikacja wizualna\ZPF_DOKUMENTY\ZPF_stopka-bez-eur-25.wm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2" t="-3" r="30226" b="3160"/>
                          <a:stretch/>
                        </pic:blipFill>
                        <pic:spPr bwMode="auto">
                          <a:xfrm>
                            <a:off x="0" y="0"/>
                            <a:ext cx="5732145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0714">
              <w:rPr>
                <w:rFonts w:asciiTheme="majorHAnsi" w:hAnsiTheme="majorHAnsi"/>
                <w:sz w:val="18"/>
                <w:szCs w:val="18"/>
              </w:rPr>
              <w:t xml:space="preserve">Strona </w:t>
            </w:r>
            <w:r w:rsidRPr="001A0714"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 w:rsidRPr="001A0714">
              <w:rPr>
                <w:rFonts w:asciiTheme="majorHAnsi" w:hAnsiTheme="majorHAnsi"/>
                <w:sz w:val="18"/>
                <w:szCs w:val="18"/>
              </w:rPr>
              <w:instrText>PAGE</w:instrText>
            </w:r>
            <w:r w:rsidRPr="001A0714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1A0714">
              <w:rPr>
                <w:rFonts w:asciiTheme="majorHAnsi" w:hAnsiTheme="majorHAnsi"/>
                <w:sz w:val="18"/>
                <w:szCs w:val="18"/>
              </w:rPr>
              <w:t>3</w:t>
            </w:r>
            <w:r w:rsidRPr="001A0714">
              <w:rPr>
                <w:rFonts w:asciiTheme="majorHAnsi" w:hAnsiTheme="majorHAnsi"/>
                <w:sz w:val="18"/>
                <w:szCs w:val="18"/>
              </w:rPr>
              <w:fldChar w:fldCharType="end"/>
            </w:r>
            <w:r w:rsidRPr="001A0714">
              <w:rPr>
                <w:rFonts w:asciiTheme="majorHAnsi" w:hAnsiTheme="majorHAnsi"/>
                <w:sz w:val="18"/>
                <w:szCs w:val="18"/>
              </w:rPr>
              <w:t xml:space="preserve"> z </w:t>
            </w:r>
            <w:r w:rsidRPr="001A0714">
              <w:rPr>
                <w:rFonts w:asciiTheme="majorHAnsi" w:hAnsiTheme="majorHAnsi"/>
                <w:sz w:val="18"/>
                <w:szCs w:val="18"/>
              </w:rPr>
              <w:fldChar w:fldCharType="begin"/>
            </w:r>
            <w:r w:rsidRPr="001A0714">
              <w:rPr>
                <w:rFonts w:asciiTheme="majorHAnsi" w:hAnsiTheme="majorHAnsi"/>
                <w:sz w:val="18"/>
                <w:szCs w:val="18"/>
              </w:rPr>
              <w:instrText>NUMPAGES</w:instrText>
            </w:r>
            <w:r w:rsidRPr="001A0714">
              <w:rPr>
                <w:rFonts w:asciiTheme="majorHAnsi" w:hAnsiTheme="majorHAnsi"/>
                <w:sz w:val="18"/>
                <w:szCs w:val="18"/>
              </w:rPr>
              <w:fldChar w:fldCharType="separate"/>
            </w:r>
            <w:r w:rsidRPr="001A0714">
              <w:rPr>
                <w:rFonts w:asciiTheme="majorHAnsi" w:hAnsiTheme="majorHAnsi"/>
                <w:sz w:val="18"/>
                <w:szCs w:val="18"/>
              </w:rPr>
              <w:t>3</w:t>
            </w:r>
            <w:r w:rsidRPr="001A0714">
              <w:rPr>
                <w:rFonts w:asciiTheme="majorHAnsi" w:hAnsiTheme="majorHAnsi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19AFA" w14:textId="77777777" w:rsidR="0024196C" w:rsidRPr="001A0714" w:rsidRDefault="0024196C">
      <w:r w:rsidRPr="001A0714">
        <w:separator/>
      </w:r>
    </w:p>
    <w:p w14:paraId="73D36666" w14:textId="77777777" w:rsidR="0024196C" w:rsidRPr="001A0714" w:rsidRDefault="0024196C"/>
  </w:footnote>
  <w:footnote w:type="continuationSeparator" w:id="0">
    <w:p w14:paraId="4134F67D" w14:textId="77777777" w:rsidR="0024196C" w:rsidRPr="001A0714" w:rsidRDefault="0024196C">
      <w:r w:rsidRPr="001A0714">
        <w:continuationSeparator/>
      </w:r>
    </w:p>
    <w:p w14:paraId="27E0E17E" w14:textId="77777777" w:rsidR="0024196C" w:rsidRPr="001A0714" w:rsidRDefault="002419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002CC" w14:textId="77777777" w:rsidR="00045F40" w:rsidRPr="001A0714" w:rsidRDefault="000460C8">
    <w:pPr>
      <w:pStyle w:val="Nagwek"/>
    </w:pPr>
    <w:r w:rsidRPr="001A0714">
      <w:rPr>
        <w:rFonts w:asciiTheme="minorHAnsi" w:hAnsiTheme="minorHAnsi"/>
        <w:noProof/>
        <w:color w:val="1C2442"/>
      </w:rPr>
      <w:drawing>
        <wp:inline distT="0" distB="0" distL="0" distR="0" wp14:anchorId="04A002CE" wp14:editId="04A002CF">
          <wp:extent cx="1963973" cy="461729"/>
          <wp:effectExtent l="0" t="0" r="0" b="0"/>
          <wp:docPr id="9" name="Obraz 9" descr="D:\Dokumenty KPF\GRAFIKA\_ZPF_Identyfikacja wizualna\logo-zpf-wmf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nty KPF\GRAFIKA\_ZPF_Identyfikacja wizualna\logo-zpf-wmf.w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095" cy="463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6A623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8547E"/>
    <w:multiLevelType w:val="hybridMultilevel"/>
    <w:tmpl w:val="4B90207E"/>
    <w:lvl w:ilvl="0" w:tplc="D0F4C6A0">
      <w:start w:val="1"/>
      <w:numFmt w:val="decimal"/>
      <w:lvlText w:val="%1."/>
      <w:lvlJc w:val="left"/>
      <w:pPr>
        <w:ind w:left="1020" w:hanging="360"/>
      </w:pPr>
    </w:lvl>
    <w:lvl w:ilvl="1" w:tplc="801C42F2">
      <w:start w:val="1"/>
      <w:numFmt w:val="decimal"/>
      <w:lvlText w:val="%2."/>
      <w:lvlJc w:val="left"/>
      <w:pPr>
        <w:ind w:left="1020" w:hanging="360"/>
      </w:pPr>
    </w:lvl>
    <w:lvl w:ilvl="2" w:tplc="BD1A3CC4">
      <w:start w:val="1"/>
      <w:numFmt w:val="decimal"/>
      <w:lvlText w:val="%3."/>
      <w:lvlJc w:val="left"/>
      <w:pPr>
        <w:ind w:left="1020" w:hanging="360"/>
      </w:pPr>
    </w:lvl>
    <w:lvl w:ilvl="3" w:tplc="7BF25AB2">
      <w:start w:val="1"/>
      <w:numFmt w:val="decimal"/>
      <w:lvlText w:val="%4."/>
      <w:lvlJc w:val="left"/>
      <w:pPr>
        <w:ind w:left="1020" w:hanging="360"/>
      </w:pPr>
    </w:lvl>
    <w:lvl w:ilvl="4" w:tplc="CC78D45E">
      <w:start w:val="1"/>
      <w:numFmt w:val="decimal"/>
      <w:lvlText w:val="%5."/>
      <w:lvlJc w:val="left"/>
      <w:pPr>
        <w:ind w:left="1020" w:hanging="360"/>
      </w:pPr>
    </w:lvl>
    <w:lvl w:ilvl="5" w:tplc="925A1672">
      <w:start w:val="1"/>
      <w:numFmt w:val="decimal"/>
      <w:lvlText w:val="%6."/>
      <w:lvlJc w:val="left"/>
      <w:pPr>
        <w:ind w:left="1020" w:hanging="360"/>
      </w:pPr>
    </w:lvl>
    <w:lvl w:ilvl="6" w:tplc="626E8610">
      <w:start w:val="1"/>
      <w:numFmt w:val="decimal"/>
      <w:lvlText w:val="%7."/>
      <w:lvlJc w:val="left"/>
      <w:pPr>
        <w:ind w:left="1020" w:hanging="360"/>
      </w:pPr>
    </w:lvl>
    <w:lvl w:ilvl="7" w:tplc="A894B44A">
      <w:start w:val="1"/>
      <w:numFmt w:val="decimal"/>
      <w:lvlText w:val="%8."/>
      <w:lvlJc w:val="left"/>
      <w:pPr>
        <w:ind w:left="1020" w:hanging="360"/>
      </w:pPr>
    </w:lvl>
    <w:lvl w:ilvl="8" w:tplc="FBA6DB80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07062590"/>
    <w:multiLevelType w:val="multilevel"/>
    <w:tmpl w:val="9D625442"/>
    <w:lvl w:ilvl="0">
      <w:start w:val="13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1">
      <w:start w:val="15"/>
      <w:numFmt w:val="decimal"/>
      <w:lvlText w:val="%1.%2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30"/>
        </w:tabs>
        <w:ind w:left="2130" w:hanging="213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 w15:restartNumberingAfterBreak="0">
    <w:nsid w:val="102D4F5F"/>
    <w:multiLevelType w:val="hybridMultilevel"/>
    <w:tmpl w:val="536E1742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42ADE"/>
    <w:multiLevelType w:val="multilevel"/>
    <w:tmpl w:val="99E44FEA"/>
    <w:lvl w:ilvl="0">
      <w:start w:val="12"/>
      <w:numFmt w:val="decimal"/>
      <w:lvlText w:val="%1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1">
      <w:start w:val="30"/>
      <w:numFmt w:val="decimal"/>
      <w:lvlText w:val="%1.%2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</w:abstractNum>
  <w:abstractNum w:abstractNumId="5" w15:restartNumberingAfterBreak="0">
    <w:nsid w:val="18A65DD3"/>
    <w:multiLevelType w:val="multilevel"/>
    <w:tmpl w:val="83B08D02"/>
    <w:lvl w:ilvl="0">
      <w:start w:val="12"/>
      <w:numFmt w:val="decimal"/>
      <w:lvlText w:val="%1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1">
      <w:start w:val="40"/>
      <w:numFmt w:val="decimal"/>
      <w:lvlText w:val="%1.%2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75"/>
        </w:tabs>
        <w:ind w:left="2175" w:hanging="2175"/>
      </w:pPr>
      <w:rPr>
        <w:rFonts w:cs="Times New Roman" w:hint="default"/>
      </w:rPr>
    </w:lvl>
  </w:abstractNum>
  <w:abstractNum w:abstractNumId="6" w15:restartNumberingAfterBreak="0">
    <w:nsid w:val="19A05079"/>
    <w:multiLevelType w:val="hybridMultilevel"/>
    <w:tmpl w:val="144AA0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CCF6739"/>
    <w:multiLevelType w:val="hybridMultilevel"/>
    <w:tmpl w:val="97F631AC"/>
    <w:lvl w:ilvl="0" w:tplc="04150005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488"/>
        </w:tabs>
        <w:ind w:left="74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208"/>
        </w:tabs>
        <w:ind w:left="82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928"/>
        </w:tabs>
        <w:ind w:left="8928" w:hanging="360"/>
      </w:pPr>
      <w:rPr>
        <w:rFonts w:ascii="Wingdings" w:hAnsi="Wingdings" w:hint="default"/>
      </w:rPr>
    </w:lvl>
  </w:abstractNum>
  <w:abstractNum w:abstractNumId="8" w15:restartNumberingAfterBreak="0">
    <w:nsid w:val="2DE145CD"/>
    <w:multiLevelType w:val="multilevel"/>
    <w:tmpl w:val="F466950E"/>
    <w:lvl w:ilvl="0">
      <w:start w:val="1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0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11C2A52"/>
    <w:multiLevelType w:val="hybridMultilevel"/>
    <w:tmpl w:val="8020C6DE"/>
    <w:lvl w:ilvl="0" w:tplc="C352CB40">
      <w:start w:val="1"/>
      <w:numFmt w:val="decimal"/>
      <w:lvlText w:val="%1."/>
      <w:lvlJc w:val="left"/>
      <w:pPr>
        <w:ind w:left="1020" w:hanging="360"/>
      </w:pPr>
    </w:lvl>
    <w:lvl w:ilvl="1" w:tplc="E512847C">
      <w:start w:val="1"/>
      <w:numFmt w:val="decimal"/>
      <w:lvlText w:val="%2."/>
      <w:lvlJc w:val="left"/>
      <w:pPr>
        <w:ind w:left="1020" w:hanging="360"/>
      </w:pPr>
    </w:lvl>
    <w:lvl w:ilvl="2" w:tplc="19CAAC44">
      <w:start w:val="1"/>
      <w:numFmt w:val="decimal"/>
      <w:lvlText w:val="%3."/>
      <w:lvlJc w:val="left"/>
      <w:pPr>
        <w:ind w:left="1020" w:hanging="360"/>
      </w:pPr>
    </w:lvl>
    <w:lvl w:ilvl="3" w:tplc="2EC48F8E">
      <w:start w:val="1"/>
      <w:numFmt w:val="decimal"/>
      <w:lvlText w:val="%4."/>
      <w:lvlJc w:val="left"/>
      <w:pPr>
        <w:ind w:left="1020" w:hanging="360"/>
      </w:pPr>
    </w:lvl>
    <w:lvl w:ilvl="4" w:tplc="BB7C07A4">
      <w:start w:val="1"/>
      <w:numFmt w:val="decimal"/>
      <w:lvlText w:val="%5."/>
      <w:lvlJc w:val="left"/>
      <w:pPr>
        <w:ind w:left="1020" w:hanging="360"/>
      </w:pPr>
    </w:lvl>
    <w:lvl w:ilvl="5" w:tplc="89A4F9FC">
      <w:start w:val="1"/>
      <w:numFmt w:val="decimal"/>
      <w:lvlText w:val="%6."/>
      <w:lvlJc w:val="left"/>
      <w:pPr>
        <w:ind w:left="1020" w:hanging="360"/>
      </w:pPr>
    </w:lvl>
    <w:lvl w:ilvl="6" w:tplc="02748196">
      <w:start w:val="1"/>
      <w:numFmt w:val="decimal"/>
      <w:lvlText w:val="%7."/>
      <w:lvlJc w:val="left"/>
      <w:pPr>
        <w:ind w:left="1020" w:hanging="360"/>
      </w:pPr>
    </w:lvl>
    <w:lvl w:ilvl="7" w:tplc="FC44468C">
      <w:start w:val="1"/>
      <w:numFmt w:val="decimal"/>
      <w:lvlText w:val="%8."/>
      <w:lvlJc w:val="left"/>
      <w:pPr>
        <w:ind w:left="1020" w:hanging="360"/>
      </w:pPr>
    </w:lvl>
    <w:lvl w:ilvl="8" w:tplc="C16A83D2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33836AD8"/>
    <w:multiLevelType w:val="hybridMultilevel"/>
    <w:tmpl w:val="3A38EBA8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383E6AD8"/>
    <w:multiLevelType w:val="hybridMultilevel"/>
    <w:tmpl w:val="398AC8E4"/>
    <w:lvl w:ilvl="0" w:tplc="7BA008B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F334E18"/>
    <w:multiLevelType w:val="multilevel"/>
    <w:tmpl w:val="849862FE"/>
    <w:lvl w:ilvl="0">
      <w:start w:val="15"/>
      <w:numFmt w:val="decimal"/>
      <w:lvlText w:val="%1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1">
      <w:start w:val="45"/>
      <w:numFmt w:val="decimal"/>
      <w:lvlText w:val="%1.%2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2">
      <w:start w:val="1"/>
      <w:numFmt w:val="decimal"/>
      <w:lvlText w:val="%1.%2.%3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3">
      <w:start w:val="1"/>
      <w:numFmt w:val="decimal"/>
      <w:lvlText w:val="%1.%2.%3.%4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4">
      <w:start w:val="1"/>
      <w:numFmt w:val="decimal"/>
      <w:lvlText w:val="%1.%2.%3.%4.%5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5">
      <w:start w:val="1"/>
      <w:numFmt w:val="decimal"/>
      <w:lvlText w:val="%1.%2.%3.%4.%5.%6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6">
      <w:start w:val="1"/>
      <w:numFmt w:val="decimal"/>
      <w:lvlText w:val="%1.%2.%3.%4.%5.%6.%7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7">
      <w:start w:val="1"/>
      <w:numFmt w:val="decimal"/>
      <w:lvlText w:val="%1.%2.%3.%4.%5.%6.%7.%8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  <w:lvl w:ilvl="8">
      <w:start w:val="1"/>
      <w:numFmt w:val="decimal"/>
      <w:lvlText w:val="%1.%2.%3.%4.%5.%6.%7.%8.%9"/>
      <w:lvlJc w:val="left"/>
      <w:pPr>
        <w:tabs>
          <w:tab w:val="num" w:pos="4065"/>
        </w:tabs>
        <w:ind w:left="4065" w:hanging="4065"/>
      </w:pPr>
      <w:rPr>
        <w:rFonts w:cs="Times New Roman" w:hint="default"/>
        <w:b/>
        <w:color w:val="FFFFFF"/>
      </w:rPr>
    </w:lvl>
  </w:abstractNum>
  <w:abstractNum w:abstractNumId="13" w15:restartNumberingAfterBreak="0">
    <w:nsid w:val="449D6DB5"/>
    <w:multiLevelType w:val="hybridMultilevel"/>
    <w:tmpl w:val="C870F9D6"/>
    <w:lvl w:ilvl="0" w:tplc="04150005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980"/>
        </w:tabs>
        <w:ind w:left="7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700"/>
        </w:tabs>
        <w:ind w:left="87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420"/>
        </w:tabs>
        <w:ind w:left="9420" w:hanging="360"/>
      </w:pPr>
      <w:rPr>
        <w:rFonts w:ascii="Wingdings" w:hAnsi="Wingdings" w:hint="default"/>
      </w:rPr>
    </w:lvl>
  </w:abstractNum>
  <w:abstractNum w:abstractNumId="14" w15:restartNumberingAfterBreak="0">
    <w:nsid w:val="4862277C"/>
    <w:multiLevelType w:val="multilevel"/>
    <w:tmpl w:val="D9948DA6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0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B1240BF"/>
    <w:multiLevelType w:val="hybridMultilevel"/>
    <w:tmpl w:val="524458E2"/>
    <w:lvl w:ilvl="0" w:tplc="6F06D1C4">
      <w:start w:val="1"/>
      <w:numFmt w:val="decimal"/>
      <w:lvlText w:val="%1."/>
      <w:lvlJc w:val="left"/>
      <w:pPr>
        <w:ind w:left="1020" w:hanging="360"/>
      </w:pPr>
    </w:lvl>
    <w:lvl w:ilvl="1" w:tplc="DB1A2E5E">
      <w:start w:val="1"/>
      <w:numFmt w:val="decimal"/>
      <w:lvlText w:val="%2."/>
      <w:lvlJc w:val="left"/>
      <w:pPr>
        <w:ind w:left="1020" w:hanging="360"/>
      </w:pPr>
    </w:lvl>
    <w:lvl w:ilvl="2" w:tplc="310616B2">
      <w:start w:val="1"/>
      <w:numFmt w:val="decimal"/>
      <w:lvlText w:val="%3."/>
      <w:lvlJc w:val="left"/>
      <w:pPr>
        <w:ind w:left="1020" w:hanging="360"/>
      </w:pPr>
    </w:lvl>
    <w:lvl w:ilvl="3" w:tplc="F8546AA2">
      <w:start w:val="1"/>
      <w:numFmt w:val="decimal"/>
      <w:lvlText w:val="%4."/>
      <w:lvlJc w:val="left"/>
      <w:pPr>
        <w:ind w:left="1020" w:hanging="360"/>
      </w:pPr>
    </w:lvl>
    <w:lvl w:ilvl="4" w:tplc="4B601502">
      <w:start w:val="1"/>
      <w:numFmt w:val="decimal"/>
      <w:lvlText w:val="%5."/>
      <w:lvlJc w:val="left"/>
      <w:pPr>
        <w:ind w:left="1020" w:hanging="360"/>
      </w:pPr>
    </w:lvl>
    <w:lvl w:ilvl="5" w:tplc="74A8F5EA">
      <w:start w:val="1"/>
      <w:numFmt w:val="decimal"/>
      <w:lvlText w:val="%6."/>
      <w:lvlJc w:val="left"/>
      <w:pPr>
        <w:ind w:left="1020" w:hanging="360"/>
      </w:pPr>
    </w:lvl>
    <w:lvl w:ilvl="6" w:tplc="A5F2A592">
      <w:start w:val="1"/>
      <w:numFmt w:val="decimal"/>
      <w:lvlText w:val="%7."/>
      <w:lvlJc w:val="left"/>
      <w:pPr>
        <w:ind w:left="1020" w:hanging="360"/>
      </w:pPr>
    </w:lvl>
    <w:lvl w:ilvl="7" w:tplc="70F04A42">
      <w:start w:val="1"/>
      <w:numFmt w:val="decimal"/>
      <w:lvlText w:val="%8."/>
      <w:lvlJc w:val="left"/>
      <w:pPr>
        <w:ind w:left="1020" w:hanging="360"/>
      </w:pPr>
    </w:lvl>
    <w:lvl w:ilvl="8" w:tplc="38543D88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4C517E75"/>
    <w:multiLevelType w:val="hybridMultilevel"/>
    <w:tmpl w:val="3CF4D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574773"/>
    <w:multiLevelType w:val="hybridMultilevel"/>
    <w:tmpl w:val="DC9285BC"/>
    <w:lvl w:ilvl="0" w:tplc="65381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F4ED7"/>
    <w:multiLevelType w:val="multilevel"/>
    <w:tmpl w:val="F374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02D87"/>
    <w:multiLevelType w:val="multilevel"/>
    <w:tmpl w:val="A798FB0A"/>
    <w:lvl w:ilvl="0">
      <w:start w:val="1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30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57855D42"/>
    <w:multiLevelType w:val="hybridMultilevel"/>
    <w:tmpl w:val="89A86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165DC2"/>
    <w:multiLevelType w:val="hybridMultilevel"/>
    <w:tmpl w:val="707EF52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73B43"/>
    <w:multiLevelType w:val="hybridMultilevel"/>
    <w:tmpl w:val="75D61476"/>
    <w:lvl w:ilvl="0" w:tplc="5C5ED8B0">
      <w:start w:val="1"/>
      <w:numFmt w:val="decimal"/>
      <w:lvlText w:val="%1."/>
      <w:lvlJc w:val="left"/>
      <w:pPr>
        <w:ind w:left="1020" w:hanging="360"/>
      </w:pPr>
    </w:lvl>
    <w:lvl w:ilvl="1" w:tplc="85B4DD92">
      <w:start w:val="1"/>
      <w:numFmt w:val="decimal"/>
      <w:lvlText w:val="%2."/>
      <w:lvlJc w:val="left"/>
      <w:pPr>
        <w:ind w:left="1020" w:hanging="360"/>
      </w:pPr>
    </w:lvl>
    <w:lvl w:ilvl="2" w:tplc="BC1E639E">
      <w:start w:val="1"/>
      <w:numFmt w:val="decimal"/>
      <w:lvlText w:val="%3."/>
      <w:lvlJc w:val="left"/>
      <w:pPr>
        <w:ind w:left="1020" w:hanging="360"/>
      </w:pPr>
    </w:lvl>
    <w:lvl w:ilvl="3" w:tplc="30EC24D0">
      <w:start w:val="1"/>
      <w:numFmt w:val="decimal"/>
      <w:lvlText w:val="%4."/>
      <w:lvlJc w:val="left"/>
      <w:pPr>
        <w:ind w:left="1020" w:hanging="360"/>
      </w:pPr>
    </w:lvl>
    <w:lvl w:ilvl="4" w:tplc="9EC448F0">
      <w:start w:val="1"/>
      <w:numFmt w:val="decimal"/>
      <w:lvlText w:val="%5."/>
      <w:lvlJc w:val="left"/>
      <w:pPr>
        <w:ind w:left="1020" w:hanging="360"/>
      </w:pPr>
    </w:lvl>
    <w:lvl w:ilvl="5" w:tplc="912025BC">
      <w:start w:val="1"/>
      <w:numFmt w:val="decimal"/>
      <w:lvlText w:val="%6."/>
      <w:lvlJc w:val="left"/>
      <w:pPr>
        <w:ind w:left="1020" w:hanging="360"/>
      </w:pPr>
    </w:lvl>
    <w:lvl w:ilvl="6" w:tplc="063A45B6">
      <w:start w:val="1"/>
      <w:numFmt w:val="decimal"/>
      <w:lvlText w:val="%7."/>
      <w:lvlJc w:val="left"/>
      <w:pPr>
        <w:ind w:left="1020" w:hanging="360"/>
      </w:pPr>
    </w:lvl>
    <w:lvl w:ilvl="7" w:tplc="DF54285C">
      <w:start w:val="1"/>
      <w:numFmt w:val="decimal"/>
      <w:lvlText w:val="%8."/>
      <w:lvlJc w:val="left"/>
      <w:pPr>
        <w:ind w:left="1020" w:hanging="360"/>
      </w:pPr>
    </w:lvl>
    <w:lvl w:ilvl="8" w:tplc="DD7C852A">
      <w:start w:val="1"/>
      <w:numFmt w:val="decimal"/>
      <w:lvlText w:val="%9."/>
      <w:lvlJc w:val="left"/>
      <w:pPr>
        <w:ind w:left="1020" w:hanging="360"/>
      </w:pPr>
    </w:lvl>
  </w:abstractNum>
  <w:abstractNum w:abstractNumId="23" w15:restartNumberingAfterBreak="0">
    <w:nsid w:val="5E676938"/>
    <w:multiLevelType w:val="hybridMultilevel"/>
    <w:tmpl w:val="279E5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2605E2"/>
    <w:multiLevelType w:val="hybridMultilevel"/>
    <w:tmpl w:val="DCD09C5E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6021CD"/>
    <w:multiLevelType w:val="hybridMultilevel"/>
    <w:tmpl w:val="CDD623DE"/>
    <w:lvl w:ilvl="0" w:tplc="E36A01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CB6F76"/>
    <w:multiLevelType w:val="hybridMultilevel"/>
    <w:tmpl w:val="C41624EA"/>
    <w:lvl w:ilvl="0" w:tplc="8A96069E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27" w15:restartNumberingAfterBreak="0">
    <w:nsid w:val="65E55CF2"/>
    <w:multiLevelType w:val="hybridMultilevel"/>
    <w:tmpl w:val="F3746D58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7348C6"/>
    <w:multiLevelType w:val="hybridMultilevel"/>
    <w:tmpl w:val="4002E30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CEF4C51"/>
    <w:multiLevelType w:val="multilevel"/>
    <w:tmpl w:val="C07E43F8"/>
    <w:lvl w:ilvl="0">
      <w:start w:val="1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5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  <w:b/>
        <w:color w:val="00008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6F613B91"/>
    <w:multiLevelType w:val="multilevel"/>
    <w:tmpl w:val="DCD0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6C77C8"/>
    <w:multiLevelType w:val="hybridMultilevel"/>
    <w:tmpl w:val="2DDCAE9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811EAE"/>
    <w:multiLevelType w:val="hybridMultilevel"/>
    <w:tmpl w:val="7B9C980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66A0F"/>
    <w:multiLevelType w:val="hybridMultilevel"/>
    <w:tmpl w:val="43081140"/>
    <w:lvl w:ilvl="0" w:tplc="F6220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AB5CB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5" w15:restartNumberingAfterBreak="0">
    <w:nsid w:val="7F1342F2"/>
    <w:multiLevelType w:val="hybridMultilevel"/>
    <w:tmpl w:val="EB7CBC9A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3593531">
    <w:abstractNumId w:val="34"/>
  </w:num>
  <w:num w:numId="2" w16cid:durableId="26151447">
    <w:abstractNumId w:val="7"/>
  </w:num>
  <w:num w:numId="3" w16cid:durableId="2091195825">
    <w:abstractNumId w:val="4"/>
  </w:num>
  <w:num w:numId="4" w16cid:durableId="168375630">
    <w:abstractNumId w:val="5"/>
  </w:num>
  <w:num w:numId="5" w16cid:durableId="1304894537">
    <w:abstractNumId w:val="14"/>
  </w:num>
  <w:num w:numId="6" w16cid:durableId="598292792">
    <w:abstractNumId w:val="19"/>
  </w:num>
  <w:num w:numId="7" w16cid:durableId="1972049076">
    <w:abstractNumId w:val="2"/>
  </w:num>
  <w:num w:numId="8" w16cid:durableId="977028122">
    <w:abstractNumId w:val="11"/>
  </w:num>
  <w:num w:numId="9" w16cid:durableId="1994217558">
    <w:abstractNumId w:val="8"/>
  </w:num>
  <w:num w:numId="10" w16cid:durableId="501895109">
    <w:abstractNumId w:val="29"/>
  </w:num>
  <w:num w:numId="11" w16cid:durableId="482158256">
    <w:abstractNumId w:val="13"/>
  </w:num>
  <w:num w:numId="12" w16cid:durableId="1822187499">
    <w:abstractNumId w:val="27"/>
  </w:num>
  <w:num w:numId="13" w16cid:durableId="1256595171">
    <w:abstractNumId w:val="18"/>
  </w:num>
  <w:num w:numId="14" w16cid:durableId="362557525">
    <w:abstractNumId w:val="24"/>
  </w:num>
  <w:num w:numId="15" w16cid:durableId="1500197127">
    <w:abstractNumId w:val="30"/>
  </w:num>
  <w:num w:numId="16" w16cid:durableId="395982433">
    <w:abstractNumId w:val="31"/>
  </w:num>
  <w:num w:numId="17" w16cid:durableId="1426803212">
    <w:abstractNumId w:val="25"/>
  </w:num>
  <w:num w:numId="18" w16cid:durableId="1896617993">
    <w:abstractNumId w:val="12"/>
  </w:num>
  <w:num w:numId="19" w16cid:durableId="432365694">
    <w:abstractNumId w:val="26"/>
  </w:num>
  <w:num w:numId="20" w16cid:durableId="1095058326">
    <w:abstractNumId w:val="17"/>
  </w:num>
  <w:num w:numId="21" w16cid:durableId="193081461">
    <w:abstractNumId w:val="32"/>
  </w:num>
  <w:num w:numId="22" w16cid:durableId="1131940714">
    <w:abstractNumId w:val="3"/>
  </w:num>
  <w:num w:numId="23" w16cid:durableId="1727991563">
    <w:abstractNumId w:val="21"/>
  </w:num>
  <w:num w:numId="24" w16cid:durableId="617488062">
    <w:abstractNumId w:val="35"/>
  </w:num>
  <w:num w:numId="25" w16cid:durableId="1993944316">
    <w:abstractNumId w:val="6"/>
  </w:num>
  <w:num w:numId="26" w16cid:durableId="337198606">
    <w:abstractNumId w:val="0"/>
  </w:num>
  <w:num w:numId="27" w16cid:durableId="49695078">
    <w:abstractNumId w:val="28"/>
  </w:num>
  <w:num w:numId="28" w16cid:durableId="777801040">
    <w:abstractNumId w:val="33"/>
  </w:num>
  <w:num w:numId="29" w16cid:durableId="1350133745">
    <w:abstractNumId w:val="23"/>
  </w:num>
  <w:num w:numId="30" w16cid:durableId="219362212">
    <w:abstractNumId w:val="16"/>
  </w:num>
  <w:num w:numId="31" w16cid:durableId="727729084">
    <w:abstractNumId w:val="10"/>
  </w:num>
  <w:num w:numId="32" w16cid:durableId="1363361935">
    <w:abstractNumId w:val="9"/>
  </w:num>
  <w:num w:numId="33" w16cid:durableId="546380804">
    <w:abstractNumId w:val="22"/>
  </w:num>
  <w:num w:numId="34" w16cid:durableId="144053383">
    <w:abstractNumId w:val="15"/>
  </w:num>
  <w:num w:numId="35" w16cid:durableId="876817492">
    <w:abstractNumId w:val="1"/>
  </w:num>
  <w:num w:numId="36" w16cid:durableId="44835579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onsecutiveHyphenLimit w:val="3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40"/>
    <w:rsid w:val="00001DE2"/>
    <w:rsid w:val="000022E6"/>
    <w:rsid w:val="00005ABD"/>
    <w:rsid w:val="00007AFD"/>
    <w:rsid w:val="00010A32"/>
    <w:rsid w:val="000176C6"/>
    <w:rsid w:val="00025663"/>
    <w:rsid w:val="000260F2"/>
    <w:rsid w:val="00026412"/>
    <w:rsid w:val="00027524"/>
    <w:rsid w:val="00027973"/>
    <w:rsid w:val="00030024"/>
    <w:rsid w:val="00031DD2"/>
    <w:rsid w:val="000340E1"/>
    <w:rsid w:val="00035C48"/>
    <w:rsid w:val="00036F65"/>
    <w:rsid w:val="000374B6"/>
    <w:rsid w:val="00045F40"/>
    <w:rsid w:val="000460C8"/>
    <w:rsid w:val="00047F88"/>
    <w:rsid w:val="00051D41"/>
    <w:rsid w:val="00051EB0"/>
    <w:rsid w:val="00055F50"/>
    <w:rsid w:val="00056263"/>
    <w:rsid w:val="000568B2"/>
    <w:rsid w:val="00061B5E"/>
    <w:rsid w:val="00077839"/>
    <w:rsid w:val="0008045D"/>
    <w:rsid w:val="00087709"/>
    <w:rsid w:val="0009031E"/>
    <w:rsid w:val="0009204F"/>
    <w:rsid w:val="00093E47"/>
    <w:rsid w:val="00094A0E"/>
    <w:rsid w:val="00095A92"/>
    <w:rsid w:val="000A0992"/>
    <w:rsid w:val="000A192C"/>
    <w:rsid w:val="000A5FF0"/>
    <w:rsid w:val="000A66E4"/>
    <w:rsid w:val="000A79C7"/>
    <w:rsid w:val="000B126C"/>
    <w:rsid w:val="000B4092"/>
    <w:rsid w:val="000B4D45"/>
    <w:rsid w:val="000B6B76"/>
    <w:rsid w:val="000C37B6"/>
    <w:rsid w:val="000D39A0"/>
    <w:rsid w:val="000E25F1"/>
    <w:rsid w:val="000F3CC3"/>
    <w:rsid w:val="000F5963"/>
    <w:rsid w:val="00101443"/>
    <w:rsid w:val="00102328"/>
    <w:rsid w:val="001044C1"/>
    <w:rsid w:val="0010459E"/>
    <w:rsid w:val="00105CE0"/>
    <w:rsid w:val="0010640C"/>
    <w:rsid w:val="00117585"/>
    <w:rsid w:val="001179F1"/>
    <w:rsid w:val="00123D25"/>
    <w:rsid w:val="00124A28"/>
    <w:rsid w:val="00124DF7"/>
    <w:rsid w:val="00132CC5"/>
    <w:rsid w:val="001330D9"/>
    <w:rsid w:val="001357C3"/>
    <w:rsid w:val="00141DEA"/>
    <w:rsid w:val="00143EA3"/>
    <w:rsid w:val="0015118E"/>
    <w:rsid w:val="001545D8"/>
    <w:rsid w:val="0016271C"/>
    <w:rsid w:val="00167E29"/>
    <w:rsid w:val="00171F13"/>
    <w:rsid w:val="00173926"/>
    <w:rsid w:val="00176218"/>
    <w:rsid w:val="00182FFA"/>
    <w:rsid w:val="0018411D"/>
    <w:rsid w:val="00184B05"/>
    <w:rsid w:val="00185049"/>
    <w:rsid w:val="001A0714"/>
    <w:rsid w:val="001A751E"/>
    <w:rsid w:val="001B00AA"/>
    <w:rsid w:val="001B1EEC"/>
    <w:rsid w:val="001B5FEA"/>
    <w:rsid w:val="001B7CC6"/>
    <w:rsid w:val="001C0B82"/>
    <w:rsid w:val="001C2216"/>
    <w:rsid w:val="001C3BD3"/>
    <w:rsid w:val="001C623A"/>
    <w:rsid w:val="001C6BE4"/>
    <w:rsid w:val="001C78EF"/>
    <w:rsid w:val="001D2BD6"/>
    <w:rsid w:val="001D64FE"/>
    <w:rsid w:val="001D7565"/>
    <w:rsid w:val="001E3D80"/>
    <w:rsid w:val="001F209A"/>
    <w:rsid w:val="001F6B12"/>
    <w:rsid w:val="001F7262"/>
    <w:rsid w:val="00205E39"/>
    <w:rsid w:val="002166AC"/>
    <w:rsid w:val="002179CD"/>
    <w:rsid w:val="002207EA"/>
    <w:rsid w:val="00222664"/>
    <w:rsid w:val="00224D03"/>
    <w:rsid w:val="00226538"/>
    <w:rsid w:val="0023306E"/>
    <w:rsid w:val="00235676"/>
    <w:rsid w:val="00235D0E"/>
    <w:rsid w:val="0024196C"/>
    <w:rsid w:val="00243E0C"/>
    <w:rsid w:val="0025457D"/>
    <w:rsid w:val="00254E47"/>
    <w:rsid w:val="0026205F"/>
    <w:rsid w:val="00270DDD"/>
    <w:rsid w:val="002727AF"/>
    <w:rsid w:val="002820DD"/>
    <w:rsid w:val="002849B0"/>
    <w:rsid w:val="002857B0"/>
    <w:rsid w:val="002909EA"/>
    <w:rsid w:val="00290B51"/>
    <w:rsid w:val="00290D93"/>
    <w:rsid w:val="002945C8"/>
    <w:rsid w:val="002B047D"/>
    <w:rsid w:val="002B338E"/>
    <w:rsid w:val="002B423A"/>
    <w:rsid w:val="002C01A3"/>
    <w:rsid w:val="002C2F51"/>
    <w:rsid w:val="002C34A0"/>
    <w:rsid w:val="002C64AF"/>
    <w:rsid w:val="002D0D39"/>
    <w:rsid w:val="002E4215"/>
    <w:rsid w:val="002E4E8A"/>
    <w:rsid w:val="002E7B7F"/>
    <w:rsid w:val="002F221F"/>
    <w:rsid w:val="002F5B1C"/>
    <w:rsid w:val="002F75D2"/>
    <w:rsid w:val="00300207"/>
    <w:rsid w:val="00300652"/>
    <w:rsid w:val="00305A22"/>
    <w:rsid w:val="00310554"/>
    <w:rsid w:val="00311D5A"/>
    <w:rsid w:val="00316DA0"/>
    <w:rsid w:val="00321B05"/>
    <w:rsid w:val="00326CC1"/>
    <w:rsid w:val="0032709E"/>
    <w:rsid w:val="0033464E"/>
    <w:rsid w:val="00335F86"/>
    <w:rsid w:val="00337009"/>
    <w:rsid w:val="003406A5"/>
    <w:rsid w:val="00345E1B"/>
    <w:rsid w:val="00347442"/>
    <w:rsid w:val="00355F1A"/>
    <w:rsid w:val="00363671"/>
    <w:rsid w:val="003656E0"/>
    <w:rsid w:val="00372A55"/>
    <w:rsid w:val="00373420"/>
    <w:rsid w:val="00373A1E"/>
    <w:rsid w:val="0037514B"/>
    <w:rsid w:val="00375EE9"/>
    <w:rsid w:val="0038607C"/>
    <w:rsid w:val="00386138"/>
    <w:rsid w:val="0039294A"/>
    <w:rsid w:val="00393531"/>
    <w:rsid w:val="003944E5"/>
    <w:rsid w:val="00397F5D"/>
    <w:rsid w:val="003A08FF"/>
    <w:rsid w:val="003A1F99"/>
    <w:rsid w:val="003A320F"/>
    <w:rsid w:val="003A3A0F"/>
    <w:rsid w:val="003A4CED"/>
    <w:rsid w:val="003B473B"/>
    <w:rsid w:val="003B54FB"/>
    <w:rsid w:val="003C546D"/>
    <w:rsid w:val="003D77E7"/>
    <w:rsid w:val="003E11E7"/>
    <w:rsid w:val="003E1CF7"/>
    <w:rsid w:val="003E4C05"/>
    <w:rsid w:val="003E7F55"/>
    <w:rsid w:val="003F5740"/>
    <w:rsid w:val="00403AB0"/>
    <w:rsid w:val="00403F78"/>
    <w:rsid w:val="00404819"/>
    <w:rsid w:val="0041204C"/>
    <w:rsid w:val="00414789"/>
    <w:rsid w:val="00420316"/>
    <w:rsid w:val="0042061B"/>
    <w:rsid w:val="00422136"/>
    <w:rsid w:val="004345D0"/>
    <w:rsid w:val="00434A6C"/>
    <w:rsid w:val="00443D95"/>
    <w:rsid w:val="00447FD6"/>
    <w:rsid w:val="00450BB6"/>
    <w:rsid w:val="004523A8"/>
    <w:rsid w:val="004562BF"/>
    <w:rsid w:val="00463DCA"/>
    <w:rsid w:val="0047202F"/>
    <w:rsid w:val="00472DD4"/>
    <w:rsid w:val="00474116"/>
    <w:rsid w:val="00474C49"/>
    <w:rsid w:val="004752B8"/>
    <w:rsid w:val="00476EF2"/>
    <w:rsid w:val="00481F6B"/>
    <w:rsid w:val="00487DBF"/>
    <w:rsid w:val="004916A4"/>
    <w:rsid w:val="00495998"/>
    <w:rsid w:val="00497C84"/>
    <w:rsid w:val="004B1760"/>
    <w:rsid w:val="004B375C"/>
    <w:rsid w:val="004B483F"/>
    <w:rsid w:val="004C0E8D"/>
    <w:rsid w:val="004C4B3B"/>
    <w:rsid w:val="004C59E3"/>
    <w:rsid w:val="004C6A46"/>
    <w:rsid w:val="004D26F5"/>
    <w:rsid w:val="004D2D40"/>
    <w:rsid w:val="004D5D14"/>
    <w:rsid w:val="004D74BD"/>
    <w:rsid w:val="004E294B"/>
    <w:rsid w:val="004E2C1D"/>
    <w:rsid w:val="004E2F2D"/>
    <w:rsid w:val="004E724B"/>
    <w:rsid w:val="004E7FF6"/>
    <w:rsid w:val="004F08AD"/>
    <w:rsid w:val="004F720C"/>
    <w:rsid w:val="0050102F"/>
    <w:rsid w:val="005017CE"/>
    <w:rsid w:val="00507130"/>
    <w:rsid w:val="005152FB"/>
    <w:rsid w:val="00522196"/>
    <w:rsid w:val="00522B8F"/>
    <w:rsid w:val="00523F9F"/>
    <w:rsid w:val="0052444F"/>
    <w:rsid w:val="00524A94"/>
    <w:rsid w:val="0052781A"/>
    <w:rsid w:val="00527F08"/>
    <w:rsid w:val="0054360B"/>
    <w:rsid w:val="00555AD5"/>
    <w:rsid w:val="00560B90"/>
    <w:rsid w:val="005725A4"/>
    <w:rsid w:val="005748CE"/>
    <w:rsid w:val="00584051"/>
    <w:rsid w:val="005855C9"/>
    <w:rsid w:val="00585F0C"/>
    <w:rsid w:val="00587524"/>
    <w:rsid w:val="00590405"/>
    <w:rsid w:val="005906AA"/>
    <w:rsid w:val="00591C00"/>
    <w:rsid w:val="005A0D05"/>
    <w:rsid w:val="005A478E"/>
    <w:rsid w:val="005A7EAC"/>
    <w:rsid w:val="005B2AEF"/>
    <w:rsid w:val="005B42C5"/>
    <w:rsid w:val="005B54BF"/>
    <w:rsid w:val="005B5DDC"/>
    <w:rsid w:val="005B6F2B"/>
    <w:rsid w:val="005C1321"/>
    <w:rsid w:val="005C69E4"/>
    <w:rsid w:val="005D7F9F"/>
    <w:rsid w:val="005E06F0"/>
    <w:rsid w:val="005E3246"/>
    <w:rsid w:val="005F20AF"/>
    <w:rsid w:val="006044C6"/>
    <w:rsid w:val="00605463"/>
    <w:rsid w:val="00607E92"/>
    <w:rsid w:val="006117E2"/>
    <w:rsid w:val="00612F3E"/>
    <w:rsid w:val="00622C8C"/>
    <w:rsid w:val="00623D84"/>
    <w:rsid w:val="00627AF1"/>
    <w:rsid w:val="00634D60"/>
    <w:rsid w:val="006363C9"/>
    <w:rsid w:val="00637501"/>
    <w:rsid w:val="0064291B"/>
    <w:rsid w:val="00645EE3"/>
    <w:rsid w:val="00647CDF"/>
    <w:rsid w:val="00651EA1"/>
    <w:rsid w:val="00655E88"/>
    <w:rsid w:val="00656763"/>
    <w:rsid w:val="00656FA2"/>
    <w:rsid w:val="006625A7"/>
    <w:rsid w:val="00665C8D"/>
    <w:rsid w:val="00665F37"/>
    <w:rsid w:val="00666B3A"/>
    <w:rsid w:val="00674983"/>
    <w:rsid w:val="0067777F"/>
    <w:rsid w:val="00680AF1"/>
    <w:rsid w:val="006850D8"/>
    <w:rsid w:val="00685A42"/>
    <w:rsid w:val="00687E91"/>
    <w:rsid w:val="00694013"/>
    <w:rsid w:val="006951BE"/>
    <w:rsid w:val="006A03C6"/>
    <w:rsid w:val="006A1C50"/>
    <w:rsid w:val="006A26F8"/>
    <w:rsid w:val="006A39AD"/>
    <w:rsid w:val="006A4B79"/>
    <w:rsid w:val="006A7B09"/>
    <w:rsid w:val="006B0455"/>
    <w:rsid w:val="006B1226"/>
    <w:rsid w:val="006B4E88"/>
    <w:rsid w:val="006C29AB"/>
    <w:rsid w:val="006C74F7"/>
    <w:rsid w:val="006D5193"/>
    <w:rsid w:val="006D725F"/>
    <w:rsid w:val="006D74B4"/>
    <w:rsid w:val="006E2373"/>
    <w:rsid w:val="006E473E"/>
    <w:rsid w:val="006E54F7"/>
    <w:rsid w:val="006E729C"/>
    <w:rsid w:val="006F62C3"/>
    <w:rsid w:val="00702C2D"/>
    <w:rsid w:val="007063FA"/>
    <w:rsid w:val="0071381E"/>
    <w:rsid w:val="00716B46"/>
    <w:rsid w:val="00717BB7"/>
    <w:rsid w:val="00721EAD"/>
    <w:rsid w:val="00724228"/>
    <w:rsid w:val="00727452"/>
    <w:rsid w:val="00727B4F"/>
    <w:rsid w:val="007333C6"/>
    <w:rsid w:val="00735BEE"/>
    <w:rsid w:val="00741555"/>
    <w:rsid w:val="007431C9"/>
    <w:rsid w:val="007471BE"/>
    <w:rsid w:val="00752745"/>
    <w:rsid w:val="0075782F"/>
    <w:rsid w:val="00762777"/>
    <w:rsid w:val="007641CA"/>
    <w:rsid w:val="00765CA7"/>
    <w:rsid w:val="00765DAF"/>
    <w:rsid w:val="0077232B"/>
    <w:rsid w:val="00773A4A"/>
    <w:rsid w:val="00773B89"/>
    <w:rsid w:val="007779FF"/>
    <w:rsid w:val="00777A13"/>
    <w:rsid w:val="007821FC"/>
    <w:rsid w:val="00784E7C"/>
    <w:rsid w:val="007958F7"/>
    <w:rsid w:val="007A1A60"/>
    <w:rsid w:val="007A79E1"/>
    <w:rsid w:val="007B2049"/>
    <w:rsid w:val="007C1C84"/>
    <w:rsid w:val="007C55AA"/>
    <w:rsid w:val="007D23BD"/>
    <w:rsid w:val="007D3E74"/>
    <w:rsid w:val="007D4806"/>
    <w:rsid w:val="007D5F40"/>
    <w:rsid w:val="007D62E9"/>
    <w:rsid w:val="007E452C"/>
    <w:rsid w:val="007E65C1"/>
    <w:rsid w:val="007E7EE0"/>
    <w:rsid w:val="007F0CDD"/>
    <w:rsid w:val="007F1A61"/>
    <w:rsid w:val="007F239B"/>
    <w:rsid w:val="007F2CD6"/>
    <w:rsid w:val="007F616A"/>
    <w:rsid w:val="00801890"/>
    <w:rsid w:val="0080246D"/>
    <w:rsid w:val="0080774E"/>
    <w:rsid w:val="00810832"/>
    <w:rsid w:val="008118CF"/>
    <w:rsid w:val="00811A40"/>
    <w:rsid w:val="00812A83"/>
    <w:rsid w:val="008148BE"/>
    <w:rsid w:val="00816FA2"/>
    <w:rsid w:val="0082218B"/>
    <w:rsid w:val="00822425"/>
    <w:rsid w:val="00822BEC"/>
    <w:rsid w:val="0083529A"/>
    <w:rsid w:val="00836505"/>
    <w:rsid w:val="0084602A"/>
    <w:rsid w:val="00846A9B"/>
    <w:rsid w:val="00850476"/>
    <w:rsid w:val="00860235"/>
    <w:rsid w:val="00867D06"/>
    <w:rsid w:val="00871BFE"/>
    <w:rsid w:val="00874FD4"/>
    <w:rsid w:val="00875769"/>
    <w:rsid w:val="008757BB"/>
    <w:rsid w:val="00881317"/>
    <w:rsid w:val="00881A34"/>
    <w:rsid w:val="0088338F"/>
    <w:rsid w:val="00890A96"/>
    <w:rsid w:val="00891184"/>
    <w:rsid w:val="00894657"/>
    <w:rsid w:val="008A4C9D"/>
    <w:rsid w:val="008B0395"/>
    <w:rsid w:val="008B245F"/>
    <w:rsid w:val="008B3F30"/>
    <w:rsid w:val="008C3B96"/>
    <w:rsid w:val="008C49F6"/>
    <w:rsid w:val="008C7143"/>
    <w:rsid w:val="008D27D8"/>
    <w:rsid w:val="008D4EDF"/>
    <w:rsid w:val="008E467E"/>
    <w:rsid w:val="008E4919"/>
    <w:rsid w:val="008E7465"/>
    <w:rsid w:val="008F44A0"/>
    <w:rsid w:val="0090014D"/>
    <w:rsid w:val="009011C7"/>
    <w:rsid w:val="00901537"/>
    <w:rsid w:val="00905CEA"/>
    <w:rsid w:val="00911FE8"/>
    <w:rsid w:val="00915598"/>
    <w:rsid w:val="00923298"/>
    <w:rsid w:val="00923D2B"/>
    <w:rsid w:val="0092445A"/>
    <w:rsid w:val="00926BB9"/>
    <w:rsid w:val="00926D9F"/>
    <w:rsid w:val="0093753C"/>
    <w:rsid w:val="00937D67"/>
    <w:rsid w:val="0095097E"/>
    <w:rsid w:val="00955166"/>
    <w:rsid w:val="00956354"/>
    <w:rsid w:val="009601FB"/>
    <w:rsid w:val="00961110"/>
    <w:rsid w:val="009611B2"/>
    <w:rsid w:val="00961583"/>
    <w:rsid w:val="00964320"/>
    <w:rsid w:val="009656FC"/>
    <w:rsid w:val="00967C4C"/>
    <w:rsid w:val="00971940"/>
    <w:rsid w:val="00974A97"/>
    <w:rsid w:val="00974C18"/>
    <w:rsid w:val="0098417C"/>
    <w:rsid w:val="00985B6A"/>
    <w:rsid w:val="009879CB"/>
    <w:rsid w:val="009939C4"/>
    <w:rsid w:val="009942C4"/>
    <w:rsid w:val="0099441B"/>
    <w:rsid w:val="009A2DD0"/>
    <w:rsid w:val="009A6E1E"/>
    <w:rsid w:val="009B3D83"/>
    <w:rsid w:val="009C091F"/>
    <w:rsid w:val="009C0B0B"/>
    <w:rsid w:val="009C6A1B"/>
    <w:rsid w:val="009C7FF7"/>
    <w:rsid w:val="009D0442"/>
    <w:rsid w:val="009D1C6B"/>
    <w:rsid w:val="009D3E23"/>
    <w:rsid w:val="009D537A"/>
    <w:rsid w:val="009D601F"/>
    <w:rsid w:val="009E1C35"/>
    <w:rsid w:val="009E6977"/>
    <w:rsid w:val="009E6B95"/>
    <w:rsid w:val="009F017B"/>
    <w:rsid w:val="009F1C9F"/>
    <w:rsid w:val="009F258A"/>
    <w:rsid w:val="009F49A4"/>
    <w:rsid w:val="009F5F02"/>
    <w:rsid w:val="009F78E0"/>
    <w:rsid w:val="009F7BC0"/>
    <w:rsid w:val="00A110A6"/>
    <w:rsid w:val="00A13EA3"/>
    <w:rsid w:val="00A15012"/>
    <w:rsid w:val="00A1776F"/>
    <w:rsid w:val="00A22F38"/>
    <w:rsid w:val="00A24136"/>
    <w:rsid w:val="00A243BE"/>
    <w:rsid w:val="00A24FCF"/>
    <w:rsid w:val="00A25580"/>
    <w:rsid w:val="00A26126"/>
    <w:rsid w:val="00A43E7F"/>
    <w:rsid w:val="00A44D69"/>
    <w:rsid w:val="00A50B95"/>
    <w:rsid w:val="00A54E3E"/>
    <w:rsid w:val="00A56080"/>
    <w:rsid w:val="00A6230E"/>
    <w:rsid w:val="00A63F20"/>
    <w:rsid w:val="00A71C33"/>
    <w:rsid w:val="00A72280"/>
    <w:rsid w:val="00A73DA7"/>
    <w:rsid w:val="00A753E1"/>
    <w:rsid w:val="00A80E80"/>
    <w:rsid w:val="00A82568"/>
    <w:rsid w:val="00A90F06"/>
    <w:rsid w:val="00A9442B"/>
    <w:rsid w:val="00AA312A"/>
    <w:rsid w:val="00AA32BB"/>
    <w:rsid w:val="00AA3741"/>
    <w:rsid w:val="00AA6054"/>
    <w:rsid w:val="00AC40F5"/>
    <w:rsid w:val="00AD483A"/>
    <w:rsid w:val="00AD5345"/>
    <w:rsid w:val="00AE377D"/>
    <w:rsid w:val="00AE42F0"/>
    <w:rsid w:val="00AE772B"/>
    <w:rsid w:val="00AF0515"/>
    <w:rsid w:val="00AF0D8C"/>
    <w:rsid w:val="00AF557A"/>
    <w:rsid w:val="00AF737A"/>
    <w:rsid w:val="00B01A1F"/>
    <w:rsid w:val="00B13C91"/>
    <w:rsid w:val="00B17E69"/>
    <w:rsid w:val="00B235EF"/>
    <w:rsid w:val="00B26A68"/>
    <w:rsid w:val="00B329A0"/>
    <w:rsid w:val="00B37616"/>
    <w:rsid w:val="00B4105E"/>
    <w:rsid w:val="00B41BF6"/>
    <w:rsid w:val="00B41C63"/>
    <w:rsid w:val="00B42D73"/>
    <w:rsid w:val="00B4378E"/>
    <w:rsid w:val="00B522C5"/>
    <w:rsid w:val="00B56570"/>
    <w:rsid w:val="00B6101A"/>
    <w:rsid w:val="00B63F53"/>
    <w:rsid w:val="00B7026F"/>
    <w:rsid w:val="00B8276F"/>
    <w:rsid w:val="00B846E4"/>
    <w:rsid w:val="00B92A2B"/>
    <w:rsid w:val="00B95859"/>
    <w:rsid w:val="00B96278"/>
    <w:rsid w:val="00B963EB"/>
    <w:rsid w:val="00BA0BB9"/>
    <w:rsid w:val="00BA2839"/>
    <w:rsid w:val="00BA49AA"/>
    <w:rsid w:val="00BB0F0F"/>
    <w:rsid w:val="00BB4826"/>
    <w:rsid w:val="00BC2A88"/>
    <w:rsid w:val="00BC4881"/>
    <w:rsid w:val="00BC6054"/>
    <w:rsid w:val="00BC7431"/>
    <w:rsid w:val="00BD221A"/>
    <w:rsid w:val="00BD4F9F"/>
    <w:rsid w:val="00BD7AA2"/>
    <w:rsid w:val="00BE21B8"/>
    <w:rsid w:val="00BF51A5"/>
    <w:rsid w:val="00C013C5"/>
    <w:rsid w:val="00C142DD"/>
    <w:rsid w:val="00C143AC"/>
    <w:rsid w:val="00C22C65"/>
    <w:rsid w:val="00C25B52"/>
    <w:rsid w:val="00C307B3"/>
    <w:rsid w:val="00C35372"/>
    <w:rsid w:val="00C375E6"/>
    <w:rsid w:val="00C431D7"/>
    <w:rsid w:val="00C4465C"/>
    <w:rsid w:val="00C45010"/>
    <w:rsid w:val="00C45823"/>
    <w:rsid w:val="00C46BA3"/>
    <w:rsid w:val="00C60CCB"/>
    <w:rsid w:val="00C62425"/>
    <w:rsid w:val="00C6398C"/>
    <w:rsid w:val="00C64DAE"/>
    <w:rsid w:val="00C6651A"/>
    <w:rsid w:val="00C8177D"/>
    <w:rsid w:val="00C83792"/>
    <w:rsid w:val="00C86521"/>
    <w:rsid w:val="00C95C34"/>
    <w:rsid w:val="00CA585A"/>
    <w:rsid w:val="00CB2DDE"/>
    <w:rsid w:val="00CB2EF2"/>
    <w:rsid w:val="00CB31C0"/>
    <w:rsid w:val="00CB5B3A"/>
    <w:rsid w:val="00CC40C6"/>
    <w:rsid w:val="00CC4995"/>
    <w:rsid w:val="00CD0A68"/>
    <w:rsid w:val="00CD760D"/>
    <w:rsid w:val="00CD7DD5"/>
    <w:rsid w:val="00CE4F69"/>
    <w:rsid w:val="00CE5287"/>
    <w:rsid w:val="00CE6077"/>
    <w:rsid w:val="00CF078F"/>
    <w:rsid w:val="00CF30AB"/>
    <w:rsid w:val="00CF46D7"/>
    <w:rsid w:val="00D01E9C"/>
    <w:rsid w:val="00D02AF8"/>
    <w:rsid w:val="00D0503D"/>
    <w:rsid w:val="00D17142"/>
    <w:rsid w:val="00D206EE"/>
    <w:rsid w:val="00D22BE6"/>
    <w:rsid w:val="00D247A8"/>
    <w:rsid w:val="00D26CFB"/>
    <w:rsid w:val="00D30B99"/>
    <w:rsid w:val="00D30DE6"/>
    <w:rsid w:val="00D32C4F"/>
    <w:rsid w:val="00D3321F"/>
    <w:rsid w:val="00D35DE3"/>
    <w:rsid w:val="00D40E41"/>
    <w:rsid w:val="00D5152B"/>
    <w:rsid w:val="00D541C3"/>
    <w:rsid w:val="00D550CC"/>
    <w:rsid w:val="00D561CD"/>
    <w:rsid w:val="00D6271B"/>
    <w:rsid w:val="00D66817"/>
    <w:rsid w:val="00D66A18"/>
    <w:rsid w:val="00D7067A"/>
    <w:rsid w:val="00D74429"/>
    <w:rsid w:val="00D74E78"/>
    <w:rsid w:val="00D811F6"/>
    <w:rsid w:val="00DA2940"/>
    <w:rsid w:val="00DA2F0B"/>
    <w:rsid w:val="00DA3B60"/>
    <w:rsid w:val="00DA6999"/>
    <w:rsid w:val="00DB7286"/>
    <w:rsid w:val="00DB7E9A"/>
    <w:rsid w:val="00DC0586"/>
    <w:rsid w:val="00DC462E"/>
    <w:rsid w:val="00DD2717"/>
    <w:rsid w:val="00DE013F"/>
    <w:rsid w:val="00DE01BE"/>
    <w:rsid w:val="00DE05BD"/>
    <w:rsid w:val="00DE0F99"/>
    <w:rsid w:val="00DE22DD"/>
    <w:rsid w:val="00DE2FD3"/>
    <w:rsid w:val="00DE60E4"/>
    <w:rsid w:val="00DF0784"/>
    <w:rsid w:val="00DF31D6"/>
    <w:rsid w:val="00DF7CE0"/>
    <w:rsid w:val="00E00DBB"/>
    <w:rsid w:val="00E20F76"/>
    <w:rsid w:val="00E248F9"/>
    <w:rsid w:val="00E30934"/>
    <w:rsid w:val="00E36930"/>
    <w:rsid w:val="00E4301A"/>
    <w:rsid w:val="00E443B0"/>
    <w:rsid w:val="00E45140"/>
    <w:rsid w:val="00E5186E"/>
    <w:rsid w:val="00E57721"/>
    <w:rsid w:val="00E621B4"/>
    <w:rsid w:val="00E62F9A"/>
    <w:rsid w:val="00E64AF7"/>
    <w:rsid w:val="00E67710"/>
    <w:rsid w:val="00E706A8"/>
    <w:rsid w:val="00E71FCD"/>
    <w:rsid w:val="00E82A9F"/>
    <w:rsid w:val="00E87ABF"/>
    <w:rsid w:val="00E87DEC"/>
    <w:rsid w:val="00E87F7C"/>
    <w:rsid w:val="00E90FBD"/>
    <w:rsid w:val="00E91E53"/>
    <w:rsid w:val="00E94D0D"/>
    <w:rsid w:val="00E962F5"/>
    <w:rsid w:val="00EA0381"/>
    <w:rsid w:val="00EA5574"/>
    <w:rsid w:val="00EA5F54"/>
    <w:rsid w:val="00EA6756"/>
    <w:rsid w:val="00EB00D1"/>
    <w:rsid w:val="00EB337B"/>
    <w:rsid w:val="00EC59CF"/>
    <w:rsid w:val="00ED18CB"/>
    <w:rsid w:val="00ED3F08"/>
    <w:rsid w:val="00ED3F71"/>
    <w:rsid w:val="00ED4D46"/>
    <w:rsid w:val="00EE0154"/>
    <w:rsid w:val="00EE2251"/>
    <w:rsid w:val="00EE4665"/>
    <w:rsid w:val="00EE60AA"/>
    <w:rsid w:val="00EF0AA9"/>
    <w:rsid w:val="00EF2EE3"/>
    <w:rsid w:val="00EF5560"/>
    <w:rsid w:val="00EF642C"/>
    <w:rsid w:val="00F03137"/>
    <w:rsid w:val="00F04F7F"/>
    <w:rsid w:val="00F06318"/>
    <w:rsid w:val="00F06BF0"/>
    <w:rsid w:val="00F07C63"/>
    <w:rsid w:val="00F1069A"/>
    <w:rsid w:val="00F11F48"/>
    <w:rsid w:val="00F1286A"/>
    <w:rsid w:val="00F13D3D"/>
    <w:rsid w:val="00F22587"/>
    <w:rsid w:val="00F27340"/>
    <w:rsid w:val="00F319FE"/>
    <w:rsid w:val="00F334A2"/>
    <w:rsid w:val="00F35DE4"/>
    <w:rsid w:val="00F371EC"/>
    <w:rsid w:val="00F40687"/>
    <w:rsid w:val="00F40F76"/>
    <w:rsid w:val="00F41933"/>
    <w:rsid w:val="00F436EC"/>
    <w:rsid w:val="00F44368"/>
    <w:rsid w:val="00F45602"/>
    <w:rsid w:val="00F53C36"/>
    <w:rsid w:val="00F62C46"/>
    <w:rsid w:val="00F63A89"/>
    <w:rsid w:val="00F65641"/>
    <w:rsid w:val="00F7394B"/>
    <w:rsid w:val="00F73EB8"/>
    <w:rsid w:val="00F814FF"/>
    <w:rsid w:val="00F81E51"/>
    <w:rsid w:val="00F82C49"/>
    <w:rsid w:val="00F84A72"/>
    <w:rsid w:val="00F91A5E"/>
    <w:rsid w:val="00F91DC2"/>
    <w:rsid w:val="00F93488"/>
    <w:rsid w:val="00F97EFD"/>
    <w:rsid w:val="00FA0FAF"/>
    <w:rsid w:val="00FA0FE8"/>
    <w:rsid w:val="00FA416D"/>
    <w:rsid w:val="00FA60DB"/>
    <w:rsid w:val="00FB015D"/>
    <w:rsid w:val="00FB2448"/>
    <w:rsid w:val="00FB2531"/>
    <w:rsid w:val="00FB35D6"/>
    <w:rsid w:val="00FC1A11"/>
    <w:rsid w:val="00FD013E"/>
    <w:rsid w:val="00FD262B"/>
    <w:rsid w:val="00FD2B50"/>
    <w:rsid w:val="00FD7BB6"/>
    <w:rsid w:val="00FE1216"/>
    <w:rsid w:val="00FE429D"/>
    <w:rsid w:val="00FE4F2F"/>
    <w:rsid w:val="00FE6BEE"/>
    <w:rsid w:val="00F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A0027D"/>
  <w15:docId w15:val="{F6DD482C-5BB1-4592-8E05-E3CFE2569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Trebuchet MS" w:hAnsi="Trebuchet MS" w:cs="Arial"/>
      <w:color w:val="000000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before="40"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before="40"/>
      <w:jc w:val="center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Nagwek2Znak">
    <w:name w:val="Nagłówek 2 Znak"/>
    <w:link w:val="Nagwek2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styleId="UyteHipercze">
    <w:name w:val="FollowedHyperlink"/>
    <w:semiHidden/>
    <w:rPr>
      <w:rFonts w:cs="Times New Roman"/>
      <w:color w:val="800080"/>
      <w:u w:val="single"/>
    </w:rPr>
  </w:style>
  <w:style w:type="paragraph" w:styleId="Tekstpodstawowywcity">
    <w:name w:val="Body Text Indent"/>
    <w:basedOn w:val="Normalny"/>
    <w:link w:val="TekstpodstawowywcityZnak"/>
    <w:semiHidden/>
    <w:pPr>
      <w:ind w:firstLine="709"/>
      <w:jc w:val="both"/>
    </w:pPr>
    <w:rPr>
      <w:bCs/>
      <w:iCs/>
    </w:rPr>
  </w:style>
  <w:style w:type="character" w:customStyle="1" w:styleId="TekstpodstawowywcityZnak">
    <w:name w:val="Tekst podstawowy wcięty Znak"/>
    <w:link w:val="Tekstpodstawowywcity"/>
    <w:semiHidden/>
    <w:locked/>
    <w:rPr>
      <w:rFonts w:ascii="Trebuchet MS" w:hAnsi="Trebuchet MS" w:cs="Arial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Pr>
      <w:rFonts w:ascii="Trebuchet MS" w:hAnsi="Trebuchet MS" w:cs="Arial"/>
      <w:color w:val="00000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Pr>
      <w:rFonts w:ascii="Trebuchet MS" w:hAnsi="Trebuchet MS" w:cs="Arial"/>
      <w:color w:val="000000"/>
    </w:rPr>
  </w:style>
  <w:style w:type="character" w:styleId="Hipercze">
    <w:name w:val="Hyperlink"/>
    <w:semiHidden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color w:val="000000"/>
      <w:sz w:val="16"/>
      <w:szCs w:val="16"/>
    </w:rPr>
  </w:style>
  <w:style w:type="table" w:styleId="Tabela-Siatka">
    <w:name w:val="Table Grid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ezodstpw1">
    <w:name w:val="Bez odstępów1"/>
    <w:link w:val="NoSpacingChar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odstpw1"/>
    <w:locked/>
    <w:rPr>
      <w:rFonts w:ascii="Calibri" w:hAnsi="Calibri" w:cs="Times New Roman"/>
      <w:sz w:val="22"/>
      <w:szCs w:val="22"/>
      <w:lang w:val="pl-PL" w:eastAsia="en-US" w:bidi="ar-SA"/>
    </w:rPr>
  </w:style>
  <w:style w:type="paragraph" w:styleId="Tekstprzypisukocowego">
    <w:name w:val="endnote text"/>
    <w:basedOn w:val="Normalny"/>
    <w:link w:val="TekstprzypisukocowegoZnak"/>
    <w:semiHidden/>
  </w:style>
  <w:style w:type="character" w:customStyle="1" w:styleId="TekstprzypisukocowegoZnak">
    <w:name w:val="Tekst przypisu końcowego Znak"/>
    <w:link w:val="Tekstprzypisukocowego"/>
    <w:semiHidden/>
    <w:locked/>
    <w:rPr>
      <w:rFonts w:ascii="Trebuchet MS" w:hAnsi="Trebuchet MS" w:cs="Arial"/>
      <w:color w:val="000000"/>
    </w:rPr>
  </w:style>
  <w:style w:type="character" w:styleId="Odwoanieprzypisukocowego">
    <w:name w:val="endnote reference"/>
    <w:semiHidden/>
    <w:rPr>
      <w:rFonts w:cs="Times New Roman"/>
      <w:vertAlign w:val="superscript"/>
    </w:rPr>
  </w:style>
  <w:style w:type="character" w:styleId="Odwoaniedokomentarza">
    <w:name w:val="annotation reference"/>
    <w:semiHidden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</w:style>
  <w:style w:type="character" w:customStyle="1" w:styleId="TekstkomentarzaZnak">
    <w:name w:val="Tekst komentarza Znak"/>
    <w:link w:val="Tekstkomentarza"/>
    <w:semiHidden/>
    <w:locked/>
    <w:rPr>
      <w:rFonts w:ascii="Trebuchet MS" w:hAnsi="Trebuchet MS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ascii="Trebuchet MS" w:hAnsi="Trebuchet MS" w:cs="Arial"/>
      <w:b/>
      <w:bCs/>
      <w:color w:val="000000"/>
      <w:sz w:val="20"/>
      <w:szCs w:val="20"/>
    </w:rPr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qFormat/>
    <w:locked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Pogrubienie">
    <w:name w:val="Strong"/>
    <w:uiPriority w:val="22"/>
    <w:qFormat/>
    <w:locked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Pr>
      <w:rFonts w:ascii="Trebuchet MS" w:hAnsi="Trebuchet MS" w:cs="Arial"/>
      <w:color w:val="000000"/>
    </w:rPr>
  </w:style>
  <w:style w:type="character" w:customStyle="1" w:styleId="cf01">
    <w:name w:val="cf01"/>
    <w:basedOn w:val="Domylnaczcionkaakapitu"/>
    <w:rsid w:val="00A753E1"/>
    <w:rPr>
      <w:rFonts w:ascii="Segoe UI" w:hAnsi="Segoe UI" w:cs="Segoe UI" w:hint="default"/>
      <w:sz w:val="18"/>
      <w:szCs w:val="18"/>
    </w:rPr>
  </w:style>
  <w:style w:type="paragraph" w:customStyle="1" w:styleId="sh-preserve-font-family1">
    <w:name w:val="sh-preserve-font-family1"/>
    <w:basedOn w:val="Normalny"/>
    <w:rsid w:val="00A43E7F"/>
    <w:pPr>
      <w:spacing w:before="100" w:beforeAutospacing="1" w:after="100" w:afterAutospacing="1"/>
    </w:pPr>
    <w:rPr>
      <w:rFonts w:ascii="Aptos" w:eastAsiaTheme="minorHAnsi" w:hAnsi="Aptos" w:cs="Aptos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zpf.pl/sektor-posrednictwa-finansowego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zpf.pl/kongres-posrednictwa-finansowego/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http://www.linkedin.com/company/zp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edia@zpf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C00A69D05B64F99D91E92C8110FF8" ma:contentTypeVersion="10" ma:contentTypeDescription="Create a new document." ma:contentTypeScope="" ma:versionID="2b2d240cb8738c5022ede7b6811bacce">
  <xsd:schema xmlns:xsd="http://www.w3.org/2001/XMLSchema" xmlns:xs="http://www.w3.org/2001/XMLSchema" xmlns:p="http://schemas.microsoft.com/office/2006/metadata/properties" xmlns:ns3="7be5af01-5629-49e0-91eb-d1284d3b6fa9" targetNamespace="http://schemas.microsoft.com/office/2006/metadata/properties" ma:root="true" ma:fieldsID="2b81217c186fe46fa8875950d7a76514" ns3:_="">
    <xsd:import namespace="7be5af01-5629-49e0-91eb-d1284d3b6fa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5af01-5629-49e0-91eb-d1284d3b6fa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e5af01-5629-49e0-91eb-d1284d3b6fa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C96614-D94F-4B93-94C6-5C87FA660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5af01-5629-49e0-91eb-d1284d3b6f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3A9627-CFB8-4923-BDE6-22939A836F5F}">
  <ds:schemaRefs>
    <ds:schemaRef ds:uri="http://schemas.microsoft.com/office/2006/metadata/properties"/>
    <ds:schemaRef ds:uri="http://schemas.microsoft.com/office/infopath/2007/PartnerControls"/>
    <ds:schemaRef ds:uri="7be5af01-5629-49e0-91eb-d1284d3b6fa9"/>
  </ds:schemaRefs>
</ds:datastoreItem>
</file>

<file path=customXml/itemProps3.xml><?xml version="1.0" encoding="utf-8"?>
<ds:datastoreItem xmlns:ds="http://schemas.openxmlformats.org/officeDocument/2006/customXml" ds:itemID="{D54EC2C1-354E-4107-8091-3E3D19B50A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682AB3-6677-4944-9581-01ABE4B2F9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1094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KPF</Company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Frąckowiak</dc:creator>
  <cp:lastModifiedBy>Agnieszka Frąckowiak</cp:lastModifiedBy>
  <cp:revision>3</cp:revision>
  <cp:lastPrinted>2026-05-21T08:14:00Z</cp:lastPrinted>
  <dcterms:created xsi:type="dcterms:W3CDTF">2026-08-19T12:56:00Z</dcterms:created>
  <dcterms:modified xsi:type="dcterms:W3CDTF">2026-08-19T12:57:00Z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0x0101005FAC00A69D05B64F99D91E92C8110FF8</vt:lpwstr>
  </property>
</Properties>
</file>