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EAA9A" w14:textId="5E1F190A" w:rsidR="0043004B" w:rsidRPr="00F0723B" w:rsidRDefault="00F0723B">
      <w:r w:rsidRPr="00F0723B">
        <w:t>Sprzedaż pożyczek dla klientów indywidualnych przez instytucje pożyczkowe</w:t>
      </w:r>
      <w:r w:rsidRPr="00F0723B">
        <w:t xml:space="preserve"> </w:t>
      </w:r>
    </w:p>
    <w:p w14:paraId="5FA9BE4E" w14:textId="77777777" w:rsidR="00F0723B" w:rsidRPr="00F0723B" w:rsidRDefault="00F0723B" w:rsidP="00F0723B">
      <w:pPr>
        <w:autoSpaceDE w:val="0"/>
        <w:autoSpaceDN w:val="0"/>
        <w:adjustRightInd w:val="0"/>
        <w:spacing w:after="0" w:line="240" w:lineRule="auto"/>
        <w:rPr>
          <w:b/>
          <w:bCs/>
          <w:color w:val="475055"/>
          <w:kern w:val="0"/>
        </w:rPr>
      </w:pPr>
      <w:r w:rsidRPr="00F0723B">
        <w:rPr>
          <w:b/>
          <w:bCs/>
          <w:color w:val="475055"/>
          <w:kern w:val="0"/>
        </w:rPr>
        <w:t>Polski rynek pożyczek pozabankowych opiera się na dwóch głównych segmentach produktowych</w:t>
      </w:r>
    </w:p>
    <w:p w14:paraId="0DF6B1E5" w14:textId="77777777" w:rsidR="00F0723B" w:rsidRPr="00F0723B" w:rsidRDefault="00F0723B" w:rsidP="00F0723B">
      <w:pPr>
        <w:autoSpaceDE w:val="0"/>
        <w:autoSpaceDN w:val="0"/>
        <w:adjustRightInd w:val="0"/>
        <w:spacing w:after="0" w:line="240" w:lineRule="auto"/>
        <w:rPr>
          <w:color w:val="475055"/>
          <w:kern w:val="0"/>
        </w:rPr>
      </w:pPr>
      <w:r w:rsidRPr="00F0723B">
        <w:rPr>
          <w:b/>
          <w:bCs/>
          <w:color w:val="475055"/>
          <w:kern w:val="0"/>
        </w:rPr>
        <w:t xml:space="preserve">posiadających swoje specyficzne cechy. </w:t>
      </w:r>
      <w:r w:rsidRPr="00F0723B">
        <w:rPr>
          <w:color w:val="475055"/>
          <w:kern w:val="0"/>
        </w:rPr>
        <w:t>Pierwszym są pożyczki gotówkowe, które wypłacane są</w:t>
      </w:r>
    </w:p>
    <w:p w14:paraId="13FAA32A" w14:textId="3D83F3FF" w:rsidR="00F0723B" w:rsidRDefault="00F0723B" w:rsidP="00F0723B">
      <w:pPr>
        <w:autoSpaceDE w:val="0"/>
        <w:autoSpaceDN w:val="0"/>
        <w:adjustRightInd w:val="0"/>
        <w:spacing w:after="0" w:line="240" w:lineRule="auto"/>
        <w:rPr>
          <w:color w:val="475055"/>
          <w:kern w:val="0"/>
        </w:rPr>
      </w:pPr>
      <w:r w:rsidRPr="00F0723B">
        <w:rPr>
          <w:color w:val="475055"/>
          <w:kern w:val="0"/>
        </w:rPr>
        <w:t>bezpośrednio na konto pożyczkobiorcy i mogą być przez niego wykorzystywane na dowolny cel, w tym</w:t>
      </w:r>
      <w:r>
        <w:rPr>
          <w:color w:val="475055"/>
          <w:kern w:val="0"/>
        </w:rPr>
        <w:t xml:space="preserve"> </w:t>
      </w:r>
      <w:r w:rsidRPr="00F0723B">
        <w:rPr>
          <w:color w:val="475055"/>
          <w:kern w:val="0"/>
        </w:rPr>
        <w:t>na wsparcie budżetu domowego lub na inne wydatki konsumpcyjne. W segmencie tym można wyróżnić</w:t>
      </w:r>
      <w:r>
        <w:rPr>
          <w:color w:val="475055"/>
          <w:kern w:val="0"/>
        </w:rPr>
        <w:t xml:space="preserve"> </w:t>
      </w:r>
      <w:r w:rsidRPr="00F0723B">
        <w:rPr>
          <w:color w:val="475055"/>
          <w:kern w:val="0"/>
        </w:rPr>
        <w:t>dwie kategorie pożyczek gotówkowych: pożyczki udzielane na niskie kwoty i krótkie okresy (do 60 dni)</w:t>
      </w:r>
      <w:r>
        <w:rPr>
          <w:color w:val="475055"/>
          <w:kern w:val="0"/>
        </w:rPr>
        <w:t xml:space="preserve"> </w:t>
      </w:r>
      <w:r w:rsidRPr="00F0723B">
        <w:rPr>
          <w:color w:val="475055"/>
          <w:kern w:val="0"/>
        </w:rPr>
        <w:t>oraz na wyższe kwoty i dłuższe, często kilkuletnie okresy (pow. 60 dni).</w:t>
      </w:r>
    </w:p>
    <w:p w14:paraId="04330D94" w14:textId="4C6F0A71" w:rsidR="00F0723B" w:rsidRPr="00F0723B" w:rsidRDefault="00F0723B" w:rsidP="00F0723B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F0723B">
        <w:rPr>
          <w:b/>
          <w:bCs/>
        </w:rPr>
        <w:t>Segment pożyczek gotówkowych</w:t>
      </w:r>
      <w:r w:rsidRPr="00F0723B">
        <w:t xml:space="preserve"> </w:t>
      </w:r>
      <w:r>
        <w:t>do 60 dni</w:t>
      </w:r>
    </w:p>
    <w:p w14:paraId="359CAA21" w14:textId="12C77561" w:rsidR="00F0723B" w:rsidRDefault="00F0723B" w:rsidP="00F0723B">
      <w:pPr>
        <w:autoSpaceDE w:val="0"/>
        <w:autoSpaceDN w:val="0"/>
        <w:adjustRightInd w:val="0"/>
        <w:spacing w:after="0" w:line="240" w:lineRule="auto"/>
      </w:pPr>
      <w:r>
        <w:t>Lipcowa wartość sprzedaży pożyczek gotówkowych to 1,354 mld zł i była ona wyższa o +15,0% r/r.</w:t>
      </w:r>
    </w:p>
    <w:p w14:paraId="563772C7" w14:textId="77777777" w:rsidR="00F0723B" w:rsidRDefault="00F0723B" w:rsidP="00F0723B">
      <w:pPr>
        <w:autoSpaceDE w:val="0"/>
        <w:autoSpaceDN w:val="0"/>
        <w:adjustRightInd w:val="0"/>
        <w:spacing w:after="0" w:line="240" w:lineRule="auto"/>
      </w:pPr>
      <w:r>
        <w:t>W lipcu 2026 r. zostało udzielonych 486 tys. pożyczek, czyli o 2,2% więcej r/r. Pożyczki te stanowiły</w:t>
      </w:r>
    </w:p>
    <w:p w14:paraId="283B1E60" w14:textId="77777777" w:rsidR="00F0723B" w:rsidRDefault="00F0723B" w:rsidP="00F0723B">
      <w:pPr>
        <w:autoSpaceDE w:val="0"/>
        <w:autoSpaceDN w:val="0"/>
        <w:adjustRightInd w:val="0"/>
        <w:spacing w:after="0" w:line="240" w:lineRule="auto"/>
      </w:pPr>
      <w:r>
        <w:t>70,15% wartości i 84,4% liczby przyznanych w lipcu tego roku pożyczek gotówkowych. Średnia wartość</w:t>
      </w:r>
    </w:p>
    <w:p w14:paraId="7F0919CB" w14:textId="77777777" w:rsidR="00F0723B" w:rsidRDefault="00F0723B" w:rsidP="00F0723B">
      <w:pPr>
        <w:autoSpaceDE w:val="0"/>
        <w:autoSpaceDN w:val="0"/>
        <w:adjustRightInd w:val="0"/>
        <w:spacing w:after="0" w:line="240" w:lineRule="auto"/>
      </w:pPr>
      <w:r>
        <w:t>pożyczki gotówkowej do 60 dni wyniosła 3 112 zł i była o 13,7% wyższa od średniej kwoty udzielonej</w:t>
      </w:r>
    </w:p>
    <w:p w14:paraId="1B2F878B" w14:textId="77777777" w:rsidR="00F0723B" w:rsidRDefault="00F0723B" w:rsidP="00F0723B">
      <w:pPr>
        <w:autoSpaceDE w:val="0"/>
        <w:autoSpaceDN w:val="0"/>
        <w:adjustRightInd w:val="0"/>
        <w:spacing w:after="0" w:line="240" w:lineRule="auto"/>
      </w:pPr>
      <w:r>
        <w:t>w lipcu rok temu.</w:t>
      </w:r>
    </w:p>
    <w:p w14:paraId="096FB0A6" w14:textId="77777777" w:rsidR="00F0723B" w:rsidRDefault="00F0723B" w:rsidP="00F0723B">
      <w:pPr>
        <w:autoSpaceDE w:val="0"/>
        <w:autoSpaceDN w:val="0"/>
        <w:adjustRightInd w:val="0"/>
        <w:spacing w:after="0" w:line="240" w:lineRule="auto"/>
      </w:pPr>
      <w:r w:rsidRPr="00F0723B">
        <w:rPr>
          <w:b/>
          <w:bCs/>
        </w:rPr>
        <w:t>W pierwszych siedmiu miesiącach 2026 r.</w:t>
      </w:r>
      <w:r>
        <w:t xml:space="preserve"> udzielonych zostało 3,273 mln pożyczek co oznacza wzrost</w:t>
      </w:r>
    </w:p>
    <w:p w14:paraId="1CD878EB" w14:textId="77777777" w:rsidR="00F0723B" w:rsidRDefault="00F0723B" w:rsidP="00F0723B">
      <w:pPr>
        <w:autoSpaceDE w:val="0"/>
        <w:autoSpaceDN w:val="0"/>
        <w:adjustRightInd w:val="0"/>
        <w:spacing w:after="0" w:line="240" w:lineRule="auto"/>
      </w:pPr>
      <w:r>
        <w:t>w porównaniu do analogicznego okresu 2025 r. o 2,6%. W ujęciu wartościowym udzielono finansowania</w:t>
      </w:r>
    </w:p>
    <w:p w14:paraId="37A39415" w14:textId="77777777" w:rsidR="00F0723B" w:rsidRDefault="00F0723B" w:rsidP="00F0723B">
      <w:pPr>
        <w:autoSpaceDE w:val="0"/>
        <w:autoSpaceDN w:val="0"/>
        <w:adjustRightInd w:val="0"/>
        <w:spacing w:after="0" w:line="240" w:lineRule="auto"/>
      </w:pPr>
      <w:r>
        <w:t>na kwotę 8,775 mld zł, co oznacza dodatnią dynamikę na poziomie 15,7%.</w:t>
      </w:r>
    </w:p>
    <w:p w14:paraId="130DF093" w14:textId="77777777" w:rsidR="00F0723B" w:rsidRDefault="00F0723B" w:rsidP="00F0723B">
      <w:pPr>
        <w:autoSpaceDE w:val="0"/>
        <w:autoSpaceDN w:val="0"/>
        <w:adjustRightInd w:val="0"/>
        <w:spacing w:after="0" w:line="240" w:lineRule="auto"/>
      </w:pPr>
    </w:p>
    <w:p w14:paraId="1974B2C3" w14:textId="3A70C3A2" w:rsidR="00F0723B" w:rsidRDefault="00F0723B" w:rsidP="00F0723B">
      <w:pPr>
        <w:autoSpaceDE w:val="0"/>
        <w:autoSpaceDN w:val="0"/>
        <w:adjustRightInd w:val="0"/>
        <w:spacing w:after="0" w:line="240" w:lineRule="auto"/>
      </w:pPr>
      <w:r>
        <w:t xml:space="preserve">W lipcu 2026 r. </w:t>
      </w:r>
      <w:r w:rsidRPr="00F0723B">
        <w:rPr>
          <w:b/>
          <w:bCs/>
        </w:rPr>
        <w:t>pożyczek gotówkowych na okres powyżej 60 dni</w:t>
      </w:r>
      <w:r>
        <w:t xml:space="preserve"> udzielono na wartość 576 mln zł</w:t>
      </w:r>
    </w:p>
    <w:p w14:paraId="2CFAA11B" w14:textId="77777777" w:rsidR="00F0723B" w:rsidRDefault="00F0723B" w:rsidP="00F0723B">
      <w:pPr>
        <w:autoSpaceDE w:val="0"/>
        <w:autoSpaceDN w:val="0"/>
        <w:adjustRightInd w:val="0"/>
        <w:spacing w:after="0" w:line="240" w:lineRule="auto"/>
      </w:pPr>
      <w:r>
        <w:t>(+13,0% r/r). Przyznano ich łącznie 90 tys. szt., co w porównaniu z lipcem 2025 r. oznacza wzrost o 5,0%.</w:t>
      </w:r>
    </w:p>
    <w:p w14:paraId="2603607A" w14:textId="77777777" w:rsidR="00F0723B" w:rsidRDefault="00F0723B" w:rsidP="00F0723B">
      <w:pPr>
        <w:autoSpaceDE w:val="0"/>
        <w:autoSpaceDN w:val="0"/>
        <w:adjustRightInd w:val="0"/>
        <w:spacing w:after="0" w:line="240" w:lineRule="auto"/>
      </w:pPr>
      <w:r>
        <w:t>Średnia wartość pożyczki gotówkowej powyżej 60 dni wyniosła 6 400 zł i była o 7,5% wyższa od średniej</w:t>
      </w:r>
    </w:p>
    <w:p w14:paraId="6A98EFBA" w14:textId="77777777" w:rsidR="00F0723B" w:rsidRDefault="00F0723B" w:rsidP="00F0723B">
      <w:pPr>
        <w:autoSpaceDE w:val="0"/>
        <w:autoSpaceDN w:val="0"/>
        <w:adjustRightInd w:val="0"/>
        <w:spacing w:after="0" w:line="240" w:lineRule="auto"/>
      </w:pPr>
      <w:r>
        <w:t>kwoty udzielonej w lipcu ub. roku.</w:t>
      </w:r>
    </w:p>
    <w:p w14:paraId="08319062" w14:textId="77777777" w:rsidR="00F0723B" w:rsidRDefault="00F0723B" w:rsidP="00F0723B">
      <w:pPr>
        <w:autoSpaceDE w:val="0"/>
        <w:autoSpaceDN w:val="0"/>
        <w:adjustRightInd w:val="0"/>
        <w:spacing w:after="0" w:line="240" w:lineRule="auto"/>
      </w:pPr>
      <w:r w:rsidRPr="00F0723B">
        <w:rPr>
          <w:b/>
          <w:bCs/>
        </w:rPr>
        <w:t>W okresie styczeń – lipiec 2026 r. udzielonych</w:t>
      </w:r>
      <w:r>
        <w:t xml:space="preserve"> zostało 564 tys. pożyczek co oznacza wzrost w porównaniu</w:t>
      </w:r>
    </w:p>
    <w:p w14:paraId="6C7B7AD1" w14:textId="7197683B" w:rsidR="00F0723B" w:rsidRDefault="00F0723B" w:rsidP="00F0723B">
      <w:pPr>
        <w:autoSpaceDE w:val="0"/>
        <w:autoSpaceDN w:val="0"/>
        <w:adjustRightInd w:val="0"/>
        <w:spacing w:after="0" w:line="240" w:lineRule="auto"/>
      </w:pPr>
      <w:r>
        <w:t>do siedmiu miesięcy 2025 r. o 5,3%. W ujęciu wartościowym udzielono finansowania na kwotę 3,598 mld zł,</w:t>
      </w:r>
      <w:r>
        <w:t xml:space="preserve"> </w:t>
      </w:r>
      <w:r>
        <w:t>co oznacza dodatnią dynamikę na poziomie 16,2%.</w:t>
      </w:r>
    </w:p>
    <w:p w14:paraId="3E53D139" w14:textId="77777777" w:rsidR="00F0723B" w:rsidRDefault="00F0723B" w:rsidP="00F0723B">
      <w:pPr>
        <w:autoSpaceDE w:val="0"/>
        <w:autoSpaceDN w:val="0"/>
        <w:adjustRightInd w:val="0"/>
        <w:spacing w:after="0" w:line="240" w:lineRule="auto"/>
      </w:pPr>
    </w:p>
    <w:p w14:paraId="5BEB7410" w14:textId="77777777" w:rsidR="00F0723B" w:rsidRPr="00F0723B" w:rsidRDefault="00F0723B" w:rsidP="00F0723B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F0723B">
        <w:rPr>
          <w:b/>
          <w:bCs/>
        </w:rPr>
        <w:t>Segment pożyczek ratalnych (poprzednio określanych jako celowe)</w:t>
      </w:r>
    </w:p>
    <w:p w14:paraId="72D0746F" w14:textId="77777777" w:rsidR="00F0723B" w:rsidRDefault="00F0723B" w:rsidP="00F0723B">
      <w:pPr>
        <w:autoSpaceDE w:val="0"/>
        <w:autoSpaceDN w:val="0"/>
        <w:adjustRightInd w:val="0"/>
        <w:spacing w:after="0" w:line="240" w:lineRule="auto"/>
      </w:pPr>
      <w:r>
        <w:t>Pożyczki ratalne charakteryzują się niską kwotą, na jaka są udzielane oraz finansowaniem określonego</w:t>
      </w:r>
    </w:p>
    <w:p w14:paraId="6F3ABDA7" w14:textId="44C6601C" w:rsidR="00F0723B" w:rsidRDefault="00F0723B" w:rsidP="00F0723B">
      <w:pPr>
        <w:autoSpaceDE w:val="0"/>
        <w:autoSpaceDN w:val="0"/>
        <w:adjustRightInd w:val="0"/>
        <w:spacing w:after="0" w:line="240" w:lineRule="auto"/>
      </w:pPr>
      <w:r>
        <w:t>celu, jakim jest np. zakup towarów czy usług; nie jest więc bezpośrednio udostępniana klientowi gotówka,</w:t>
      </w:r>
      <w:r>
        <w:t xml:space="preserve"> </w:t>
      </w:r>
      <w:r>
        <w:t>którą może dysponować.</w:t>
      </w:r>
    </w:p>
    <w:p w14:paraId="0DA4F562" w14:textId="77777777" w:rsidR="00F0723B" w:rsidRDefault="00F0723B" w:rsidP="00F0723B">
      <w:pPr>
        <w:autoSpaceDE w:val="0"/>
        <w:autoSpaceDN w:val="0"/>
        <w:adjustRightInd w:val="0"/>
        <w:spacing w:after="0" w:line="240" w:lineRule="auto"/>
      </w:pPr>
    </w:p>
    <w:p w14:paraId="3B8A9306" w14:textId="0961F29C" w:rsidR="00F0723B" w:rsidRDefault="00F0723B" w:rsidP="00F0723B">
      <w:pPr>
        <w:autoSpaceDE w:val="0"/>
        <w:autoSpaceDN w:val="0"/>
        <w:adjustRightInd w:val="0"/>
        <w:spacing w:after="0" w:line="240" w:lineRule="auto"/>
      </w:pPr>
      <w:r>
        <w:t>W lipcu 2026 r. firmy pożyczkowe udzieliły łącznie 1,092 mln szt. pożyczek ratalnych (+18,5% r/r) na</w:t>
      </w:r>
    </w:p>
    <w:p w14:paraId="4E3721A0" w14:textId="77777777" w:rsidR="00F0723B" w:rsidRDefault="00F0723B" w:rsidP="00F0723B">
      <w:pPr>
        <w:autoSpaceDE w:val="0"/>
        <w:autoSpaceDN w:val="0"/>
        <w:adjustRightInd w:val="0"/>
        <w:spacing w:after="0" w:line="240" w:lineRule="auto"/>
      </w:pPr>
      <w:r>
        <w:t>kwotę 751 mln zł (+23,7% r/r). Średnia wartość pożyczki ratalnej wyniosła 688 zł i była o 4,4% wyższa</w:t>
      </w:r>
    </w:p>
    <w:p w14:paraId="3411C5CD" w14:textId="77777777" w:rsidR="00F0723B" w:rsidRDefault="00F0723B" w:rsidP="00F0723B">
      <w:pPr>
        <w:autoSpaceDE w:val="0"/>
        <w:autoSpaceDN w:val="0"/>
        <w:adjustRightInd w:val="0"/>
        <w:spacing w:after="0" w:line="240" w:lineRule="auto"/>
      </w:pPr>
      <w:r>
        <w:t>od średniej wartości takiej pożyczki udzielonej w lipcu 2025 roku.</w:t>
      </w:r>
    </w:p>
    <w:p w14:paraId="522DC180" w14:textId="77777777" w:rsidR="00F0723B" w:rsidRDefault="00F0723B" w:rsidP="00F0723B">
      <w:pPr>
        <w:autoSpaceDE w:val="0"/>
        <w:autoSpaceDN w:val="0"/>
        <w:adjustRightInd w:val="0"/>
        <w:spacing w:after="0" w:line="240" w:lineRule="auto"/>
      </w:pPr>
    </w:p>
    <w:p w14:paraId="28DE18AC" w14:textId="0C66789C" w:rsidR="00F0723B" w:rsidRDefault="00F0723B" w:rsidP="00F0723B">
      <w:pPr>
        <w:autoSpaceDE w:val="0"/>
        <w:autoSpaceDN w:val="0"/>
        <w:adjustRightInd w:val="0"/>
        <w:spacing w:after="0" w:line="240" w:lineRule="auto"/>
      </w:pPr>
      <w:r>
        <w:t>W</w:t>
      </w:r>
      <w:r w:rsidRPr="00F0723B">
        <w:rPr>
          <w:b/>
          <w:bCs/>
        </w:rPr>
        <w:t xml:space="preserve"> okresie styczeń – lipiec 2026 r.</w:t>
      </w:r>
      <w:r>
        <w:t xml:space="preserve"> udzielonych zostało 7,215 mln szt. pożyczek, co oznacza wzrost</w:t>
      </w:r>
    </w:p>
    <w:p w14:paraId="6B655819" w14:textId="77777777" w:rsidR="00F0723B" w:rsidRDefault="00F0723B" w:rsidP="00F0723B">
      <w:pPr>
        <w:autoSpaceDE w:val="0"/>
        <w:autoSpaceDN w:val="0"/>
        <w:adjustRightInd w:val="0"/>
        <w:spacing w:after="0" w:line="240" w:lineRule="auto"/>
      </w:pPr>
      <w:r>
        <w:t>w porównaniu do tego samego okresu 2025 r. o 18,6%. W ujęciu wartościowym udzielono finansowania</w:t>
      </w:r>
    </w:p>
    <w:p w14:paraId="29F19A37" w14:textId="77777777" w:rsidR="00F0723B" w:rsidRDefault="00F0723B" w:rsidP="00F0723B">
      <w:pPr>
        <w:autoSpaceDE w:val="0"/>
        <w:autoSpaceDN w:val="0"/>
        <w:adjustRightInd w:val="0"/>
        <w:spacing w:after="0" w:line="240" w:lineRule="auto"/>
      </w:pPr>
      <w:r>
        <w:t>na kwotę 4,861 mld zł, co oznacza dodatnią dynamikę na poziomie 21,2%.</w:t>
      </w:r>
    </w:p>
    <w:p w14:paraId="0686A78D" w14:textId="77777777" w:rsidR="00F0723B" w:rsidRDefault="00F0723B" w:rsidP="00F0723B">
      <w:pPr>
        <w:autoSpaceDE w:val="0"/>
        <w:autoSpaceDN w:val="0"/>
        <w:adjustRightInd w:val="0"/>
        <w:spacing w:after="0" w:line="240" w:lineRule="auto"/>
      </w:pPr>
    </w:p>
    <w:p w14:paraId="34B5EF72" w14:textId="40653A9E" w:rsidR="00F0723B" w:rsidRDefault="00F0723B" w:rsidP="00F0723B">
      <w:pPr>
        <w:autoSpaceDE w:val="0"/>
        <w:autoSpaceDN w:val="0"/>
        <w:adjustRightInd w:val="0"/>
        <w:spacing w:after="0" w:line="240" w:lineRule="auto"/>
      </w:pPr>
      <w:r>
        <w:t>Wszystkie prezentowane dane w pełni odzwierciedlają obecną sytuację rynkową na rynku pożyczek</w:t>
      </w:r>
    </w:p>
    <w:p w14:paraId="5DF823BF" w14:textId="42AFBC7C" w:rsidR="00F0723B" w:rsidRPr="00F0723B" w:rsidRDefault="00F0723B" w:rsidP="00F0723B">
      <w:pPr>
        <w:autoSpaceDE w:val="0"/>
        <w:autoSpaceDN w:val="0"/>
        <w:adjustRightInd w:val="0"/>
        <w:spacing w:after="0" w:line="240" w:lineRule="auto"/>
      </w:pPr>
      <w:r>
        <w:t>pozabankowych.</w:t>
      </w:r>
    </w:p>
    <w:sectPr w:rsidR="00F0723B" w:rsidRPr="00F0723B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84FD9" w14:textId="77777777" w:rsidR="00106307" w:rsidRDefault="00106307" w:rsidP="00F0723B">
      <w:pPr>
        <w:spacing w:after="0" w:line="240" w:lineRule="auto"/>
      </w:pPr>
      <w:r>
        <w:separator/>
      </w:r>
    </w:p>
  </w:endnote>
  <w:endnote w:type="continuationSeparator" w:id="0">
    <w:p w14:paraId="3457949B" w14:textId="77777777" w:rsidR="00106307" w:rsidRDefault="00106307" w:rsidP="00F07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40A8" w14:textId="48D771A1" w:rsidR="00F0723B" w:rsidRDefault="00F0723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2EF978" wp14:editId="16F1A032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551940" cy="370205"/>
              <wp:effectExtent l="0" t="0" r="0" b="0"/>
              <wp:wrapNone/>
              <wp:docPr id="1963414804" name="Pole tekstowe 2" descr="Informacje Wewnętrz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1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E80ABA" w14:textId="28F07E84" w:rsidR="00F0723B" w:rsidRPr="00F0723B" w:rsidRDefault="00F0723B" w:rsidP="00F0723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F0723B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Informacje Wewnętrzne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EF97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Informacje Wewnętrzne" style="position:absolute;margin-left:71pt;margin-top:0;width:122.2pt;height:29.1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" filled="f" stroked="f">
              <v:fill o:detectmouseclick="t"/>
              <v:textbox style="mso-fit-shape-to-text:t" inset="0,0,20pt,15pt">
                <w:txbxContent>
                  <w:p w14:paraId="68E80ABA" w14:textId="28F07E84" w:rsidR="00F0723B" w:rsidRPr="00F0723B" w:rsidRDefault="00F0723B" w:rsidP="00F0723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F0723B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Informacje Wewnętrzne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3FEA7" w14:textId="36923E05" w:rsidR="00F0723B" w:rsidRDefault="00F0723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621697" wp14:editId="4EB016E4">
              <wp:simplePos x="899160" y="1007364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551940" cy="370205"/>
              <wp:effectExtent l="0" t="0" r="0" b="0"/>
              <wp:wrapNone/>
              <wp:docPr id="380320110" name="Pole tekstowe 3" descr="Informacje Wewnętrz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1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393159" w14:textId="6526F334" w:rsidR="00F0723B" w:rsidRPr="00F0723B" w:rsidRDefault="00F0723B" w:rsidP="00F0723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F0723B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Informacje Wewnętrzne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62169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Informacje Wewnętrzne" style="position:absolute;margin-left:71pt;margin-top:0;width:122.2pt;height:29.1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" filled="f" stroked="f">
              <v:fill o:detectmouseclick="t"/>
              <v:textbox style="mso-fit-shape-to-text:t" inset="0,0,20pt,15pt">
                <w:txbxContent>
                  <w:p w14:paraId="18393159" w14:textId="6526F334" w:rsidR="00F0723B" w:rsidRPr="00F0723B" w:rsidRDefault="00F0723B" w:rsidP="00F0723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F0723B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Informacje Wewnętrzne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96412" w14:textId="0AE6E0D1" w:rsidR="00F0723B" w:rsidRDefault="00F0723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4B7788" wp14:editId="6E2F775D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551940" cy="370205"/>
              <wp:effectExtent l="0" t="0" r="0" b="0"/>
              <wp:wrapNone/>
              <wp:docPr id="438132277" name="Pole tekstowe 1" descr="Informacje Wewnętrz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1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E77FAE" w14:textId="361A2016" w:rsidR="00F0723B" w:rsidRPr="00F0723B" w:rsidRDefault="00F0723B" w:rsidP="00F0723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F0723B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Informacje Wewnętrzne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4B778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Informacje Wewnętrzne" style="position:absolute;margin-left:71pt;margin-top:0;width:122.2pt;height:29.1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" filled="f" stroked="f">
              <v:fill o:detectmouseclick="t"/>
              <v:textbox style="mso-fit-shape-to-text:t" inset="0,0,20pt,15pt">
                <w:txbxContent>
                  <w:p w14:paraId="72E77FAE" w14:textId="361A2016" w:rsidR="00F0723B" w:rsidRPr="00F0723B" w:rsidRDefault="00F0723B" w:rsidP="00F0723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F0723B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Informacje Wewnętrzne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F60BC" w14:textId="77777777" w:rsidR="00106307" w:rsidRDefault="00106307" w:rsidP="00F0723B">
      <w:pPr>
        <w:spacing w:after="0" w:line="240" w:lineRule="auto"/>
      </w:pPr>
      <w:r>
        <w:separator/>
      </w:r>
    </w:p>
  </w:footnote>
  <w:footnote w:type="continuationSeparator" w:id="0">
    <w:p w14:paraId="1DAD1FF1" w14:textId="77777777" w:rsidR="00106307" w:rsidRDefault="00106307" w:rsidP="00F072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23B"/>
    <w:rsid w:val="00106307"/>
    <w:rsid w:val="0043004B"/>
    <w:rsid w:val="00833200"/>
    <w:rsid w:val="00B7639C"/>
    <w:rsid w:val="00ED609B"/>
    <w:rsid w:val="00F0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B0906"/>
  <w15:chartTrackingRefBased/>
  <w15:docId w15:val="{1F9A314C-8C49-4BCC-9832-B9635A40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7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7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723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72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72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723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723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723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723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72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72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723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723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723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723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723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723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723B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72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7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723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723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72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72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72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72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72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72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723B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F07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410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Stankiewicz-Billewicz Aleksandra</dc:creator>
  <cp:keywords/>
  <dc:description/>
  <cp:lastModifiedBy>Stankiewicz-Billewicz Aleksandra</cp:lastModifiedBy>
  <cp:revision>1</cp:revision>
  <dcterms:created xsi:type="dcterms:W3CDTF">2026-08-25T12:52:00Z</dcterms:created>
  <dcterms:modified xsi:type="dcterms:W3CDTF">2026-08-25T12:57:00Z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1a1d5e35,75075514,16ab396e</vt:lpwstr>
  </property>
  <property fmtid="{D5CDD505-2E9C-101B-9397-08002B2CF9AE}" pid="3" name="ClassificationContentMarkingFooterFontProps">
    <vt:lpwstr>#0000ff,10,Aptos</vt:lpwstr>
  </property>
  <property fmtid="{D5CDD505-2E9C-101B-9397-08002B2CF9AE}" pid="4" name="ClassificationContentMarkingFooterText">
    <vt:lpwstr>Informacje Wewnętrzne</vt:lpwstr>
  </property>
  <property fmtid="{D5CDD505-2E9C-101B-9397-08002B2CF9AE}" pid="5" name="MSIP_Label_ac629e51-1593-4f13-81fd-d0c874f55d21_Enabled">
    <vt:lpwstr>true</vt:lpwstr>
  </property>
  <property fmtid="{D5CDD505-2E9C-101B-9397-08002B2CF9AE}" pid="6" name="MSIP_Label_ac629e51-1593-4f13-81fd-d0c874f55d21_SetDate">
    <vt:lpwstr>2026-08-25T12:57:36Z</vt:lpwstr>
  </property>
  <property fmtid="{D5CDD505-2E9C-101B-9397-08002B2CF9AE}" pid="7" name="MSIP_Label_ac629e51-1593-4f13-81fd-d0c874f55d21_Method">
    <vt:lpwstr>Privileged</vt:lpwstr>
  </property>
  <property fmtid="{D5CDD505-2E9C-101B-9397-08002B2CF9AE}" pid="8" name="MSIP_Label_ac629e51-1593-4f13-81fd-d0c874f55d21_Name">
    <vt:lpwstr>Grupa BIK-Wewnętrzne</vt:lpwstr>
  </property>
  <property fmtid="{D5CDD505-2E9C-101B-9397-08002B2CF9AE}" pid="9" name="MSIP_Label_ac629e51-1593-4f13-81fd-d0c874f55d21_SiteId">
    <vt:lpwstr>f2871815-01ea-45c0-a64b-82e189df602c</vt:lpwstr>
  </property>
  <property fmtid="{D5CDD505-2E9C-101B-9397-08002B2CF9AE}" pid="10" name="MSIP_Label_ac629e51-1593-4f13-81fd-d0c874f55d21_ActionId">
    <vt:lpwstr>d86adad0-6265-4b15-9b1f-7ab60493c84c</vt:lpwstr>
  </property>
  <property fmtid="{D5CDD505-2E9C-101B-9397-08002B2CF9AE}" pid="11" name="MSIP_Label_ac629e51-1593-4f13-81fd-d0c874f55d21_ContentBits">
    <vt:lpwstr>2</vt:lpwstr>
  </property>
  <property fmtid="{D5CDD505-2E9C-101B-9397-08002B2CF9AE}" pid="12" name="MSIP_Label_ac629e51-1593-4f13-81fd-d0c874f55d21_Tag">
    <vt:lpwstr>10, 0, 1, 1</vt:lpwstr>
  </property>
</Properties>
</file>