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0027D" w14:textId="040D7688" w:rsidR="00045F40" w:rsidRPr="00066E02" w:rsidRDefault="000460C8" w:rsidP="00D67564">
      <w:pPr>
        <w:pBdr>
          <w:bottom w:val="single" w:sz="12" w:space="1" w:color="auto"/>
        </w:pBdr>
        <w:jc w:val="both"/>
        <w:rPr>
          <w:rFonts w:asciiTheme="majorHAnsi" w:hAnsiTheme="majorHAnsi" w:cstheme="minorHAnsi"/>
          <w:bCs/>
          <w:color w:val="auto"/>
          <w:sz w:val="21"/>
          <w:szCs w:val="21"/>
        </w:rPr>
      </w:pPr>
      <w:r w:rsidRPr="00066E02">
        <w:rPr>
          <w:rFonts w:asciiTheme="majorHAnsi" w:hAnsiTheme="majorHAnsi" w:cstheme="minorHAnsi"/>
          <w:bCs/>
          <w:color w:val="auto"/>
          <w:sz w:val="21"/>
          <w:szCs w:val="21"/>
        </w:rPr>
        <w:t>INFORMACJA PRASOWA</w:t>
      </w:r>
    </w:p>
    <w:p w14:paraId="04A0027E" w14:textId="18CD0002" w:rsidR="00045F40" w:rsidRPr="00066E02" w:rsidRDefault="000460C8" w:rsidP="00D67564">
      <w:pPr>
        <w:jc w:val="both"/>
        <w:rPr>
          <w:rFonts w:asciiTheme="majorHAnsi" w:hAnsiTheme="majorHAnsi" w:cstheme="minorHAnsi"/>
          <w:bCs/>
          <w:color w:val="auto"/>
          <w:sz w:val="21"/>
          <w:szCs w:val="21"/>
        </w:rPr>
      </w:pPr>
      <w:r w:rsidRPr="00066E02">
        <w:rPr>
          <w:rFonts w:asciiTheme="majorHAnsi" w:hAnsiTheme="majorHAnsi" w:cstheme="minorHAnsi"/>
          <w:bCs/>
          <w:color w:val="auto"/>
          <w:sz w:val="21"/>
          <w:szCs w:val="21"/>
        </w:rPr>
        <w:t>Gdańsk,</w:t>
      </w:r>
      <w:r w:rsidR="00581E9E" w:rsidRPr="00066E02">
        <w:rPr>
          <w:rFonts w:asciiTheme="majorHAnsi" w:hAnsiTheme="majorHAnsi" w:cstheme="minorHAnsi"/>
          <w:bCs/>
          <w:color w:val="auto"/>
          <w:sz w:val="21"/>
          <w:szCs w:val="21"/>
        </w:rPr>
        <w:t xml:space="preserve"> </w:t>
      </w:r>
      <w:r w:rsidR="00F70566">
        <w:rPr>
          <w:rFonts w:asciiTheme="majorHAnsi" w:hAnsiTheme="majorHAnsi" w:cstheme="minorHAnsi"/>
          <w:bCs/>
          <w:color w:val="auto"/>
          <w:sz w:val="21"/>
          <w:szCs w:val="21"/>
        </w:rPr>
        <w:t xml:space="preserve">23 </w:t>
      </w:r>
      <w:r w:rsidR="00066E02" w:rsidRPr="00066E02">
        <w:rPr>
          <w:rFonts w:asciiTheme="majorHAnsi" w:hAnsiTheme="majorHAnsi" w:cstheme="minorHAnsi"/>
          <w:bCs/>
          <w:color w:val="auto"/>
          <w:sz w:val="21"/>
          <w:szCs w:val="21"/>
        </w:rPr>
        <w:t>września</w:t>
      </w:r>
      <w:r w:rsidR="0078053F" w:rsidRPr="00066E02">
        <w:rPr>
          <w:rFonts w:asciiTheme="majorHAnsi" w:hAnsiTheme="majorHAnsi" w:cstheme="minorHAnsi"/>
          <w:bCs/>
          <w:color w:val="auto"/>
          <w:sz w:val="21"/>
          <w:szCs w:val="21"/>
        </w:rPr>
        <w:t xml:space="preserve"> </w:t>
      </w:r>
      <w:r w:rsidRPr="00066E02">
        <w:rPr>
          <w:rFonts w:asciiTheme="majorHAnsi" w:hAnsiTheme="majorHAnsi" w:cstheme="minorHAnsi"/>
          <w:bCs/>
          <w:color w:val="auto"/>
          <w:sz w:val="21"/>
          <w:szCs w:val="21"/>
        </w:rPr>
        <w:t>202</w:t>
      </w:r>
      <w:r w:rsidR="00DB1A60" w:rsidRPr="00066E02">
        <w:rPr>
          <w:rFonts w:asciiTheme="majorHAnsi" w:hAnsiTheme="majorHAnsi" w:cstheme="minorHAnsi"/>
          <w:bCs/>
          <w:color w:val="auto"/>
          <w:sz w:val="21"/>
          <w:szCs w:val="21"/>
        </w:rPr>
        <w:t>6</w:t>
      </w:r>
      <w:r w:rsidRPr="00066E02">
        <w:rPr>
          <w:rFonts w:asciiTheme="majorHAnsi" w:hAnsiTheme="majorHAnsi" w:cstheme="minorHAnsi"/>
          <w:bCs/>
          <w:color w:val="auto"/>
          <w:sz w:val="21"/>
          <w:szCs w:val="21"/>
        </w:rPr>
        <w:t xml:space="preserve"> r</w:t>
      </w:r>
      <w:r w:rsidR="00BA49AA" w:rsidRPr="00066E02">
        <w:rPr>
          <w:rFonts w:asciiTheme="majorHAnsi" w:hAnsiTheme="majorHAnsi" w:cstheme="minorHAnsi"/>
          <w:bCs/>
          <w:color w:val="auto"/>
          <w:sz w:val="21"/>
          <w:szCs w:val="21"/>
        </w:rPr>
        <w:t>.</w:t>
      </w:r>
    </w:p>
    <w:p w14:paraId="39E1FBF7" w14:textId="69198AB1" w:rsidR="006E7F1E" w:rsidRPr="006E7F1E" w:rsidRDefault="006E7F1E" w:rsidP="006E7F1E">
      <w:pPr>
        <w:spacing w:before="100" w:beforeAutospacing="1" w:after="100" w:afterAutospacing="1"/>
        <w:jc w:val="both"/>
        <w:rPr>
          <w:rFonts w:asciiTheme="majorHAnsi" w:hAnsiTheme="majorHAnsi" w:cstheme="minorHAnsi"/>
          <w:b/>
          <w:bCs/>
          <w:color w:val="365F91" w:themeColor="accent1" w:themeShade="BF"/>
          <w:sz w:val="28"/>
          <w:szCs w:val="28"/>
          <w:lang w:eastAsia="en-US"/>
        </w:rPr>
      </w:pPr>
      <w:bookmarkStart w:id="0" w:name="_Hlk120263354"/>
      <w:r w:rsidRPr="006E7F1E">
        <w:rPr>
          <w:rFonts w:asciiTheme="majorHAnsi" w:hAnsiTheme="majorHAnsi" w:cstheme="minorHAnsi"/>
          <w:b/>
          <w:bCs/>
          <w:color w:val="365F91" w:themeColor="accent1" w:themeShade="BF"/>
          <w:sz w:val="28"/>
          <w:szCs w:val="28"/>
          <w:lang w:eastAsia="en-US"/>
        </w:rPr>
        <w:t>Wakacyjne wyhamowanie na rynku pożyczkowym. Sprzedaż spadła o 4,5 proc.</w:t>
      </w:r>
    </w:p>
    <w:p w14:paraId="724C3D61" w14:textId="1DF7E0B3" w:rsidR="006E7F1E" w:rsidRPr="006E7F1E" w:rsidRDefault="006E7F1E" w:rsidP="006E7F1E">
      <w:pPr>
        <w:spacing w:before="100" w:beforeAutospacing="1" w:after="100" w:afterAutospacing="1"/>
        <w:jc w:val="both"/>
        <w:rPr>
          <w:rFonts w:asciiTheme="majorHAnsi" w:hAnsiTheme="majorHAnsi" w:cstheme="minorHAnsi"/>
          <w:b/>
          <w:bCs/>
          <w:sz w:val="21"/>
          <w:szCs w:val="21"/>
          <w:lang w:eastAsia="en-US"/>
        </w:rPr>
      </w:pPr>
      <w:r w:rsidRPr="006E7F1E">
        <w:rPr>
          <w:rFonts w:asciiTheme="majorHAnsi" w:hAnsiTheme="majorHAnsi" w:cstheme="minorHAnsi"/>
          <w:b/>
          <w:bCs/>
          <w:sz w:val="21"/>
          <w:szCs w:val="21"/>
          <w:lang w:eastAsia="en-US"/>
        </w:rPr>
        <w:t>Sierpień przyniósł wyhamowanie na rynku pożyczkowym. W porównaniu z lipcem spadły wartość i liczba udzielonych pożyczek, ich średnia kwota oraz udział nowych klientów. W ujęciu rocznym rynek nadal notuje wzrosty – wynika z raportu ZPF i CRIF.</w:t>
      </w:r>
    </w:p>
    <w:p w14:paraId="120385B3" w14:textId="77777777" w:rsidR="006E7F1E" w:rsidRPr="006E7F1E" w:rsidRDefault="006E7F1E" w:rsidP="006E7F1E">
      <w:pPr>
        <w:spacing w:before="100" w:beforeAutospacing="1" w:after="100" w:afterAutospacing="1"/>
        <w:jc w:val="both"/>
        <w:rPr>
          <w:rFonts w:asciiTheme="majorHAnsi" w:hAnsiTheme="majorHAnsi" w:cstheme="minorHAnsi"/>
          <w:sz w:val="21"/>
          <w:szCs w:val="21"/>
          <w:lang w:eastAsia="en-US"/>
        </w:rPr>
      </w:pPr>
      <w:r w:rsidRPr="006E7F1E">
        <w:rPr>
          <w:rFonts w:asciiTheme="majorHAnsi" w:hAnsiTheme="majorHAnsi" w:cstheme="minorHAnsi"/>
          <w:sz w:val="21"/>
          <w:szCs w:val="21"/>
          <w:lang w:eastAsia="en-US"/>
        </w:rPr>
        <w:t>W sierpniu firmy pożyczkowe udzieliły 452,1 tys. pożyczek o łącznej wartości 2,08 mld zł. W porównaniu z lipcem ich liczba spadła o 1,6 proc., a wartość o 4,5 proc. Rok do roku liczba udzielonych pożyczek wzrosła o 10,2 proc., a ich wartość o 17,6 proc.</w:t>
      </w:r>
    </w:p>
    <w:p w14:paraId="524B1F64" w14:textId="77777777" w:rsidR="006E7F1E" w:rsidRDefault="006E7F1E" w:rsidP="006E7F1E">
      <w:pPr>
        <w:spacing w:before="100" w:beforeAutospacing="1" w:after="100" w:afterAutospacing="1"/>
        <w:jc w:val="both"/>
        <w:rPr>
          <w:rFonts w:asciiTheme="majorHAnsi" w:hAnsiTheme="majorHAnsi" w:cstheme="minorHAnsi"/>
          <w:sz w:val="21"/>
          <w:szCs w:val="21"/>
          <w:lang w:eastAsia="en-US"/>
        </w:rPr>
      </w:pPr>
      <w:r w:rsidRPr="006E7F1E">
        <w:rPr>
          <w:rFonts w:asciiTheme="majorHAnsi" w:hAnsiTheme="majorHAnsi" w:cstheme="minorHAnsi"/>
          <w:sz w:val="21"/>
          <w:szCs w:val="21"/>
          <w:lang w:eastAsia="en-US"/>
        </w:rPr>
        <w:t>Spadła również średnia kwota finansowania. W sierpniu wyniosła 4 610 zł, o 3 proc. mniej niż w lipcu. W porównaniu z sierpniem ubiegłego roku była jednak wyższa o 6,7 proc.</w:t>
      </w:r>
    </w:p>
    <w:p w14:paraId="24EB8560" w14:textId="125D38DA" w:rsidR="006E7F1E" w:rsidRDefault="006E7F1E" w:rsidP="006E7F1E">
      <w:pPr>
        <w:spacing w:before="100" w:beforeAutospacing="1" w:after="100" w:afterAutospacing="1"/>
        <w:jc w:val="both"/>
        <w:rPr>
          <w:rFonts w:asciiTheme="majorHAnsi" w:hAnsiTheme="majorHAnsi" w:cstheme="minorHAnsi"/>
          <w:sz w:val="21"/>
          <w:szCs w:val="21"/>
          <w:lang w:eastAsia="en-US"/>
        </w:rPr>
      </w:pPr>
      <w:r>
        <w:rPr>
          <w:rFonts w:asciiTheme="majorHAnsi" w:hAnsiTheme="majorHAnsi" w:cstheme="minorHAnsi"/>
          <w:noProof/>
          <w:sz w:val="21"/>
          <w:szCs w:val="21"/>
          <w:lang w:eastAsia="en-US"/>
        </w:rPr>
        <w:drawing>
          <wp:inline distT="0" distB="0" distL="0" distR="0" wp14:anchorId="1D5ACC41" wp14:editId="2AB82AAC">
            <wp:extent cx="5745480" cy="3016377"/>
            <wp:effectExtent l="0" t="0" r="7620" b="0"/>
            <wp:docPr id="129593464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5934641" name="Obraz 129593464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3808" cy="3025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FEEA6" w14:textId="77777777" w:rsidR="006E7F1E" w:rsidRPr="006E7F1E" w:rsidRDefault="006E7F1E" w:rsidP="006E7F1E">
      <w:pPr>
        <w:spacing w:before="100" w:beforeAutospacing="1" w:after="100" w:afterAutospacing="1"/>
        <w:jc w:val="both"/>
        <w:rPr>
          <w:rFonts w:asciiTheme="majorHAnsi" w:hAnsiTheme="majorHAnsi" w:cstheme="minorHAnsi"/>
          <w:b/>
          <w:bCs/>
          <w:sz w:val="21"/>
          <w:szCs w:val="21"/>
          <w:lang w:eastAsia="en-US"/>
        </w:rPr>
      </w:pPr>
      <w:r w:rsidRPr="006E7F1E">
        <w:rPr>
          <w:rFonts w:asciiTheme="majorHAnsi" w:hAnsiTheme="majorHAnsi" w:cstheme="minorHAnsi"/>
          <w:b/>
          <w:bCs/>
          <w:sz w:val="21"/>
          <w:szCs w:val="21"/>
          <w:lang w:eastAsia="en-US"/>
        </w:rPr>
        <w:t>Ponad cztery piąte wniosków z odmową</w:t>
      </w:r>
    </w:p>
    <w:p w14:paraId="154532BC" w14:textId="77777777" w:rsidR="006E7F1E" w:rsidRPr="006E7F1E" w:rsidRDefault="006E7F1E" w:rsidP="006E7F1E">
      <w:pPr>
        <w:spacing w:before="100" w:beforeAutospacing="1" w:after="100" w:afterAutospacing="1"/>
        <w:jc w:val="both"/>
        <w:rPr>
          <w:rFonts w:asciiTheme="majorHAnsi" w:hAnsiTheme="majorHAnsi" w:cstheme="minorHAnsi"/>
          <w:sz w:val="21"/>
          <w:szCs w:val="21"/>
          <w:lang w:eastAsia="en-US"/>
        </w:rPr>
      </w:pPr>
      <w:r w:rsidRPr="006E7F1E">
        <w:rPr>
          <w:rFonts w:asciiTheme="majorHAnsi" w:hAnsiTheme="majorHAnsi" w:cstheme="minorHAnsi"/>
          <w:sz w:val="21"/>
          <w:szCs w:val="21"/>
          <w:lang w:eastAsia="en-US"/>
        </w:rPr>
        <w:t>Nowi klienci stanowili w sierpniu 9,1 proc. pożyczkobiorców, wobec 9,5 proc. w lipcu. Ich udział pozostaje w długoterminowym trendzie spadkowym. Jednocześnie odsetek odrzucanych wniosków wzrósł do 83,5 proc. – najwyższego poziomu w okresie prezentowanym w raporcie.</w:t>
      </w:r>
    </w:p>
    <w:p w14:paraId="21C8FDB0" w14:textId="77777777" w:rsidR="006E7F1E" w:rsidRPr="006E7F1E" w:rsidRDefault="006E7F1E" w:rsidP="006E7F1E">
      <w:pPr>
        <w:spacing w:before="100" w:beforeAutospacing="1" w:after="100" w:afterAutospacing="1"/>
        <w:jc w:val="both"/>
        <w:rPr>
          <w:rFonts w:asciiTheme="majorHAnsi" w:hAnsiTheme="majorHAnsi" w:cstheme="minorHAnsi"/>
          <w:sz w:val="21"/>
          <w:szCs w:val="21"/>
          <w:lang w:eastAsia="en-US"/>
        </w:rPr>
      </w:pPr>
      <w:r w:rsidRPr="006E7F1E">
        <w:rPr>
          <w:rFonts w:asciiTheme="majorHAnsi" w:hAnsiTheme="majorHAnsi" w:cstheme="minorHAnsi"/>
          <w:sz w:val="21"/>
          <w:szCs w:val="21"/>
          <w:lang w:eastAsia="en-US"/>
        </w:rPr>
        <w:t xml:space="preserve">– Słabszy sierpień nie przesądza jeszcze o zmianie tendencji na rynku. W ujęciu rocznym zarówno liczba, jak i wartość udzielonych pożyczek nadal wyraźnie rosną. Jednocześnie bardzo wysoki odsetek odmów pokazuje, że większa sprzedaż nie oznacza łagodniejszej polityki kredytowej. Istotny jest też obraz spłacalności portfela: od początku 2024 r. wartość przeterminowanych zobowiązań pozostaje w trendzie spadkowym – mówi Jolanta Pytel, </w:t>
      </w:r>
      <w:proofErr w:type="spellStart"/>
      <w:r w:rsidRPr="006E7F1E">
        <w:rPr>
          <w:rFonts w:asciiTheme="majorHAnsi" w:hAnsiTheme="majorHAnsi" w:cstheme="minorHAnsi"/>
          <w:sz w:val="21"/>
          <w:szCs w:val="21"/>
          <w:lang w:eastAsia="en-US"/>
        </w:rPr>
        <w:t>Fintech</w:t>
      </w:r>
      <w:proofErr w:type="spellEnd"/>
      <w:r w:rsidRPr="006E7F1E">
        <w:rPr>
          <w:rFonts w:asciiTheme="majorHAnsi" w:hAnsiTheme="majorHAnsi" w:cstheme="minorHAnsi"/>
          <w:sz w:val="21"/>
          <w:szCs w:val="21"/>
          <w:lang w:eastAsia="en-US"/>
        </w:rPr>
        <w:t xml:space="preserve">, Business &amp; Product Development, </w:t>
      </w:r>
      <w:proofErr w:type="spellStart"/>
      <w:r w:rsidRPr="006E7F1E">
        <w:rPr>
          <w:rFonts w:asciiTheme="majorHAnsi" w:hAnsiTheme="majorHAnsi" w:cstheme="minorHAnsi"/>
          <w:sz w:val="21"/>
          <w:szCs w:val="21"/>
          <w:lang w:eastAsia="en-US"/>
        </w:rPr>
        <w:t>Account</w:t>
      </w:r>
      <w:proofErr w:type="spellEnd"/>
      <w:r w:rsidRPr="006E7F1E">
        <w:rPr>
          <w:rFonts w:asciiTheme="majorHAnsi" w:hAnsiTheme="majorHAnsi" w:cstheme="minorHAnsi"/>
          <w:sz w:val="21"/>
          <w:szCs w:val="21"/>
          <w:lang w:eastAsia="en-US"/>
        </w:rPr>
        <w:t xml:space="preserve"> Management, CRIF.</w:t>
      </w:r>
    </w:p>
    <w:p w14:paraId="36B91F2E" w14:textId="77777777" w:rsidR="006E7F1E" w:rsidRPr="006E7F1E" w:rsidRDefault="006E7F1E" w:rsidP="006E7F1E">
      <w:pPr>
        <w:spacing w:before="100" w:beforeAutospacing="1" w:after="100" w:afterAutospacing="1"/>
        <w:jc w:val="both"/>
        <w:rPr>
          <w:rFonts w:asciiTheme="majorHAnsi" w:hAnsiTheme="majorHAnsi" w:cstheme="minorHAnsi"/>
          <w:sz w:val="21"/>
          <w:szCs w:val="21"/>
          <w:lang w:eastAsia="en-US"/>
        </w:rPr>
      </w:pPr>
    </w:p>
    <w:p w14:paraId="76EE042B" w14:textId="77777777" w:rsidR="006E7F1E" w:rsidRPr="006E7F1E" w:rsidRDefault="006E7F1E" w:rsidP="006E7F1E">
      <w:pPr>
        <w:spacing w:before="100" w:beforeAutospacing="1" w:after="100" w:afterAutospacing="1"/>
        <w:jc w:val="both"/>
        <w:rPr>
          <w:rFonts w:asciiTheme="majorHAnsi" w:hAnsiTheme="majorHAnsi" w:cstheme="minorHAnsi"/>
          <w:sz w:val="21"/>
          <w:szCs w:val="21"/>
          <w:lang w:eastAsia="en-US"/>
        </w:rPr>
      </w:pPr>
      <w:r w:rsidRPr="006E7F1E">
        <w:rPr>
          <w:rFonts w:asciiTheme="majorHAnsi" w:hAnsiTheme="majorHAnsi" w:cstheme="minorHAnsi"/>
          <w:sz w:val="21"/>
          <w:szCs w:val="21"/>
          <w:lang w:eastAsia="en-US"/>
        </w:rPr>
        <w:lastRenderedPageBreak/>
        <w:t>W ciągu ostatnich 12 miesięcy finansowania nie otrzymało 502,4 tys. osób, które się o nie ubiegały. Wśród nich 37,9 proc. złożyło jeden wniosek, a 35,8 proc. – od dwóch do dziesięciu. Ponad jedna czwarta podejmowała co najmniej 11 prób uzyskania finansowania.</w:t>
      </w:r>
    </w:p>
    <w:p w14:paraId="6AAC57D4" w14:textId="77777777" w:rsidR="006E7F1E" w:rsidRPr="006E7F1E" w:rsidRDefault="006E7F1E" w:rsidP="006E7F1E">
      <w:pPr>
        <w:spacing w:before="100" w:beforeAutospacing="1" w:after="100" w:afterAutospacing="1"/>
        <w:jc w:val="both"/>
        <w:rPr>
          <w:rFonts w:asciiTheme="majorHAnsi" w:hAnsiTheme="majorHAnsi" w:cstheme="minorHAnsi"/>
          <w:b/>
          <w:bCs/>
          <w:sz w:val="21"/>
          <w:szCs w:val="21"/>
          <w:lang w:eastAsia="en-US"/>
        </w:rPr>
      </w:pPr>
      <w:r w:rsidRPr="006E7F1E">
        <w:rPr>
          <w:rFonts w:asciiTheme="majorHAnsi" w:hAnsiTheme="majorHAnsi" w:cstheme="minorHAnsi"/>
          <w:b/>
          <w:bCs/>
          <w:sz w:val="21"/>
          <w:szCs w:val="21"/>
          <w:lang w:eastAsia="en-US"/>
        </w:rPr>
        <w:t>Niemal połowa klientów korzysta z pożyczek sporadycznie</w:t>
      </w:r>
    </w:p>
    <w:p w14:paraId="01A7299F" w14:textId="77777777" w:rsidR="006E7F1E" w:rsidRPr="006E7F1E" w:rsidRDefault="006E7F1E" w:rsidP="006E7F1E">
      <w:pPr>
        <w:spacing w:before="100" w:beforeAutospacing="1" w:after="100" w:afterAutospacing="1"/>
        <w:jc w:val="both"/>
        <w:rPr>
          <w:rFonts w:asciiTheme="majorHAnsi" w:hAnsiTheme="majorHAnsi" w:cstheme="minorHAnsi"/>
          <w:sz w:val="21"/>
          <w:szCs w:val="21"/>
          <w:lang w:eastAsia="en-US"/>
        </w:rPr>
      </w:pPr>
      <w:r w:rsidRPr="006E7F1E">
        <w:rPr>
          <w:rFonts w:asciiTheme="majorHAnsi" w:hAnsiTheme="majorHAnsi" w:cstheme="minorHAnsi"/>
          <w:sz w:val="21"/>
          <w:szCs w:val="21"/>
          <w:lang w:eastAsia="en-US"/>
        </w:rPr>
        <w:t>W okresie od września 2025 r. do sierpnia 2026 r. 45,96 proc. pożyczkobiorców korzystało z finansowania tylko w jednym miesiącu. W dwóch miesiącach po pożyczkę sięgało 13,67 proc. klientów, w trzech – 7,23 proc. Przez wszystkie 12 miesięcy z finansowania korzystało 4,9 proc. klientów.</w:t>
      </w:r>
    </w:p>
    <w:p w14:paraId="2F0EBBAA" w14:textId="77777777" w:rsidR="006E7F1E" w:rsidRPr="006E7F1E" w:rsidRDefault="006E7F1E" w:rsidP="006E7F1E">
      <w:pPr>
        <w:spacing w:before="100" w:beforeAutospacing="1" w:after="100" w:afterAutospacing="1"/>
        <w:jc w:val="both"/>
        <w:rPr>
          <w:rFonts w:asciiTheme="majorHAnsi" w:hAnsiTheme="majorHAnsi" w:cstheme="minorHAnsi"/>
          <w:sz w:val="21"/>
          <w:szCs w:val="21"/>
          <w:lang w:eastAsia="en-US"/>
        </w:rPr>
      </w:pPr>
      <w:r w:rsidRPr="006E7F1E">
        <w:rPr>
          <w:rFonts w:asciiTheme="majorHAnsi" w:hAnsiTheme="majorHAnsi" w:cstheme="minorHAnsi"/>
          <w:sz w:val="21"/>
          <w:szCs w:val="21"/>
          <w:lang w:eastAsia="en-US"/>
        </w:rPr>
        <w:t>W sierpniu na jednego pożyczkobiorcę przypadało średnio 1,92 zobowiązania. Ich średnia miesięczna suma wyniosła 8 859 zł, podczas gdy mediana była ponad dwukrotnie niższa – 4 200 zł. Oznacza to, że połowa klientów miała zobowiązania o łącznej wartości nieprzekraczającej 4 200 zł.</w:t>
      </w:r>
    </w:p>
    <w:p w14:paraId="7CDB3F85" w14:textId="77777777" w:rsidR="006E7F1E" w:rsidRPr="006E7F1E" w:rsidRDefault="006E7F1E" w:rsidP="006E7F1E">
      <w:pPr>
        <w:spacing w:before="100" w:beforeAutospacing="1" w:after="100" w:afterAutospacing="1"/>
        <w:jc w:val="both"/>
        <w:rPr>
          <w:rFonts w:asciiTheme="majorHAnsi" w:hAnsiTheme="majorHAnsi" w:cstheme="minorHAnsi"/>
          <w:sz w:val="21"/>
          <w:szCs w:val="21"/>
          <w:lang w:eastAsia="en-US"/>
        </w:rPr>
      </w:pPr>
      <w:r w:rsidRPr="006E7F1E">
        <w:rPr>
          <w:rFonts w:asciiTheme="majorHAnsi" w:hAnsiTheme="majorHAnsi" w:cstheme="minorHAnsi"/>
          <w:sz w:val="21"/>
          <w:szCs w:val="21"/>
          <w:lang w:eastAsia="en-US"/>
        </w:rPr>
        <w:t xml:space="preserve">– Średnia i mediana opisują tutaj dwie różne rzeczywistości. Wynik na poziomie 8,9 tys. zł jest podnoszony przez klientów z wyższą łączną kwotą zobowiązań, podczas gdy dla połowy pożyczkobiorców nie przekracza ona 4,2 tys. zł. Podobnie jest z częstotliwością korzystania z finansowania. Dla dużej części klientów pożyczka ma charakter okazjonalny, a korzystanie z niej miesiąc po miesiącu dotyczy niewielkiej grupy. Ocena </w:t>
      </w:r>
      <w:proofErr w:type="spellStart"/>
      <w:r w:rsidRPr="006E7F1E">
        <w:rPr>
          <w:rFonts w:asciiTheme="majorHAnsi" w:hAnsiTheme="majorHAnsi" w:cstheme="minorHAnsi"/>
          <w:sz w:val="21"/>
          <w:szCs w:val="21"/>
          <w:lang w:eastAsia="en-US"/>
        </w:rPr>
        <w:t>zachowań</w:t>
      </w:r>
      <w:proofErr w:type="spellEnd"/>
      <w:r w:rsidRPr="006E7F1E">
        <w:rPr>
          <w:rFonts w:asciiTheme="majorHAnsi" w:hAnsiTheme="majorHAnsi" w:cstheme="minorHAnsi"/>
          <w:sz w:val="21"/>
          <w:szCs w:val="21"/>
          <w:lang w:eastAsia="en-US"/>
        </w:rPr>
        <w:t xml:space="preserve"> klientów wyłącznie przez pryzmat średnich może więc prowadzić do błędnych wniosków o rynku – wskazuje Jolanta Pytel.</w:t>
      </w:r>
    </w:p>
    <w:p w14:paraId="4099C70F" w14:textId="77777777" w:rsidR="006E7F1E" w:rsidRPr="006E7F1E" w:rsidRDefault="006E7F1E" w:rsidP="006E7F1E">
      <w:pPr>
        <w:spacing w:before="100" w:beforeAutospacing="1" w:after="100" w:afterAutospacing="1"/>
        <w:jc w:val="both"/>
        <w:rPr>
          <w:rFonts w:asciiTheme="majorHAnsi" w:hAnsiTheme="majorHAnsi" w:cstheme="minorHAnsi"/>
          <w:b/>
          <w:bCs/>
          <w:sz w:val="21"/>
          <w:szCs w:val="21"/>
          <w:lang w:eastAsia="en-US"/>
        </w:rPr>
      </w:pPr>
      <w:r w:rsidRPr="006E7F1E">
        <w:rPr>
          <w:rFonts w:asciiTheme="majorHAnsi" w:hAnsiTheme="majorHAnsi" w:cstheme="minorHAnsi"/>
          <w:b/>
          <w:bCs/>
          <w:sz w:val="21"/>
          <w:szCs w:val="21"/>
          <w:lang w:eastAsia="en-US"/>
        </w:rPr>
        <w:t>Ponad trzy czwarte wartości sprzedaży przypada na pożyczki powyżej 4 tys. zł</w:t>
      </w:r>
    </w:p>
    <w:p w14:paraId="337A8CE9" w14:textId="650E87E7" w:rsidR="006E7F1E" w:rsidRPr="006E7F1E" w:rsidRDefault="006E7F1E" w:rsidP="006E7F1E">
      <w:pPr>
        <w:spacing w:before="100" w:beforeAutospacing="1" w:after="100" w:afterAutospacing="1"/>
        <w:jc w:val="both"/>
        <w:rPr>
          <w:rFonts w:asciiTheme="majorHAnsi" w:hAnsiTheme="majorHAnsi" w:cstheme="minorHAnsi"/>
          <w:sz w:val="21"/>
          <w:szCs w:val="21"/>
          <w:lang w:eastAsia="en-US"/>
        </w:rPr>
      </w:pPr>
      <w:r w:rsidRPr="006E7F1E">
        <w:rPr>
          <w:rFonts w:asciiTheme="majorHAnsi" w:hAnsiTheme="majorHAnsi" w:cstheme="minorHAnsi"/>
          <w:sz w:val="21"/>
          <w:szCs w:val="21"/>
          <w:lang w:eastAsia="en-US"/>
        </w:rPr>
        <w:t>Największą grupę stanowiły w sierpniu pożyczki od 4 do 10 tys. zł – odpowiadały za 31,8 proc. liczby udzielonych pożyczek i 47,6 proc. wartości sprzedaży. Finansowanie powyżej 10 tys. zł stanowiło tylko 6,8 proc. liczby pożyczek, ale odpowiadało za 28,7 proc. ich wartości.</w:t>
      </w:r>
      <w:r>
        <w:rPr>
          <w:rFonts w:asciiTheme="majorHAnsi" w:hAnsiTheme="majorHAnsi" w:cstheme="minorHAnsi"/>
          <w:sz w:val="21"/>
          <w:szCs w:val="21"/>
          <w:lang w:eastAsia="en-US"/>
        </w:rPr>
        <w:t xml:space="preserve"> </w:t>
      </w:r>
      <w:r w:rsidRPr="006E7F1E">
        <w:rPr>
          <w:rFonts w:asciiTheme="majorHAnsi" w:hAnsiTheme="majorHAnsi" w:cstheme="minorHAnsi"/>
          <w:sz w:val="21"/>
          <w:szCs w:val="21"/>
          <w:lang w:eastAsia="en-US"/>
        </w:rPr>
        <w:t>Łącznie na pożyczki przekraczające 4 tys. zł przypadło 76,3 proc. wartości sierpniowej sprzedaży.</w:t>
      </w:r>
    </w:p>
    <w:p w14:paraId="00793FC4" w14:textId="5CACBD26" w:rsidR="00E85689" w:rsidRPr="00066E02" w:rsidRDefault="005C6A32" w:rsidP="00E85689">
      <w:pPr>
        <w:spacing w:before="100" w:beforeAutospacing="1" w:after="100" w:afterAutospacing="1"/>
        <w:jc w:val="both"/>
        <w:rPr>
          <w:rFonts w:asciiTheme="majorHAnsi" w:hAnsiTheme="majorHAnsi" w:cstheme="minorHAnsi"/>
          <w:bCs/>
          <w:iCs/>
          <w:color w:val="auto"/>
          <w:sz w:val="21"/>
          <w:szCs w:val="21"/>
        </w:rPr>
      </w:pPr>
      <w:r w:rsidRPr="00066E02">
        <w:rPr>
          <w:rFonts w:asciiTheme="majorHAnsi" w:hAnsiTheme="majorHAnsi" w:cstheme="minorHAnsi"/>
          <w:bCs/>
          <w:iCs/>
          <w:color w:val="auto"/>
          <w:sz w:val="21"/>
          <w:szCs w:val="21"/>
        </w:rPr>
        <w:t xml:space="preserve">ZPF oraz CRIF co miesiąc publikują dane dotyczące rynku pożyczek </w:t>
      </w:r>
      <w:proofErr w:type="spellStart"/>
      <w:r w:rsidRPr="00066E02">
        <w:rPr>
          <w:rFonts w:asciiTheme="majorHAnsi" w:hAnsiTheme="majorHAnsi" w:cstheme="minorHAnsi"/>
          <w:bCs/>
          <w:iCs/>
          <w:color w:val="auto"/>
          <w:sz w:val="21"/>
          <w:szCs w:val="21"/>
        </w:rPr>
        <w:t>pozabankowych</w:t>
      </w:r>
      <w:proofErr w:type="spellEnd"/>
      <w:r w:rsidRPr="00066E02">
        <w:rPr>
          <w:rFonts w:asciiTheme="majorHAnsi" w:hAnsiTheme="majorHAnsi" w:cstheme="minorHAnsi"/>
          <w:bCs/>
          <w:iCs/>
          <w:color w:val="auto"/>
          <w:sz w:val="21"/>
          <w:szCs w:val="21"/>
        </w:rPr>
        <w:t xml:space="preserve"> w Polsce. Najnowszy raport obejmuje wyniki za</w:t>
      </w:r>
      <w:r w:rsidR="00066E02">
        <w:rPr>
          <w:rFonts w:asciiTheme="majorHAnsi" w:hAnsiTheme="majorHAnsi" w:cstheme="minorHAnsi"/>
          <w:bCs/>
          <w:iCs/>
          <w:color w:val="auto"/>
          <w:sz w:val="21"/>
          <w:szCs w:val="21"/>
        </w:rPr>
        <w:t xml:space="preserve"> sierpień</w:t>
      </w:r>
      <w:r w:rsidRPr="00066E02">
        <w:rPr>
          <w:rFonts w:asciiTheme="majorHAnsi" w:hAnsiTheme="majorHAnsi" w:cstheme="minorHAnsi"/>
          <w:bCs/>
          <w:iCs/>
          <w:color w:val="auto"/>
          <w:sz w:val="21"/>
          <w:szCs w:val="21"/>
        </w:rPr>
        <w:t xml:space="preserve"> 2026 r.</w:t>
      </w:r>
      <w:r w:rsidR="00066E02" w:rsidRPr="00066E02">
        <w:rPr>
          <w:rFonts w:asciiTheme="majorHAnsi" w:hAnsiTheme="majorHAnsi" w:cstheme="minorHAnsi"/>
          <w:bCs/>
          <w:iCs/>
          <w:color w:val="auto"/>
          <w:sz w:val="21"/>
          <w:szCs w:val="21"/>
        </w:rPr>
        <w:t xml:space="preserve"> i </w:t>
      </w:r>
      <w:r w:rsidR="00E85689" w:rsidRPr="00066E02">
        <w:rPr>
          <w:rFonts w:asciiTheme="majorHAnsi" w:hAnsiTheme="majorHAnsi" w:cstheme="minorHAnsi"/>
          <w:iCs/>
          <w:color w:val="auto"/>
          <w:spacing w:val="-2"/>
          <w:sz w:val="21"/>
          <w:szCs w:val="21"/>
        </w:rPr>
        <w:t xml:space="preserve">dostępny jest na stronie: </w:t>
      </w:r>
      <w:hyperlink r:id="rId12" w:history="1">
        <w:r w:rsidR="00E66BDC" w:rsidRPr="00066E02">
          <w:rPr>
            <w:rStyle w:val="Hipercze"/>
            <w:rFonts w:asciiTheme="majorHAnsi" w:hAnsiTheme="majorHAnsi" w:cstheme="minorHAnsi"/>
            <w:iCs/>
            <w:spacing w:val="-2"/>
            <w:sz w:val="21"/>
            <w:szCs w:val="21"/>
          </w:rPr>
          <w:t>https://zpf.pl/kondycja-sektora-pozyczkowego-w-polsce/</w:t>
        </w:r>
      </w:hyperlink>
    </w:p>
    <w:p w14:paraId="6267C6D2" w14:textId="77777777" w:rsidR="006B773A" w:rsidRDefault="006B773A" w:rsidP="0036220A">
      <w:pPr>
        <w:rPr>
          <w:rFonts w:asciiTheme="majorHAnsi" w:hAnsiTheme="majorHAnsi" w:cstheme="minorHAnsi"/>
          <w:iCs/>
          <w:color w:val="auto"/>
          <w:spacing w:val="-2"/>
          <w:sz w:val="21"/>
          <w:szCs w:val="21"/>
        </w:rPr>
      </w:pPr>
    </w:p>
    <w:p w14:paraId="554CD9CF" w14:textId="77777777" w:rsidR="006E7F1E" w:rsidRDefault="006E7F1E" w:rsidP="0036220A">
      <w:pPr>
        <w:rPr>
          <w:rFonts w:asciiTheme="majorHAnsi" w:hAnsiTheme="majorHAnsi" w:cstheme="minorHAnsi"/>
          <w:iCs/>
          <w:color w:val="auto"/>
          <w:spacing w:val="-2"/>
          <w:sz w:val="21"/>
          <w:szCs w:val="21"/>
        </w:rPr>
      </w:pPr>
    </w:p>
    <w:p w14:paraId="1884423D" w14:textId="77777777" w:rsidR="006E7F1E" w:rsidRPr="00066E02" w:rsidRDefault="006E7F1E" w:rsidP="0036220A">
      <w:pPr>
        <w:rPr>
          <w:rFonts w:asciiTheme="majorHAnsi" w:hAnsiTheme="majorHAnsi" w:cstheme="minorHAnsi"/>
          <w:iCs/>
          <w:color w:val="auto"/>
          <w:spacing w:val="-2"/>
          <w:sz w:val="21"/>
          <w:szCs w:val="21"/>
        </w:rPr>
      </w:pPr>
    </w:p>
    <w:p w14:paraId="2B61683F" w14:textId="77777777" w:rsidR="006B773A" w:rsidRPr="00066E02" w:rsidRDefault="006B773A" w:rsidP="00424D12">
      <w:pPr>
        <w:jc w:val="center"/>
        <w:rPr>
          <w:rFonts w:asciiTheme="majorHAnsi" w:hAnsiTheme="majorHAnsi" w:cstheme="minorHAnsi"/>
          <w:iCs/>
          <w:color w:val="auto"/>
          <w:spacing w:val="-2"/>
          <w:sz w:val="21"/>
          <w:szCs w:val="21"/>
        </w:rPr>
      </w:pPr>
    </w:p>
    <w:p w14:paraId="3F203618" w14:textId="42435003" w:rsidR="00762744" w:rsidRPr="00066E02" w:rsidRDefault="00762744" w:rsidP="00424D12">
      <w:pPr>
        <w:jc w:val="center"/>
        <w:rPr>
          <w:rFonts w:asciiTheme="majorHAnsi" w:hAnsiTheme="majorHAnsi" w:cstheme="minorHAnsi"/>
          <w:iCs/>
          <w:color w:val="auto"/>
          <w:spacing w:val="-2"/>
          <w:sz w:val="21"/>
          <w:szCs w:val="21"/>
        </w:rPr>
      </w:pPr>
      <w:r w:rsidRPr="00066E02">
        <w:rPr>
          <w:rFonts w:asciiTheme="majorHAnsi" w:hAnsiTheme="majorHAnsi" w:cstheme="minorHAnsi"/>
          <w:iCs/>
          <w:color w:val="auto"/>
          <w:spacing w:val="-2"/>
          <w:sz w:val="21"/>
          <w:szCs w:val="21"/>
        </w:rPr>
        <w:t>***</w:t>
      </w:r>
    </w:p>
    <w:p w14:paraId="398A9087" w14:textId="77777777" w:rsidR="00DB1A60" w:rsidRPr="00066E02" w:rsidRDefault="00DB1A60" w:rsidP="00D67564">
      <w:pPr>
        <w:jc w:val="both"/>
        <w:rPr>
          <w:rFonts w:asciiTheme="majorHAnsi" w:hAnsiTheme="majorHAnsi" w:cstheme="minorHAnsi"/>
          <w:sz w:val="21"/>
          <w:szCs w:val="21"/>
        </w:rPr>
      </w:pPr>
    </w:p>
    <w:p w14:paraId="0478A10E" w14:textId="77777777" w:rsidR="00DB1A60" w:rsidRPr="00066E02" w:rsidRDefault="00DB1A60" w:rsidP="00D67564">
      <w:pPr>
        <w:spacing w:line="276" w:lineRule="auto"/>
        <w:jc w:val="both"/>
        <w:rPr>
          <w:rFonts w:asciiTheme="majorHAnsi" w:hAnsiTheme="majorHAnsi" w:cstheme="minorHAnsi"/>
          <w:sz w:val="21"/>
          <w:szCs w:val="21"/>
        </w:rPr>
      </w:pPr>
      <w:r w:rsidRPr="00066E02">
        <w:rPr>
          <w:rFonts w:asciiTheme="majorHAnsi" w:hAnsiTheme="majorHAnsi" w:cstheme="minorHAnsi"/>
          <w:b/>
          <w:bCs/>
          <w:sz w:val="21"/>
          <w:szCs w:val="21"/>
        </w:rPr>
        <w:t>Związek Przedsiębiorstw Finansowych w Polsce</w:t>
      </w:r>
      <w:r w:rsidRPr="00066E02">
        <w:rPr>
          <w:rFonts w:asciiTheme="majorHAnsi" w:hAnsiTheme="majorHAnsi" w:cstheme="minorHAnsi"/>
          <w:sz w:val="21"/>
          <w:szCs w:val="21"/>
        </w:rPr>
        <w:t xml:space="preserve"> (wcześniej Konferencja Przedsiębiorstw Finansowych w Polsce) powstał 27 października 1999 roku i obecnie skupia ponad 110 przedsiębiorstw z wielu sektorów polskiego rynku finansowego, w tym bankowości, zarządzania wierzytelnościami, pośredników finansowych, instytucji pożyczkowych, zarządzających informacją gospodarczą, odwróconej hipoteki w modelu sprzedażowym, </w:t>
      </w:r>
      <w:proofErr w:type="spellStart"/>
      <w:r w:rsidRPr="00066E02">
        <w:rPr>
          <w:rFonts w:asciiTheme="majorHAnsi" w:hAnsiTheme="majorHAnsi" w:cstheme="minorHAnsi"/>
          <w:sz w:val="21"/>
          <w:szCs w:val="21"/>
        </w:rPr>
        <w:t>fintech</w:t>
      </w:r>
      <w:proofErr w:type="spellEnd"/>
      <w:r w:rsidRPr="00066E02">
        <w:rPr>
          <w:rFonts w:asciiTheme="majorHAnsi" w:hAnsiTheme="majorHAnsi" w:cstheme="minorHAnsi"/>
          <w:sz w:val="21"/>
          <w:szCs w:val="21"/>
        </w:rPr>
        <w:t xml:space="preserve">. Jest największą </w:t>
      </w:r>
      <w:proofErr w:type="spellStart"/>
      <w:r w:rsidRPr="00066E02">
        <w:rPr>
          <w:rFonts w:asciiTheme="majorHAnsi" w:hAnsiTheme="majorHAnsi" w:cstheme="minorHAnsi"/>
          <w:sz w:val="21"/>
          <w:szCs w:val="21"/>
        </w:rPr>
        <w:t>multisektorową</w:t>
      </w:r>
      <w:proofErr w:type="spellEnd"/>
      <w:r w:rsidRPr="00066E02">
        <w:rPr>
          <w:rFonts w:asciiTheme="majorHAnsi" w:hAnsiTheme="majorHAnsi" w:cstheme="minorHAnsi"/>
          <w:sz w:val="21"/>
          <w:szCs w:val="21"/>
        </w:rPr>
        <w:t xml:space="preserve"> organizacją podmiotów rynku finansowego w Polsce.</w:t>
      </w:r>
    </w:p>
    <w:p w14:paraId="22C75507" w14:textId="77777777" w:rsidR="00DB1A60" w:rsidRPr="00066E02" w:rsidRDefault="00DB1A60" w:rsidP="00D67564">
      <w:pPr>
        <w:spacing w:line="276" w:lineRule="auto"/>
        <w:jc w:val="both"/>
        <w:rPr>
          <w:rFonts w:asciiTheme="majorHAnsi" w:hAnsiTheme="majorHAnsi" w:cstheme="minorHAnsi"/>
          <w:sz w:val="21"/>
          <w:szCs w:val="21"/>
        </w:rPr>
      </w:pPr>
    </w:p>
    <w:p w14:paraId="5415B732" w14:textId="77777777" w:rsidR="00DB1A60" w:rsidRPr="00066E02" w:rsidRDefault="00DB1A60" w:rsidP="00D67564">
      <w:pPr>
        <w:spacing w:line="276" w:lineRule="auto"/>
        <w:jc w:val="both"/>
        <w:rPr>
          <w:rFonts w:asciiTheme="majorHAnsi" w:hAnsiTheme="majorHAnsi" w:cstheme="minorHAnsi"/>
          <w:sz w:val="21"/>
          <w:szCs w:val="21"/>
        </w:rPr>
      </w:pPr>
      <w:r w:rsidRPr="00066E02">
        <w:rPr>
          <w:rFonts w:asciiTheme="majorHAnsi" w:hAnsiTheme="majorHAnsi" w:cstheme="minorHAnsi"/>
          <w:sz w:val="21"/>
          <w:szCs w:val="21"/>
        </w:rPr>
        <w:t>Od ponad 25 lat ZPF działa na rzecz rozwoju rynku finansowego w Polsce i podnoszenia standardów etycznych w branży, występuje aktywnie jako partner społeczny w procesach legislacyjnych, a także reprezentuje polskie instytucje finansowe w UE. ZPF to członek dwóch organizacji samorządowych na szczeblu europejskim: EUROFINAS (</w:t>
      </w:r>
      <w:proofErr w:type="spellStart"/>
      <w:r w:rsidRPr="00066E02">
        <w:rPr>
          <w:rFonts w:asciiTheme="majorHAnsi" w:hAnsiTheme="majorHAnsi" w:cstheme="minorHAnsi"/>
          <w:sz w:val="21"/>
          <w:szCs w:val="21"/>
        </w:rPr>
        <w:t>European</w:t>
      </w:r>
      <w:proofErr w:type="spellEnd"/>
      <w:r w:rsidRPr="00066E02">
        <w:rPr>
          <w:rFonts w:asciiTheme="majorHAnsi" w:hAnsiTheme="majorHAnsi" w:cstheme="minorHAnsi"/>
          <w:sz w:val="21"/>
          <w:szCs w:val="21"/>
        </w:rPr>
        <w:t xml:space="preserve"> </w:t>
      </w:r>
      <w:proofErr w:type="spellStart"/>
      <w:r w:rsidRPr="00066E02">
        <w:rPr>
          <w:rFonts w:asciiTheme="majorHAnsi" w:hAnsiTheme="majorHAnsi" w:cstheme="minorHAnsi"/>
          <w:sz w:val="21"/>
          <w:szCs w:val="21"/>
        </w:rPr>
        <w:t>Federation</w:t>
      </w:r>
      <w:proofErr w:type="spellEnd"/>
      <w:r w:rsidRPr="00066E02">
        <w:rPr>
          <w:rFonts w:asciiTheme="majorHAnsi" w:hAnsiTheme="majorHAnsi" w:cstheme="minorHAnsi"/>
          <w:sz w:val="21"/>
          <w:szCs w:val="21"/>
        </w:rPr>
        <w:t xml:space="preserve"> of Finance House </w:t>
      </w:r>
      <w:proofErr w:type="spellStart"/>
      <w:r w:rsidRPr="00066E02">
        <w:rPr>
          <w:rFonts w:asciiTheme="majorHAnsi" w:hAnsiTheme="majorHAnsi" w:cstheme="minorHAnsi"/>
          <w:sz w:val="21"/>
          <w:szCs w:val="21"/>
        </w:rPr>
        <w:t>Associations</w:t>
      </w:r>
      <w:proofErr w:type="spellEnd"/>
      <w:r w:rsidRPr="00066E02">
        <w:rPr>
          <w:rFonts w:asciiTheme="majorHAnsi" w:hAnsiTheme="majorHAnsi" w:cstheme="minorHAnsi"/>
          <w:sz w:val="21"/>
          <w:szCs w:val="21"/>
        </w:rPr>
        <w:t>), zrzeszającej instytucje związane z rynkiem kredytu konsumenckiego w Europie oraz FENCA (</w:t>
      </w:r>
      <w:proofErr w:type="spellStart"/>
      <w:r w:rsidRPr="00066E02">
        <w:rPr>
          <w:rFonts w:asciiTheme="majorHAnsi" w:hAnsiTheme="majorHAnsi" w:cstheme="minorHAnsi"/>
          <w:sz w:val="21"/>
          <w:szCs w:val="21"/>
        </w:rPr>
        <w:t>Federation</w:t>
      </w:r>
      <w:proofErr w:type="spellEnd"/>
      <w:r w:rsidRPr="00066E02">
        <w:rPr>
          <w:rFonts w:asciiTheme="majorHAnsi" w:hAnsiTheme="majorHAnsi" w:cstheme="minorHAnsi"/>
          <w:sz w:val="21"/>
          <w:szCs w:val="21"/>
        </w:rPr>
        <w:t xml:space="preserve"> of </w:t>
      </w:r>
      <w:proofErr w:type="spellStart"/>
      <w:r w:rsidRPr="00066E02">
        <w:rPr>
          <w:rFonts w:asciiTheme="majorHAnsi" w:hAnsiTheme="majorHAnsi" w:cstheme="minorHAnsi"/>
          <w:sz w:val="21"/>
          <w:szCs w:val="21"/>
        </w:rPr>
        <w:t>European</w:t>
      </w:r>
      <w:proofErr w:type="spellEnd"/>
      <w:r w:rsidRPr="00066E02">
        <w:rPr>
          <w:rFonts w:asciiTheme="majorHAnsi" w:hAnsiTheme="majorHAnsi" w:cstheme="minorHAnsi"/>
          <w:sz w:val="21"/>
          <w:szCs w:val="21"/>
        </w:rPr>
        <w:t xml:space="preserve"> </w:t>
      </w:r>
      <w:proofErr w:type="spellStart"/>
      <w:r w:rsidRPr="00066E02">
        <w:rPr>
          <w:rFonts w:asciiTheme="majorHAnsi" w:hAnsiTheme="majorHAnsi" w:cstheme="minorHAnsi"/>
          <w:sz w:val="21"/>
          <w:szCs w:val="21"/>
        </w:rPr>
        <w:t>National</w:t>
      </w:r>
      <w:proofErr w:type="spellEnd"/>
      <w:r w:rsidRPr="00066E02">
        <w:rPr>
          <w:rFonts w:asciiTheme="majorHAnsi" w:hAnsiTheme="majorHAnsi" w:cstheme="minorHAnsi"/>
          <w:sz w:val="21"/>
          <w:szCs w:val="21"/>
        </w:rPr>
        <w:t xml:space="preserve"> Collection </w:t>
      </w:r>
      <w:proofErr w:type="spellStart"/>
      <w:r w:rsidRPr="00066E02">
        <w:rPr>
          <w:rFonts w:asciiTheme="majorHAnsi" w:hAnsiTheme="majorHAnsi" w:cstheme="minorHAnsi"/>
          <w:sz w:val="21"/>
          <w:szCs w:val="21"/>
        </w:rPr>
        <w:t>Associations</w:t>
      </w:r>
      <w:proofErr w:type="spellEnd"/>
      <w:r w:rsidRPr="00066E02">
        <w:rPr>
          <w:rFonts w:asciiTheme="majorHAnsi" w:hAnsiTheme="majorHAnsi" w:cstheme="minorHAnsi"/>
          <w:sz w:val="21"/>
          <w:szCs w:val="21"/>
        </w:rPr>
        <w:t>), która reprezentuje interesy sektora zarządzania wierzytelnościami w Europie.</w:t>
      </w:r>
    </w:p>
    <w:p w14:paraId="6021E835" w14:textId="77777777" w:rsidR="00DB1A60" w:rsidRPr="00066E02" w:rsidRDefault="00DB1A60" w:rsidP="00D67564">
      <w:pPr>
        <w:spacing w:line="276" w:lineRule="auto"/>
        <w:jc w:val="both"/>
        <w:rPr>
          <w:rFonts w:asciiTheme="majorHAnsi" w:hAnsiTheme="majorHAnsi" w:cstheme="minorHAnsi"/>
          <w:sz w:val="21"/>
          <w:szCs w:val="21"/>
        </w:rPr>
      </w:pPr>
    </w:p>
    <w:p w14:paraId="0FD61A70" w14:textId="77777777" w:rsidR="00DB1A60" w:rsidRPr="00066E02" w:rsidRDefault="00DB1A60" w:rsidP="00D67564">
      <w:pPr>
        <w:spacing w:line="276" w:lineRule="auto"/>
        <w:jc w:val="both"/>
        <w:rPr>
          <w:rFonts w:asciiTheme="majorHAnsi" w:hAnsiTheme="majorHAnsi" w:cstheme="minorHAnsi"/>
          <w:sz w:val="21"/>
          <w:szCs w:val="21"/>
        </w:rPr>
      </w:pPr>
      <w:r w:rsidRPr="00066E02">
        <w:rPr>
          <w:rFonts w:asciiTheme="majorHAnsi" w:hAnsiTheme="majorHAnsi" w:cstheme="minorHAnsi"/>
          <w:sz w:val="21"/>
          <w:szCs w:val="21"/>
        </w:rPr>
        <w:t xml:space="preserve">ZPF ma w swoim dorobku badawczym kilkaset raportów branżowych. Jest też organizatorem kongresów, </w:t>
      </w:r>
      <w:proofErr w:type="spellStart"/>
      <w:r w:rsidRPr="00066E02">
        <w:rPr>
          <w:rFonts w:asciiTheme="majorHAnsi" w:hAnsiTheme="majorHAnsi" w:cstheme="minorHAnsi"/>
          <w:sz w:val="21"/>
          <w:szCs w:val="21"/>
        </w:rPr>
        <w:t>webinarów</w:t>
      </w:r>
      <w:proofErr w:type="spellEnd"/>
      <w:r w:rsidRPr="00066E02">
        <w:rPr>
          <w:rFonts w:asciiTheme="majorHAnsi" w:hAnsiTheme="majorHAnsi" w:cstheme="minorHAnsi"/>
          <w:sz w:val="21"/>
          <w:szCs w:val="21"/>
        </w:rPr>
        <w:t xml:space="preserve"> i innych inicjatyw dla branży finansowej.</w:t>
      </w:r>
    </w:p>
    <w:p w14:paraId="23C104B8" w14:textId="77777777" w:rsidR="00DB1A60" w:rsidRPr="00066E02" w:rsidRDefault="00DB1A60" w:rsidP="00D67564">
      <w:pPr>
        <w:jc w:val="both"/>
        <w:rPr>
          <w:rFonts w:asciiTheme="majorHAnsi" w:hAnsiTheme="majorHAnsi" w:cstheme="minorHAnsi"/>
          <w:sz w:val="21"/>
          <w:szCs w:val="21"/>
        </w:rPr>
      </w:pPr>
    </w:p>
    <w:p w14:paraId="3EDECC01" w14:textId="77777777" w:rsidR="00DB1A60" w:rsidRPr="00066E02" w:rsidRDefault="00DB1A60" w:rsidP="00D67564">
      <w:pPr>
        <w:jc w:val="both"/>
        <w:rPr>
          <w:rFonts w:asciiTheme="majorHAnsi" w:hAnsiTheme="majorHAnsi" w:cstheme="minorHAnsi"/>
          <w:b/>
          <w:color w:val="000090"/>
          <w:sz w:val="21"/>
          <w:szCs w:val="21"/>
        </w:rPr>
      </w:pPr>
      <w:r w:rsidRPr="00066E02">
        <w:rPr>
          <w:rFonts w:asciiTheme="majorHAnsi" w:hAnsiTheme="majorHAnsi" w:cstheme="minorHAnsi"/>
          <w:noProof/>
          <w:sz w:val="21"/>
          <w:szCs w:val="21"/>
        </w:rPr>
        <w:drawing>
          <wp:anchor distT="0" distB="0" distL="114300" distR="114300" simplePos="0" relativeHeight="251658752" behindDoc="0" locked="0" layoutInCell="1" allowOverlap="1" wp14:anchorId="685AFF73" wp14:editId="622B7628">
            <wp:simplePos x="0" y="0"/>
            <wp:positionH relativeFrom="margin">
              <wp:align>left</wp:align>
            </wp:positionH>
            <wp:positionV relativeFrom="paragraph">
              <wp:posOffset>74930</wp:posOffset>
            </wp:positionV>
            <wp:extent cx="252095" cy="252095"/>
            <wp:effectExtent l="0" t="0" r="0" b="0"/>
            <wp:wrapSquare wrapText="bothSides"/>
            <wp:docPr id="1347141097" name="Obraz 1347141097" descr="Obraz zawierający tekst, clipar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Obraz zawierający tekst, clipar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450EF2" w14:textId="77777777" w:rsidR="00DB1A60" w:rsidRPr="00066E02" w:rsidRDefault="00DB1A60" w:rsidP="00D67564">
      <w:pPr>
        <w:jc w:val="both"/>
        <w:rPr>
          <w:rStyle w:val="Hipercze"/>
          <w:rFonts w:asciiTheme="majorHAnsi" w:hAnsiTheme="majorHAnsi" w:cstheme="minorHAnsi"/>
          <w:sz w:val="21"/>
          <w:szCs w:val="21"/>
        </w:rPr>
      </w:pPr>
      <w:hyperlink r:id="rId14" w:history="1">
        <w:r w:rsidRPr="00066E02">
          <w:rPr>
            <w:rStyle w:val="Hipercze"/>
            <w:rFonts w:asciiTheme="majorHAnsi" w:hAnsiTheme="majorHAnsi" w:cstheme="minorHAnsi"/>
            <w:sz w:val="21"/>
            <w:szCs w:val="21"/>
          </w:rPr>
          <w:t>http://www.linkedin.com/company/zpf</w:t>
        </w:r>
      </w:hyperlink>
    </w:p>
    <w:p w14:paraId="58AF3A91" w14:textId="109855CC" w:rsidR="00762744" w:rsidRPr="00066E02" w:rsidRDefault="00762744" w:rsidP="00D67564">
      <w:pPr>
        <w:spacing w:line="276" w:lineRule="auto"/>
        <w:jc w:val="both"/>
        <w:rPr>
          <w:rFonts w:asciiTheme="majorHAnsi" w:hAnsiTheme="majorHAnsi" w:cstheme="minorHAnsi"/>
          <w:iCs/>
          <w:color w:val="auto"/>
          <w:spacing w:val="-2"/>
          <w:sz w:val="21"/>
          <w:szCs w:val="21"/>
        </w:rPr>
      </w:pPr>
    </w:p>
    <w:bookmarkEnd w:id="0"/>
    <w:p w14:paraId="04A002BB" w14:textId="16239348" w:rsidR="00045F40" w:rsidRPr="00066E02" w:rsidRDefault="00045F40" w:rsidP="00D67564">
      <w:pPr>
        <w:jc w:val="both"/>
        <w:rPr>
          <w:rStyle w:val="Hipercze"/>
          <w:rFonts w:asciiTheme="majorHAnsi" w:hAnsiTheme="majorHAnsi" w:cstheme="minorHAnsi"/>
          <w:b/>
          <w:color w:val="000090"/>
          <w:sz w:val="21"/>
          <w:szCs w:val="21"/>
          <w:u w:val="none"/>
        </w:rPr>
      </w:pPr>
    </w:p>
    <w:p w14:paraId="06FA49EC" w14:textId="77777777" w:rsidR="00337009" w:rsidRPr="00066E02" w:rsidRDefault="00337009" w:rsidP="00D67564">
      <w:pPr>
        <w:jc w:val="both"/>
        <w:rPr>
          <w:rStyle w:val="Hipercze"/>
          <w:rFonts w:asciiTheme="majorHAnsi" w:hAnsiTheme="majorHAnsi" w:cstheme="minorHAnsi"/>
          <w:sz w:val="21"/>
          <w:szCs w:val="21"/>
        </w:rPr>
      </w:pPr>
    </w:p>
    <w:p w14:paraId="56D58EA9" w14:textId="77777777" w:rsidR="00337009" w:rsidRPr="00066E02" w:rsidRDefault="00337009" w:rsidP="00D67564">
      <w:pPr>
        <w:jc w:val="both"/>
        <w:rPr>
          <w:rStyle w:val="Hipercze"/>
          <w:rFonts w:asciiTheme="majorHAnsi" w:hAnsiTheme="majorHAnsi" w:cstheme="minorHAnsi"/>
          <w:sz w:val="21"/>
          <w:szCs w:val="21"/>
        </w:rPr>
      </w:pPr>
    </w:p>
    <w:p w14:paraId="6CC87F18" w14:textId="1C084251" w:rsidR="00337009" w:rsidRPr="00066E02" w:rsidRDefault="00337009" w:rsidP="00D67564">
      <w:pPr>
        <w:jc w:val="both"/>
        <w:rPr>
          <w:rFonts w:asciiTheme="majorHAnsi" w:hAnsiTheme="majorHAnsi" w:cstheme="minorHAnsi"/>
          <w:iCs/>
          <w:color w:val="auto"/>
          <w:spacing w:val="-2"/>
          <w:sz w:val="21"/>
          <w:szCs w:val="21"/>
        </w:rPr>
      </w:pPr>
      <w:r w:rsidRPr="00066E02">
        <w:rPr>
          <w:rFonts w:asciiTheme="majorHAnsi" w:hAnsiTheme="majorHAnsi" w:cstheme="minorHAnsi"/>
          <w:noProof/>
          <w:sz w:val="21"/>
          <w:szCs w:val="21"/>
        </w:rPr>
        <w:drawing>
          <wp:inline distT="0" distB="0" distL="0" distR="0" wp14:anchorId="03E4E4B0" wp14:editId="7F25DD72">
            <wp:extent cx="2369820" cy="601980"/>
            <wp:effectExtent l="0" t="0" r="0" b="7620"/>
            <wp:docPr id="117099482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82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946C0B" w14:textId="77777777" w:rsidR="006B7D0B" w:rsidRPr="00066E02" w:rsidRDefault="006B7D0B" w:rsidP="00D67564">
      <w:pPr>
        <w:spacing w:line="276" w:lineRule="auto"/>
        <w:jc w:val="both"/>
        <w:rPr>
          <w:rFonts w:asciiTheme="majorHAnsi" w:hAnsiTheme="majorHAnsi" w:cstheme="minorHAnsi"/>
          <w:iCs/>
          <w:color w:val="auto"/>
          <w:spacing w:val="-2"/>
          <w:sz w:val="21"/>
          <w:szCs w:val="21"/>
        </w:rPr>
      </w:pPr>
    </w:p>
    <w:sectPr w:rsidR="006B7D0B" w:rsidRPr="00066E02">
      <w:headerReference w:type="default" r:id="rId16"/>
      <w:footerReference w:type="default" r:id="rId17"/>
      <w:type w:val="continuous"/>
      <w:pgSz w:w="11906" w:h="16838"/>
      <w:pgMar w:top="1843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F3D75" w14:textId="77777777" w:rsidR="00536B8F" w:rsidRDefault="00536B8F">
      <w:r>
        <w:separator/>
      </w:r>
    </w:p>
    <w:p w14:paraId="013575FE" w14:textId="77777777" w:rsidR="00536B8F" w:rsidRDefault="00536B8F"/>
  </w:endnote>
  <w:endnote w:type="continuationSeparator" w:id="0">
    <w:p w14:paraId="3B030A21" w14:textId="77777777" w:rsidR="00536B8F" w:rsidRDefault="00536B8F">
      <w:r>
        <w:continuationSeparator/>
      </w:r>
    </w:p>
    <w:p w14:paraId="7EA87611" w14:textId="77777777" w:rsidR="00536B8F" w:rsidRDefault="00536B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hAnsiTheme="majorHAnsi"/>
        <w:sz w:val="18"/>
        <w:szCs w:val="18"/>
      </w:rPr>
      <w:id w:val="-50545918"/>
      <w:docPartObj>
        <w:docPartGallery w:val="Page Numbers (Bottom of Page)"/>
        <w:docPartUnique/>
      </w:docPartObj>
    </w:sdtPr>
    <w:sdtContent>
      <w:sdt>
        <w:sdtPr>
          <w:rPr>
            <w:rFonts w:asciiTheme="majorHAnsi" w:hAnsiTheme="majorHAnsi"/>
            <w:sz w:val="18"/>
            <w:szCs w:val="18"/>
          </w:rPr>
          <w:id w:val="-1329895559"/>
          <w:docPartObj>
            <w:docPartGallery w:val="Page Numbers (Top of Page)"/>
            <w:docPartUnique/>
          </w:docPartObj>
        </w:sdtPr>
        <w:sdtContent>
          <w:p w14:paraId="04A002CD" w14:textId="77777777" w:rsidR="00045F40" w:rsidRDefault="000460C8">
            <w:pPr>
              <w:pStyle w:val="Stopka"/>
              <w:jc w:val="right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noProof/>
                <w:sz w:val="18"/>
                <w:szCs w:val="18"/>
              </w:rPr>
              <w:drawing>
                <wp:anchor distT="0" distB="0" distL="114300" distR="114300" simplePos="0" relativeHeight="251658240" behindDoc="0" locked="0" layoutInCell="1" allowOverlap="1" wp14:anchorId="04A002D0" wp14:editId="04A002D1">
                  <wp:simplePos x="0" y="0"/>
                  <wp:positionH relativeFrom="column">
                    <wp:posOffset>-900430</wp:posOffset>
                  </wp:positionH>
                  <wp:positionV relativeFrom="paragraph">
                    <wp:posOffset>-178435</wp:posOffset>
                  </wp:positionV>
                  <wp:extent cx="5732145" cy="748030"/>
                  <wp:effectExtent l="0" t="0" r="0" b="0"/>
                  <wp:wrapNone/>
                  <wp:docPr id="10" name="Obraz 10" descr="D:\Dokumenty KPF\GRAFIKA\_ZPF_Identyfikacja wizualna\ZPF_DOKUMENTY\ZPF_stopka-bez-eur-25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Dokumenty KPF\GRAFIKA\_ZPF_Identyfikacja wizualna\ZPF_DOKUMENTY\ZPF_stopka-bez-eur-25.wm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2" t="-3" r="30226" b="3160"/>
                          <a:stretch/>
                        </pic:blipFill>
                        <pic:spPr bwMode="auto">
                          <a:xfrm>
                            <a:off x="0" y="0"/>
                            <a:ext cx="5732145" cy="748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HAnsi" w:hAnsiTheme="majorHAnsi"/>
                <w:sz w:val="18"/>
                <w:szCs w:val="18"/>
              </w:rPr>
              <w:t xml:space="preserve">Strona 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begin"/>
            </w:r>
            <w:r>
              <w:rPr>
                <w:rFonts w:asciiTheme="majorHAnsi" w:hAnsiTheme="majorHAnsi"/>
                <w:sz w:val="18"/>
                <w:szCs w:val="18"/>
              </w:rPr>
              <w:instrText>PAGE</w:instrText>
            </w:r>
            <w:r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3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r>
              <w:rPr>
                <w:rFonts w:asciiTheme="majorHAnsi" w:hAnsiTheme="majorHAnsi"/>
                <w:sz w:val="18"/>
                <w:szCs w:val="18"/>
              </w:rPr>
              <w:t xml:space="preserve"> z 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begin"/>
            </w:r>
            <w:r>
              <w:rPr>
                <w:rFonts w:asciiTheme="majorHAnsi" w:hAnsiTheme="majorHAnsi"/>
                <w:sz w:val="18"/>
                <w:szCs w:val="18"/>
              </w:rPr>
              <w:instrText>NUMPAGES</w:instrText>
            </w:r>
            <w:r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3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CDC91" w14:textId="77777777" w:rsidR="00536B8F" w:rsidRDefault="00536B8F">
      <w:r>
        <w:separator/>
      </w:r>
    </w:p>
    <w:p w14:paraId="215661F2" w14:textId="77777777" w:rsidR="00536B8F" w:rsidRDefault="00536B8F"/>
  </w:footnote>
  <w:footnote w:type="continuationSeparator" w:id="0">
    <w:p w14:paraId="15E42520" w14:textId="77777777" w:rsidR="00536B8F" w:rsidRDefault="00536B8F">
      <w:r>
        <w:continuationSeparator/>
      </w:r>
    </w:p>
    <w:p w14:paraId="6C710B72" w14:textId="77777777" w:rsidR="00536B8F" w:rsidRDefault="00536B8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002CC" w14:textId="77777777" w:rsidR="00045F40" w:rsidRDefault="000460C8">
    <w:pPr>
      <w:pStyle w:val="Nagwek"/>
    </w:pPr>
    <w:r>
      <w:rPr>
        <w:rFonts w:asciiTheme="minorHAnsi" w:hAnsiTheme="minorHAnsi"/>
        <w:noProof/>
        <w:color w:val="1C2442"/>
      </w:rPr>
      <w:drawing>
        <wp:inline distT="0" distB="0" distL="0" distR="0" wp14:anchorId="04A002CE" wp14:editId="04A002CF">
          <wp:extent cx="1963973" cy="461729"/>
          <wp:effectExtent l="0" t="0" r="0" b="0"/>
          <wp:docPr id="9" name="Obraz 9" descr="D:\Dokumenty KPF\GRAFIKA\_ZPF_Identyfikacja wizualna\logo-zpf-wmf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Dokumenty KPF\GRAFIKA\_ZPF_Identyfikacja wizualna\logo-zpf-wmf.wm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2095" cy="4636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6A6237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062590"/>
    <w:multiLevelType w:val="multilevel"/>
    <w:tmpl w:val="9D625442"/>
    <w:lvl w:ilvl="0">
      <w:start w:val="13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1">
      <w:start w:val="15"/>
      <w:numFmt w:val="decimal"/>
      <w:lvlText w:val="%1.%2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30"/>
        </w:tabs>
        <w:ind w:left="2130" w:hanging="213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" w15:restartNumberingAfterBreak="0">
    <w:nsid w:val="102D4F5F"/>
    <w:multiLevelType w:val="hybridMultilevel"/>
    <w:tmpl w:val="536E1742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w w:val="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142ADE"/>
    <w:multiLevelType w:val="multilevel"/>
    <w:tmpl w:val="99E44FEA"/>
    <w:lvl w:ilvl="0">
      <w:start w:val="12"/>
      <w:numFmt w:val="decimal"/>
      <w:lvlText w:val="%1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1">
      <w:start w:val="30"/>
      <w:numFmt w:val="decimal"/>
      <w:lvlText w:val="%1.%2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</w:abstractNum>
  <w:abstractNum w:abstractNumId="4" w15:restartNumberingAfterBreak="0">
    <w:nsid w:val="18A65DD3"/>
    <w:multiLevelType w:val="multilevel"/>
    <w:tmpl w:val="83B08D02"/>
    <w:lvl w:ilvl="0">
      <w:start w:val="12"/>
      <w:numFmt w:val="decimal"/>
      <w:lvlText w:val="%1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1">
      <w:start w:val="40"/>
      <w:numFmt w:val="decimal"/>
      <w:lvlText w:val="%1.%2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75"/>
        </w:tabs>
        <w:ind w:left="2175" w:hanging="2175"/>
      </w:pPr>
      <w:rPr>
        <w:rFonts w:cs="Times New Roman" w:hint="default"/>
      </w:rPr>
    </w:lvl>
  </w:abstractNum>
  <w:abstractNum w:abstractNumId="5" w15:restartNumberingAfterBreak="0">
    <w:nsid w:val="19A05079"/>
    <w:multiLevelType w:val="hybridMultilevel"/>
    <w:tmpl w:val="144AA0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CCF6739"/>
    <w:multiLevelType w:val="hybridMultilevel"/>
    <w:tmpl w:val="97F631AC"/>
    <w:lvl w:ilvl="0" w:tplc="04150005">
      <w:start w:val="1"/>
      <w:numFmt w:val="bullet"/>
      <w:lvlText w:val=""/>
      <w:lvlJc w:val="left"/>
      <w:pPr>
        <w:tabs>
          <w:tab w:val="num" w:pos="3168"/>
        </w:tabs>
        <w:ind w:left="3168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7488"/>
        </w:tabs>
        <w:ind w:left="74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8208"/>
        </w:tabs>
        <w:ind w:left="82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928"/>
        </w:tabs>
        <w:ind w:left="8928" w:hanging="360"/>
      </w:pPr>
      <w:rPr>
        <w:rFonts w:ascii="Wingdings" w:hAnsi="Wingdings" w:hint="default"/>
      </w:rPr>
    </w:lvl>
  </w:abstractNum>
  <w:abstractNum w:abstractNumId="7" w15:restartNumberingAfterBreak="0">
    <w:nsid w:val="2DE145CD"/>
    <w:multiLevelType w:val="multilevel"/>
    <w:tmpl w:val="F466950E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 w15:restartNumberingAfterBreak="0">
    <w:nsid w:val="33836AD8"/>
    <w:multiLevelType w:val="hybridMultilevel"/>
    <w:tmpl w:val="3A38EBA8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9" w15:restartNumberingAfterBreak="0">
    <w:nsid w:val="383E6AD8"/>
    <w:multiLevelType w:val="hybridMultilevel"/>
    <w:tmpl w:val="398AC8E4"/>
    <w:lvl w:ilvl="0" w:tplc="7BA008B6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89F6943"/>
    <w:multiLevelType w:val="multilevel"/>
    <w:tmpl w:val="0B3EA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334E18"/>
    <w:multiLevelType w:val="multilevel"/>
    <w:tmpl w:val="849862FE"/>
    <w:lvl w:ilvl="0">
      <w:start w:val="15"/>
      <w:numFmt w:val="decimal"/>
      <w:lvlText w:val="%1"/>
      <w:lvlJc w:val="left"/>
      <w:pPr>
        <w:tabs>
          <w:tab w:val="num" w:pos="4065"/>
        </w:tabs>
        <w:ind w:left="4065" w:hanging="4065"/>
      </w:pPr>
      <w:rPr>
        <w:rFonts w:cs="Times New Roman" w:hint="default"/>
        <w:b/>
        <w:color w:val="FFFFFF"/>
      </w:rPr>
    </w:lvl>
    <w:lvl w:ilvl="1">
      <w:start w:val="45"/>
      <w:numFmt w:val="decimal"/>
      <w:lvlText w:val="%1.%2"/>
      <w:lvlJc w:val="left"/>
      <w:pPr>
        <w:tabs>
          <w:tab w:val="num" w:pos="4065"/>
        </w:tabs>
        <w:ind w:left="4065" w:hanging="4065"/>
      </w:pPr>
      <w:rPr>
        <w:rFonts w:cs="Times New Roman" w:hint="default"/>
        <w:b/>
        <w:color w:val="FFFFFF"/>
      </w:rPr>
    </w:lvl>
    <w:lvl w:ilvl="2">
      <w:start w:val="1"/>
      <w:numFmt w:val="decimal"/>
      <w:lvlText w:val="%1.%2.%3"/>
      <w:lvlJc w:val="left"/>
      <w:pPr>
        <w:tabs>
          <w:tab w:val="num" w:pos="4065"/>
        </w:tabs>
        <w:ind w:left="4065" w:hanging="4065"/>
      </w:pPr>
      <w:rPr>
        <w:rFonts w:cs="Times New Roman" w:hint="default"/>
        <w:b/>
        <w:color w:val="FFFFFF"/>
      </w:rPr>
    </w:lvl>
    <w:lvl w:ilvl="3">
      <w:start w:val="1"/>
      <w:numFmt w:val="decimal"/>
      <w:lvlText w:val="%1.%2.%3.%4"/>
      <w:lvlJc w:val="left"/>
      <w:pPr>
        <w:tabs>
          <w:tab w:val="num" w:pos="4065"/>
        </w:tabs>
        <w:ind w:left="4065" w:hanging="4065"/>
      </w:pPr>
      <w:rPr>
        <w:rFonts w:cs="Times New Roman" w:hint="default"/>
        <w:b/>
        <w:color w:val="FFFFFF"/>
      </w:rPr>
    </w:lvl>
    <w:lvl w:ilvl="4">
      <w:start w:val="1"/>
      <w:numFmt w:val="decimal"/>
      <w:lvlText w:val="%1.%2.%3.%4.%5"/>
      <w:lvlJc w:val="left"/>
      <w:pPr>
        <w:tabs>
          <w:tab w:val="num" w:pos="4065"/>
        </w:tabs>
        <w:ind w:left="4065" w:hanging="4065"/>
      </w:pPr>
      <w:rPr>
        <w:rFonts w:cs="Times New Roman" w:hint="default"/>
        <w:b/>
        <w:color w:val="FFFFFF"/>
      </w:rPr>
    </w:lvl>
    <w:lvl w:ilvl="5">
      <w:start w:val="1"/>
      <w:numFmt w:val="decimal"/>
      <w:lvlText w:val="%1.%2.%3.%4.%5.%6"/>
      <w:lvlJc w:val="left"/>
      <w:pPr>
        <w:tabs>
          <w:tab w:val="num" w:pos="4065"/>
        </w:tabs>
        <w:ind w:left="4065" w:hanging="4065"/>
      </w:pPr>
      <w:rPr>
        <w:rFonts w:cs="Times New Roman" w:hint="default"/>
        <w:b/>
        <w:color w:val="FFFFFF"/>
      </w:rPr>
    </w:lvl>
    <w:lvl w:ilvl="6">
      <w:start w:val="1"/>
      <w:numFmt w:val="decimal"/>
      <w:lvlText w:val="%1.%2.%3.%4.%5.%6.%7"/>
      <w:lvlJc w:val="left"/>
      <w:pPr>
        <w:tabs>
          <w:tab w:val="num" w:pos="4065"/>
        </w:tabs>
        <w:ind w:left="4065" w:hanging="4065"/>
      </w:pPr>
      <w:rPr>
        <w:rFonts w:cs="Times New Roman" w:hint="default"/>
        <w:b/>
        <w:color w:val="FFFFFF"/>
      </w:rPr>
    </w:lvl>
    <w:lvl w:ilvl="7">
      <w:start w:val="1"/>
      <w:numFmt w:val="decimal"/>
      <w:lvlText w:val="%1.%2.%3.%4.%5.%6.%7.%8"/>
      <w:lvlJc w:val="left"/>
      <w:pPr>
        <w:tabs>
          <w:tab w:val="num" w:pos="4065"/>
        </w:tabs>
        <w:ind w:left="4065" w:hanging="4065"/>
      </w:pPr>
      <w:rPr>
        <w:rFonts w:cs="Times New Roman" w:hint="default"/>
        <w:b/>
        <w:color w:val="FFFFFF"/>
      </w:rPr>
    </w:lvl>
    <w:lvl w:ilvl="8">
      <w:start w:val="1"/>
      <w:numFmt w:val="decimal"/>
      <w:lvlText w:val="%1.%2.%3.%4.%5.%6.%7.%8.%9"/>
      <w:lvlJc w:val="left"/>
      <w:pPr>
        <w:tabs>
          <w:tab w:val="num" w:pos="4065"/>
        </w:tabs>
        <w:ind w:left="4065" w:hanging="4065"/>
      </w:pPr>
      <w:rPr>
        <w:rFonts w:cs="Times New Roman" w:hint="default"/>
        <w:b/>
        <w:color w:val="FFFFFF"/>
      </w:rPr>
    </w:lvl>
  </w:abstractNum>
  <w:abstractNum w:abstractNumId="12" w15:restartNumberingAfterBreak="0">
    <w:nsid w:val="449D6DB5"/>
    <w:multiLevelType w:val="hybridMultilevel"/>
    <w:tmpl w:val="C870F9D6"/>
    <w:lvl w:ilvl="0" w:tplc="04150005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7980"/>
        </w:tabs>
        <w:ind w:left="79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8700"/>
        </w:tabs>
        <w:ind w:left="87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9420"/>
        </w:tabs>
        <w:ind w:left="9420" w:hanging="360"/>
      </w:pPr>
      <w:rPr>
        <w:rFonts w:ascii="Wingdings" w:hAnsi="Wingdings" w:hint="default"/>
      </w:rPr>
    </w:lvl>
  </w:abstractNum>
  <w:abstractNum w:abstractNumId="13" w15:restartNumberingAfterBreak="0">
    <w:nsid w:val="4862277C"/>
    <w:multiLevelType w:val="multilevel"/>
    <w:tmpl w:val="D9948DA6"/>
    <w:lvl w:ilvl="0">
      <w:start w:val="1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0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4C517E75"/>
    <w:multiLevelType w:val="hybridMultilevel"/>
    <w:tmpl w:val="3CF4D1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574773"/>
    <w:multiLevelType w:val="hybridMultilevel"/>
    <w:tmpl w:val="DC9285BC"/>
    <w:lvl w:ilvl="0" w:tplc="6538118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w w:val="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BF4ED7"/>
    <w:multiLevelType w:val="multilevel"/>
    <w:tmpl w:val="F3746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B02D87"/>
    <w:multiLevelType w:val="multilevel"/>
    <w:tmpl w:val="A798FB0A"/>
    <w:lvl w:ilvl="0">
      <w:start w:val="13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30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59165DC2"/>
    <w:multiLevelType w:val="hybridMultilevel"/>
    <w:tmpl w:val="707EF52C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w w:val="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676938"/>
    <w:multiLevelType w:val="hybridMultilevel"/>
    <w:tmpl w:val="279E5D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2605E2"/>
    <w:multiLevelType w:val="hybridMultilevel"/>
    <w:tmpl w:val="DCD09C5E"/>
    <w:lvl w:ilvl="0" w:tplc="0415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6021CD"/>
    <w:multiLevelType w:val="hybridMultilevel"/>
    <w:tmpl w:val="CDD623DE"/>
    <w:lvl w:ilvl="0" w:tplc="E36A018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CB6F76"/>
    <w:multiLevelType w:val="hybridMultilevel"/>
    <w:tmpl w:val="C41624EA"/>
    <w:lvl w:ilvl="0" w:tplc="8A96069E">
      <w:start w:val="1"/>
      <w:numFmt w:val="bullet"/>
      <w:lvlText w:val=""/>
      <w:lvlJc w:val="left"/>
      <w:pPr>
        <w:tabs>
          <w:tab w:val="num" w:pos="2844"/>
        </w:tabs>
        <w:ind w:left="2844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3564"/>
        </w:tabs>
        <w:ind w:left="356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4284"/>
        </w:tabs>
        <w:ind w:left="42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5004"/>
        </w:tabs>
        <w:ind w:left="50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724"/>
        </w:tabs>
        <w:ind w:left="572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6444"/>
        </w:tabs>
        <w:ind w:left="64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7164"/>
        </w:tabs>
        <w:ind w:left="71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884"/>
        </w:tabs>
        <w:ind w:left="788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604"/>
        </w:tabs>
        <w:ind w:left="8604" w:hanging="360"/>
      </w:pPr>
      <w:rPr>
        <w:rFonts w:ascii="Wingdings" w:hAnsi="Wingdings" w:hint="default"/>
      </w:rPr>
    </w:lvl>
  </w:abstractNum>
  <w:abstractNum w:abstractNumId="23" w15:restartNumberingAfterBreak="0">
    <w:nsid w:val="65E55CF2"/>
    <w:multiLevelType w:val="hybridMultilevel"/>
    <w:tmpl w:val="F3746D58"/>
    <w:lvl w:ilvl="0" w:tplc="0415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7348C6"/>
    <w:multiLevelType w:val="hybridMultilevel"/>
    <w:tmpl w:val="4002E30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6CEF4C51"/>
    <w:multiLevelType w:val="multilevel"/>
    <w:tmpl w:val="C07E43F8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35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cs="Times New Roman" w:hint="default"/>
        <w:b/>
        <w:color w:val="00008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6" w15:restartNumberingAfterBreak="0">
    <w:nsid w:val="6F111C46"/>
    <w:multiLevelType w:val="hybridMultilevel"/>
    <w:tmpl w:val="CB16B24C"/>
    <w:lvl w:ilvl="0" w:tplc="A2FAF40E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1" w:tplc="492ECFBE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2" w:tplc="2F2E72B6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3" w:tplc="41FA8326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4" w:tplc="C2D4F52A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5" w:tplc="D3388CAC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6" w:tplc="11AA1416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7" w:tplc="091E36EE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8" w:tplc="95D4932C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</w:abstractNum>
  <w:abstractNum w:abstractNumId="27" w15:restartNumberingAfterBreak="0">
    <w:nsid w:val="6F613B91"/>
    <w:multiLevelType w:val="multilevel"/>
    <w:tmpl w:val="DCD09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6C77C8"/>
    <w:multiLevelType w:val="hybridMultilevel"/>
    <w:tmpl w:val="2DDCAE9A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811EAE"/>
    <w:multiLevelType w:val="hybridMultilevel"/>
    <w:tmpl w:val="7B9C980C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w w:val="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466A0F"/>
    <w:multiLevelType w:val="hybridMultilevel"/>
    <w:tmpl w:val="43081140"/>
    <w:lvl w:ilvl="0" w:tplc="F62204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662E0E"/>
    <w:multiLevelType w:val="hybridMultilevel"/>
    <w:tmpl w:val="F176DAF6"/>
    <w:lvl w:ilvl="0" w:tplc="B35A35BA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1" w:tplc="8C74E2A6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2" w:tplc="A3A80D8A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3" w:tplc="EA9E5636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4" w:tplc="C2DAB676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5" w:tplc="73342D8A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6" w:tplc="71621F04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7" w:tplc="2D3236EE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8" w:tplc="A75617C6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</w:abstractNum>
  <w:abstractNum w:abstractNumId="32" w15:restartNumberingAfterBreak="0">
    <w:nsid w:val="7DAB5CBC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3" w15:restartNumberingAfterBreak="0">
    <w:nsid w:val="7F1342F2"/>
    <w:multiLevelType w:val="hybridMultilevel"/>
    <w:tmpl w:val="EB7CBC9A"/>
    <w:lvl w:ilvl="0" w:tplc="0415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23593531">
    <w:abstractNumId w:val="32"/>
  </w:num>
  <w:num w:numId="2" w16cid:durableId="26151447">
    <w:abstractNumId w:val="6"/>
  </w:num>
  <w:num w:numId="3" w16cid:durableId="2091195825">
    <w:abstractNumId w:val="3"/>
  </w:num>
  <w:num w:numId="4" w16cid:durableId="168375630">
    <w:abstractNumId w:val="4"/>
  </w:num>
  <w:num w:numId="5" w16cid:durableId="1304894537">
    <w:abstractNumId w:val="13"/>
  </w:num>
  <w:num w:numId="6" w16cid:durableId="598292792">
    <w:abstractNumId w:val="17"/>
  </w:num>
  <w:num w:numId="7" w16cid:durableId="1972049076">
    <w:abstractNumId w:val="1"/>
  </w:num>
  <w:num w:numId="8" w16cid:durableId="977028122">
    <w:abstractNumId w:val="9"/>
  </w:num>
  <w:num w:numId="9" w16cid:durableId="1994217558">
    <w:abstractNumId w:val="7"/>
  </w:num>
  <w:num w:numId="10" w16cid:durableId="501895109">
    <w:abstractNumId w:val="25"/>
  </w:num>
  <w:num w:numId="11" w16cid:durableId="482158256">
    <w:abstractNumId w:val="12"/>
  </w:num>
  <w:num w:numId="12" w16cid:durableId="1822187499">
    <w:abstractNumId w:val="23"/>
  </w:num>
  <w:num w:numId="13" w16cid:durableId="1256595171">
    <w:abstractNumId w:val="16"/>
  </w:num>
  <w:num w:numId="14" w16cid:durableId="362557525">
    <w:abstractNumId w:val="20"/>
  </w:num>
  <w:num w:numId="15" w16cid:durableId="1500197127">
    <w:abstractNumId w:val="27"/>
  </w:num>
  <w:num w:numId="16" w16cid:durableId="395982433">
    <w:abstractNumId w:val="28"/>
  </w:num>
  <w:num w:numId="17" w16cid:durableId="1426803212">
    <w:abstractNumId w:val="21"/>
  </w:num>
  <w:num w:numId="18" w16cid:durableId="1896617993">
    <w:abstractNumId w:val="11"/>
  </w:num>
  <w:num w:numId="19" w16cid:durableId="432365694">
    <w:abstractNumId w:val="22"/>
  </w:num>
  <w:num w:numId="20" w16cid:durableId="1095058326">
    <w:abstractNumId w:val="15"/>
  </w:num>
  <w:num w:numId="21" w16cid:durableId="193081461">
    <w:abstractNumId w:val="29"/>
  </w:num>
  <w:num w:numId="22" w16cid:durableId="1131940714">
    <w:abstractNumId w:val="2"/>
  </w:num>
  <w:num w:numId="23" w16cid:durableId="1727991563">
    <w:abstractNumId w:val="18"/>
  </w:num>
  <w:num w:numId="24" w16cid:durableId="617488062">
    <w:abstractNumId w:val="33"/>
  </w:num>
  <w:num w:numId="25" w16cid:durableId="1993944316">
    <w:abstractNumId w:val="5"/>
  </w:num>
  <w:num w:numId="26" w16cid:durableId="337198606">
    <w:abstractNumId w:val="0"/>
  </w:num>
  <w:num w:numId="27" w16cid:durableId="49695078">
    <w:abstractNumId w:val="24"/>
  </w:num>
  <w:num w:numId="28" w16cid:durableId="777801040">
    <w:abstractNumId w:val="30"/>
  </w:num>
  <w:num w:numId="29" w16cid:durableId="1350133745">
    <w:abstractNumId w:val="19"/>
  </w:num>
  <w:num w:numId="30" w16cid:durableId="219362212">
    <w:abstractNumId w:val="14"/>
  </w:num>
  <w:num w:numId="31" w16cid:durableId="727729084">
    <w:abstractNumId w:val="8"/>
  </w:num>
  <w:num w:numId="32" w16cid:durableId="1166090429">
    <w:abstractNumId w:val="31"/>
  </w:num>
  <w:num w:numId="33" w16cid:durableId="1118178554">
    <w:abstractNumId w:val="26"/>
  </w:num>
  <w:num w:numId="34" w16cid:durableId="165066957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consecutiveHyphenLimit w:val="3"/>
  <w:hyphenationZone w:val="425"/>
  <w:doNotHyphenateCaps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F40"/>
    <w:rsid w:val="00000809"/>
    <w:rsid w:val="00000979"/>
    <w:rsid w:val="00001DE2"/>
    <w:rsid w:val="00001E32"/>
    <w:rsid w:val="000022E6"/>
    <w:rsid w:val="00003DF8"/>
    <w:rsid w:val="000054F2"/>
    <w:rsid w:val="00007AFD"/>
    <w:rsid w:val="00011922"/>
    <w:rsid w:val="000134EE"/>
    <w:rsid w:val="00014998"/>
    <w:rsid w:val="00015DBC"/>
    <w:rsid w:val="00015DBF"/>
    <w:rsid w:val="000260F2"/>
    <w:rsid w:val="00027149"/>
    <w:rsid w:val="000272FC"/>
    <w:rsid w:val="00027524"/>
    <w:rsid w:val="00027973"/>
    <w:rsid w:val="000340E1"/>
    <w:rsid w:val="0003432B"/>
    <w:rsid w:val="00035C48"/>
    <w:rsid w:val="000374B6"/>
    <w:rsid w:val="00037B04"/>
    <w:rsid w:val="00045F40"/>
    <w:rsid w:val="000460C8"/>
    <w:rsid w:val="00047B7D"/>
    <w:rsid w:val="00051EB0"/>
    <w:rsid w:val="00054BDF"/>
    <w:rsid w:val="0005577A"/>
    <w:rsid w:val="00055F50"/>
    <w:rsid w:val="000560F1"/>
    <w:rsid w:val="00057024"/>
    <w:rsid w:val="00057634"/>
    <w:rsid w:val="00061B5E"/>
    <w:rsid w:val="000632FC"/>
    <w:rsid w:val="00063D72"/>
    <w:rsid w:val="000660CE"/>
    <w:rsid w:val="00066C1D"/>
    <w:rsid w:val="00066E02"/>
    <w:rsid w:val="000713A3"/>
    <w:rsid w:val="000722AF"/>
    <w:rsid w:val="000729C3"/>
    <w:rsid w:val="00074B78"/>
    <w:rsid w:val="00075CC7"/>
    <w:rsid w:val="000770BD"/>
    <w:rsid w:val="0008045D"/>
    <w:rsid w:val="0008331E"/>
    <w:rsid w:val="00083C78"/>
    <w:rsid w:val="00087649"/>
    <w:rsid w:val="00087FF8"/>
    <w:rsid w:val="0009105B"/>
    <w:rsid w:val="0009204F"/>
    <w:rsid w:val="0009233B"/>
    <w:rsid w:val="00092926"/>
    <w:rsid w:val="00093E47"/>
    <w:rsid w:val="000947CC"/>
    <w:rsid w:val="00094A0E"/>
    <w:rsid w:val="00095A92"/>
    <w:rsid w:val="000A0709"/>
    <w:rsid w:val="000A192C"/>
    <w:rsid w:val="000A1CBD"/>
    <w:rsid w:val="000A5FF0"/>
    <w:rsid w:val="000A66E4"/>
    <w:rsid w:val="000B126C"/>
    <w:rsid w:val="000B304D"/>
    <w:rsid w:val="000B4092"/>
    <w:rsid w:val="000B4D45"/>
    <w:rsid w:val="000B5477"/>
    <w:rsid w:val="000B5D7F"/>
    <w:rsid w:val="000B6D9E"/>
    <w:rsid w:val="000C2C31"/>
    <w:rsid w:val="000C37B6"/>
    <w:rsid w:val="000C5A31"/>
    <w:rsid w:val="000C60EE"/>
    <w:rsid w:val="000C74B1"/>
    <w:rsid w:val="000C79E4"/>
    <w:rsid w:val="000D2201"/>
    <w:rsid w:val="000D238A"/>
    <w:rsid w:val="000D5E52"/>
    <w:rsid w:val="000E158C"/>
    <w:rsid w:val="000E1E53"/>
    <w:rsid w:val="000E3086"/>
    <w:rsid w:val="000E64BF"/>
    <w:rsid w:val="000E6C57"/>
    <w:rsid w:val="000F21CC"/>
    <w:rsid w:val="000F2CA2"/>
    <w:rsid w:val="000F3899"/>
    <w:rsid w:val="000F5963"/>
    <w:rsid w:val="000F6117"/>
    <w:rsid w:val="00100591"/>
    <w:rsid w:val="001015A3"/>
    <w:rsid w:val="00101855"/>
    <w:rsid w:val="00102328"/>
    <w:rsid w:val="00104261"/>
    <w:rsid w:val="001044C1"/>
    <w:rsid w:val="00105029"/>
    <w:rsid w:val="001051BC"/>
    <w:rsid w:val="0010640C"/>
    <w:rsid w:val="001066D9"/>
    <w:rsid w:val="00106F77"/>
    <w:rsid w:val="00112B64"/>
    <w:rsid w:val="00117585"/>
    <w:rsid w:val="001179F1"/>
    <w:rsid w:val="00120A1E"/>
    <w:rsid w:val="00121823"/>
    <w:rsid w:val="00124A28"/>
    <w:rsid w:val="00124DF7"/>
    <w:rsid w:val="00131DA2"/>
    <w:rsid w:val="00132CC5"/>
    <w:rsid w:val="0013469D"/>
    <w:rsid w:val="0013528E"/>
    <w:rsid w:val="001375BC"/>
    <w:rsid w:val="001377C5"/>
    <w:rsid w:val="00140987"/>
    <w:rsid w:val="00142752"/>
    <w:rsid w:val="0015118E"/>
    <w:rsid w:val="00153795"/>
    <w:rsid w:val="00154075"/>
    <w:rsid w:val="001545D8"/>
    <w:rsid w:val="00156006"/>
    <w:rsid w:val="001662C5"/>
    <w:rsid w:val="001678EA"/>
    <w:rsid w:val="00167E29"/>
    <w:rsid w:val="00173926"/>
    <w:rsid w:val="00173D96"/>
    <w:rsid w:val="00176218"/>
    <w:rsid w:val="001847D0"/>
    <w:rsid w:val="00184B05"/>
    <w:rsid w:val="00191265"/>
    <w:rsid w:val="00194F0D"/>
    <w:rsid w:val="00196B01"/>
    <w:rsid w:val="001977A0"/>
    <w:rsid w:val="001A457A"/>
    <w:rsid w:val="001B0A10"/>
    <w:rsid w:val="001B1119"/>
    <w:rsid w:val="001B58E6"/>
    <w:rsid w:val="001B5F77"/>
    <w:rsid w:val="001B73EF"/>
    <w:rsid w:val="001C3BD3"/>
    <w:rsid w:val="001C7097"/>
    <w:rsid w:val="001C7353"/>
    <w:rsid w:val="001C78EF"/>
    <w:rsid w:val="001C7C9B"/>
    <w:rsid w:val="001D133B"/>
    <w:rsid w:val="001D1BA0"/>
    <w:rsid w:val="001D64FE"/>
    <w:rsid w:val="001D6BC0"/>
    <w:rsid w:val="001E0D37"/>
    <w:rsid w:val="001E3284"/>
    <w:rsid w:val="001E438D"/>
    <w:rsid w:val="001F0FED"/>
    <w:rsid w:val="001F18CE"/>
    <w:rsid w:val="001F209A"/>
    <w:rsid w:val="001F6B12"/>
    <w:rsid w:val="00200876"/>
    <w:rsid w:val="00202227"/>
    <w:rsid w:val="0020451C"/>
    <w:rsid w:val="0020511C"/>
    <w:rsid w:val="00205B9D"/>
    <w:rsid w:val="00205E39"/>
    <w:rsid w:val="00207C9F"/>
    <w:rsid w:val="002117D1"/>
    <w:rsid w:val="00211AE4"/>
    <w:rsid w:val="0021296B"/>
    <w:rsid w:val="00213A23"/>
    <w:rsid w:val="0021412D"/>
    <w:rsid w:val="0021575A"/>
    <w:rsid w:val="002179CD"/>
    <w:rsid w:val="00222664"/>
    <w:rsid w:val="002256B8"/>
    <w:rsid w:val="00226538"/>
    <w:rsid w:val="002270C9"/>
    <w:rsid w:val="002273E7"/>
    <w:rsid w:val="00231315"/>
    <w:rsid w:val="0023306E"/>
    <w:rsid w:val="00233DE9"/>
    <w:rsid w:val="00235676"/>
    <w:rsid w:val="00236A81"/>
    <w:rsid w:val="002401DF"/>
    <w:rsid w:val="00242FAE"/>
    <w:rsid w:val="00243FB8"/>
    <w:rsid w:val="00251B85"/>
    <w:rsid w:val="00254A3E"/>
    <w:rsid w:val="00254E47"/>
    <w:rsid w:val="002563CA"/>
    <w:rsid w:val="00262A17"/>
    <w:rsid w:val="00270DDD"/>
    <w:rsid w:val="002727AF"/>
    <w:rsid w:val="0027524F"/>
    <w:rsid w:val="002760DA"/>
    <w:rsid w:val="0028340C"/>
    <w:rsid w:val="00290B51"/>
    <w:rsid w:val="00290D93"/>
    <w:rsid w:val="00291BA1"/>
    <w:rsid w:val="00293878"/>
    <w:rsid w:val="00293B92"/>
    <w:rsid w:val="00294280"/>
    <w:rsid w:val="002945C8"/>
    <w:rsid w:val="00295394"/>
    <w:rsid w:val="002969B1"/>
    <w:rsid w:val="00297E66"/>
    <w:rsid w:val="00297FE7"/>
    <w:rsid w:val="002A5C1C"/>
    <w:rsid w:val="002B047D"/>
    <w:rsid w:val="002B423A"/>
    <w:rsid w:val="002B4A1B"/>
    <w:rsid w:val="002B4AC5"/>
    <w:rsid w:val="002B59BE"/>
    <w:rsid w:val="002C2E35"/>
    <w:rsid w:val="002C2F51"/>
    <w:rsid w:val="002C34A0"/>
    <w:rsid w:val="002C58DF"/>
    <w:rsid w:val="002D11F1"/>
    <w:rsid w:val="002D7321"/>
    <w:rsid w:val="002E28E1"/>
    <w:rsid w:val="002E39B3"/>
    <w:rsid w:val="002E4215"/>
    <w:rsid w:val="002E4573"/>
    <w:rsid w:val="002E4E8A"/>
    <w:rsid w:val="002E57DF"/>
    <w:rsid w:val="002E61D4"/>
    <w:rsid w:val="002E7B7F"/>
    <w:rsid w:val="002E7ED0"/>
    <w:rsid w:val="002F0E92"/>
    <w:rsid w:val="002F5B1C"/>
    <w:rsid w:val="002F645A"/>
    <w:rsid w:val="002F77EC"/>
    <w:rsid w:val="002F79FE"/>
    <w:rsid w:val="00300207"/>
    <w:rsid w:val="00300652"/>
    <w:rsid w:val="00300A37"/>
    <w:rsid w:val="00301733"/>
    <w:rsid w:val="00302701"/>
    <w:rsid w:val="00306A1D"/>
    <w:rsid w:val="00310C14"/>
    <w:rsid w:val="0031555B"/>
    <w:rsid w:val="00316FC9"/>
    <w:rsid w:val="003204F5"/>
    <w:rsid w:val="00320FE2"/>
    <w:rsid w:val="00321B05"/>
    <w:rsid w:val="00322ECA"/>
    <w:rsid w:val="0032709E"/>
    <w:rsid w:val="003279B0"/>
    <w:rsid w:val="003311FF"/>
    <w:rsid w:val="003319F4"/>
    <w:rsid w:val="0033464E"/>
    <w:rsid w:val="00334B28"/>
    <w:rsid w:val="00335939"/>
    <w:rsid w:val="00335F86"/>
    <w:rsid w:val="0033655D"/>
    <w:rsid w:val="00337009"/>
    <w:rsid w:val="003428AC"/>
    <w:rsid w:val="00345E1B"/>
    <w:rsid w:val="00347442"/>
    <w:rsid w:val="00353FEA"/>
    <w:rsid w:val="0035458C"/>
    <w:rsid w:val="003559BD"/>
    <w:rsid w:val="00355F1A"/>
    <w:rsid w:val="00356ACB"/>
    <w:rsid w:val="0036220A"/>
    <w:rsid w:val="00362DE7"/>
    <w:rsid w:val="0036311A"/>
    <w:rsid w:val="00363671"/>
    <w:rsid w:val="00370FA3"/>
    <w:rsid w:val="0037113A"/>
    <w:rsid w:val="0037182E"/>
    <w:rsid w:val="00373A1E"/>
    <w:rsid w:val="003744FC"/>
    <w:rsid w:val="003750EB"/>
    <w:rsid w:val="0037514B"/>
    <w:rsid w:val="00376157"/>
    <w:rsid w:val="0037753E"/>
    <w:rsid w:val="0037776B"/>
    <w:rsid w:val="00377848"/>
    <w:rsid w:val="003807B6"/>
    <w:rsid w:val="00381877"/>
    <w:rsid w:val="003827CA"/>
    <w:rsid w:val="0038607C"/>
    <w:rsid w:val="00391FDC"/>
    <w:rsid w:val="00392F95"/>
    <w:rsid w:val="003930AF"/>
    <w:rsid w:val="00393365"/>
    <w:rsid w:val="003944E5"/>
    <w:rsid w:val="00395503"/>
    <w:rsid w:val="00396170"/>
    <w:rsid w:val="00397F5D"/>
    <w:rsid w:val="003A080A"/>
    <w:rsid w:val="003A08FF"/>
    <w:rsid w:val="003A1F99"/>
    <w:rsid w:val="003A320F"/>
    <w:rsid w:val="003A3A0F"/>
    <w:rsid w:val="003A4CED"/>
    <w:rsid w:val="003A4EE0"/>
    <w:rsid w:val="003B05BC"/>
    <w:rsid w:val="003B1F71"/>
    <w:rsid w:val="003B29C9"/>
    <w:rsid w:val="003B473B"/>
    <w:rsid w:val="003C0779"/>
    <w:rsid w:val="003C33F4"/>
    <w:rsid w:val="003C35F0"/>
    <w:rsid w:val="003C3937"/>
    <w:rsid w:val="003C3CA6"/>
    <w:rsid w:val="003C4AF8"/>
    <w:rsid w:val="003C4C82"/>
    <w:rsid w:val="003C546D"/>
    <w:rsid w:val="003C68C9"/>
    <w:rsid w:val="003D56B6"/>
    <w:rsid w:val="003D6116"/>
    <w:rsid w:val="003D6CB2"/>
    <w:rsid w:val="003D6FAC"/>
    <w:rsid w:val="003E11E7"/>
    <w:rsid w:val="003E1CF7"/>
    <w:rsid w:val="003E39F0"/>
    <w:rsid w:val="003E531D"/>
    <w:rsid w:val="003E7F55"/>
    <w:rsid w:val="003F43C0"/>
    <w:rsid w:val="003F45B7"/>
    <w:rsid w:val="003F4FFF"/>
    <w:rsid w:val="003F54FC"/>
    <w:rsid w:val="003F5740"/>
    <w:rsid w:val="003F690D"/>
    <w:rsid w:val="00401696"/>
    <w:rsid w:val="00403C32"/>
    <w:rsid w:val="00403F78"/>
    <w:rsid w:val="00415916"/>
    <w:rsid w:val="00420316"/>
    <w:rsid w:val="004203BF"/>
    <w:rsid w:val="0042061B"/>
    <w:rsid w:val="00420B43"/>
    <w:rsid w:val="00422136"/>
    <w:rsid w:val="00424D12"/>
    <w:rsid w:val="00424E19"/>
    <w:rsid w:val="00425BC8"/>
    <w:rsid w:val="00430E0B"/>
    <w:rsid w:val="00436F70"/>
    <w:rsid w:val="00436FD4"/>
    <w:rsid w:val="004401D8"/>
    <w:rsid w:val="00440FFF"/>
    <w:rsid w:val="00442071"/>
    <w:rsid w:val="00443D95"/>
    <w:rsid w:val="00447FD6"/>
    <w:rsid w:val="00450BB6"/>
    <w:rsid w:val="00451374"/>
    <w:rsid w:val="004523A8"/>
    <w:rsid w:val="00452D31"/>
    <w:rsid w:val="00455A98"/>
    <w:rsid w:val="00456329"/>
    <w:rsid w:val="00457363"/>
    <w:rsid w:val="00462C7C"/>
    <w:rsid w:val="00463DCA"/>
    <w:rsid w:val="0046459A"/>
    <w:rsid w:val="0046537E"/>
    <w:rsid w:val="0046695F"/>
    <w:rsid w:val="0046718F"/>
    <w:rsid w:val="00467233"/>
    <w:rsid w:val="00467CAB"/>
    <w:rsid w:val="004704F4"/>
    <w:rsid w:val="00470B8C"/>
    <w:rsid w:val="00472DD4"/>
    <w:rsid w:val="00474116"/>
    <w:rsid w:val="00475C17"/>
    <w:rsid w:val="00476943"/>
    <w:rsid w:val="00476EF2"/>
    <w:rsid w:val="0048005E"/>
    <w:rsid w:val="00482A8E"/>
    <w:rsid w:val="00485296"/>
    <w:rsid w:val="00487DBF"/>
    <w:rsid w:val="00492055"/>
    <w:rsid w:val="004920EE"/>
    <w:rsid w:val="004936F0"/>
    <w:rsid w:val="004942E5"/>
    <w:rsid w:val="00495998"/>
    <w:rsid w:val="00497C84"/>
    <w:rsid w:val="004A1D8D"/>
    <w:rsid w:val="004A43C5"/>
    <w:rsid w:val="004A69C3"/>
    <w:rsid w:val="004B375C"/>
    <w:rsid w:val="004B483F"/>
    <w:rsid w:val="004B502D"/>
    <w:rsid w:val="004C0E8D"/>
    <w:rsid w:val="004C26B5"/>
    <w:rsid w:val="004C2BD1"/>
    <w:rsid w:val="004C59E3"/>
    <w:rsid w:val="004C6A46"/>
    <w:rsid w:val="004C7A4E"/>
    <w:rsid w:val="004D24A1"/>
    <w:rsid w:val="004D26F5"/>
    <w:rsid w:val="004D2BF2"/>
    <w:rsid w:val="004D2D40"/>
    <w:rsid w:val="004D3CE3"/>
    <w:rsid w:val="004D74BD"/>
    <w:rsid w:val="004E2626"/>
    <w:rsid w:val="004E294B"/>
    <w:rsid w:val="004E2C1D"/>
    <w:rsid w:val="004E5742"/>
    <w:rsid w:val="004E66CB"/>
    <w:rsid w:val="004E724B"/>
    <w:rsid w:val="004E7FF6"/>
    <w:rsid w:val="004F08AD"/>
    <w:rsid w:val="004F371F"/>
    <w:rsid w:val="004F3B49"/>
    <w:rsid w:val="004F67D8"/>
    <w:rsid w:val="004F700A"/>
    <w:rsid w:val="004F720C"/>
    <w:rsid w:val="004F7D1C"/>
    <w:rsid w:val="0050060C"/>
    <w:rsid w:val="00500A28"/>
    <w:rsid w:val="0050102F"/>
    <w:rsid w:val="00501E2A"/>
    <w:rsid w:val="0050689D"/>
    <w:rsid w:val="00506D36"/>
    <w:rsid w:val="00507C9E"/>
    <w:rsid w:val="0051088E"/>
    <w:rsid w:val="00511545"/>
    <w:rsid w:val="00512392"/>
    <w:rsid w:val="00512A95"/>
    <w:rsid w:val="005144A9"/>
    <w:rsid w:val="0051467C"/>
    <w:rsid w:val="0051569A"/>
    <w:rsid w:val="005156D8"/>
    <w:rsid w:val="00522196"/>
    <w:rsid w:val="00522B8F"/>
    <w:rsid w:val="00523133"/>
    <w:rsid w:val="00523F9F"/>
    <w:rsid w:val="0052444F"/>
    <w:rsid w:val="00524A94"/>
    <w:rsid w:val="005251CD"/>
    <w:rsid w:val="00525FDB"/>
    <w:rsid w:val="005267F3"/>
    <w:rsid w:val="00526AC3"/>
    <w:rsid w:val="0052781A"/>
    <w:rsid w:val="00534132"/>
    <w:rsid w:val="00534DAE"/>
    <w:rsid w:val="00535D00"/>
    <w:rsid w:val="00536B8F"/>
    <w:rsid w:val="0054360B"/>
    <w:rsid w:val="00543D63"/>
    <w:rsid w:val="00543ECF"/>
    <w:rsid w:val="00550D73"/>
    <w:rsid w:val="005525EC"/>
    <w:rsid w:val="005535B3"/>
    <w:rsid w:val="00554403"/>
    <w:rsid w:val="00560398"/>
    <w:rsid w:val="00563362"/>
    <w:rsid w:val="00563E2D"/>
    <w:rsid w:val="00565ACA"/>
    <w:rsid w:val="00566EA7"/>
    <w:rsid w:val="005725A4"/>
    <w:rsid w:val="0057260A"/>
    <w:rsid w:val="00572C45"/>
    <w:rsid w:val="005748CE"/>
    <w:rsid w:val="0057749C"/>
    <w:rsid w:val="00577B9F"/>
    <w:rsid w:val="00581E9E"/>
    <w:rsid w:val="00582FE5"/>
    <w:rsid w:val="0058338A"/>
    <w:rsid w:val="00585737"/>
    <w:rsid w:val="005906AA"/>
    <w:rsid w:val="00590DDB"/>
    <w:rsid w:val="00591C52"/>
    <w:rsid w:val="0059416A"/>
    <w:rsid w:val="0059578D"/>
    <w:rsid w:val="00596AD9"/>
    <w:rsid w:val="00596DD8"/>
    <w:rsid w:val="005A2633"/>
    <w:rsid w:val="005A3499"/>
    <w:rsid w:val="005A4393"/>
    <w:rsid w:val="005A4C8D"/>
    <w:rsid w:val="005B38A2"/>
    <w:rsid w:val="005B4540"/>
    <w:rsid w:val="005B54BF"/>
    <w:rsid w:val="005B669D"/>
    <w:rsid w:val="005B6E7A"/>
    <w:rsid w:val="005C1321"/>
    <w:rsid w:val="005C20CE"/>
    <w:rsid w:val="005C4C73"/>
    <w:rsid w:val="005C5FC6"/>
    <w:rsid w:val="005C62B7"/>
    <w:rsid w:val="005C69DC"/>
    <w:rsid w:val="005C6A32"/>
    <w:rsid w:val="005D07F1"/>
    <w:rsid w:val="005D296C"/>
    <w:rsid w:val="005D2C31"/>
    <w:rsid w:val="005D2D3B"/>
    <w:rsid w:val="005D59D9"/>
    <w:rsid w:val="005D5EC9"/>
    <w:rsid w:val="005D6604"/>
    <w:rsid w:val="005D6C97"/>
    <w:rsid w:val="005D7ACB"/>
    <w:rsid w:val="005D7F9F"/>
    <w:rsid w:val="005E09CE"/>
    <w:rsid w:val="005E1FC0"/>
    <w:rsid w:val="005E2BB4"/>
    <w:rsid w:val="005E5058"/>
    <w:rsid w:val="005E5D40"/>
    <w:rsid w:val="005F0E26"/>
    <w:rsid w:val="005F23B3"/>
    <w:rsid w:val="005F2E2B"/>
    <w:rsid w:val="005F5F33"/>
    <w:rsid w:val="006026AD"/>
    <w:rsid w:val="00603A48"/>
    <w:rsid w:val="006044AB"/>
    <w:rsid w:val="006044C6"/>
    <w:rsid w:val="006045AB"/>
    <w:rsid w:val="0060474C"/>
    <w:rsid w:val="0060775B"/>
    <w:rsid w:val="006078C7"/>
    <w:rsid w:val="006106E3"/>
    <w:rsid w:val="006119E4"/>
    <w:rsid w:val="006140CE"/>
    <w:rsid w:val="0061466C"/>
    <w:rsid w:val="00614D78"/>
    <w:rsid w:val="006204EC"/>
    <w:rsid w:val="00623084"/>
    <w:rsid w:val="00623D84"/>
    <w:rsid w:val="006309ED"/>
    <w:rsid w:val="00633C5B"/>
    <w:rsid w:val="00634676"/>
    <w:rsid w:val="00634BD1"/>
    <w:rsid w:val="006417C6"/>
    <w:rsid w:val="0064291B"/>
    <w:rsid w:val="006467D9"/>
    <w:rsid w:val="00646C0D"/>
    <w:rsid w:val="00647CDF"/>
    <w:rsid w:val="00650CB6"/>
    <w:rsid w:val="006513B0"/>
    <w:rsid w:val="00653776"/>
    <w:rsid w:val="00653846"/>
    <w:rsid w:val="00655E88"/>
    <w:rsid w:val="00656763"/>
    <w:rsid w:val="00664198"/>
    <w:rsid w:val="00665EEA"/>
    <w:rsid w:val="00665F37"/>
    <w:rsid w:val="00666333"/>
    <w:rsid w:val="00666375"/>
    <w:rsid w:val="0066647D"/>
    <w:rsid w:val="00666B3A"/>
    <w:rsid w:val="00666F1A"/>
    <w:rsid w:val="00675915"/>
    <w:rsid w:val="00675F77"/>
    <w:rsid w:val="0067732E"/>
    <w:rsid w:val="0067777F"/>
    <w:rsid w:val="00681CDD"/>
    <w:rsid w:val="006836E7"/>
    <w:rsid w:val="0068575E"/>
    <w:rsid w:val="00685A42"/>
    <w:rsid w:val="00687229"/>
    <w:rsid w:val="00687E91"/>
    <w:rsid w:val="00690448"/>
    <w:rsid w:val="0069236D"/>
    <w:rsid w:val="00693321"/>
    <w:rsid w:val="006947A0"/>
    <w:rsid w:val="006951BE"/>
    <w:rsid w:val="00695B97"/>
    <w:rsid w:val="006A1511"/>
    <w:rsid w:val="006A1C50"/>
    <w:rsid w:val="006A39AD"/>
    <w:rsid w:val="006A4B79"/>
    <w:rsid w:val="006A6F81"/>
    <w:rsid w:val="006A7B09"/>
    <w:rsid w:val="006B0455"/>
    <w:rsid w:val="006B1226"/>
    <w:rsid w:val="006B773A"/>
    <w:rsid w:val="006B7D0B"/>
    <w:rsid w:val="006C29AB"/>
    <w:rsid w:val="006C4164"/>
    <w:rsid w:val="006C65BD"/>
    <w:rsid w:val="006D3424"/>
    <w:rsid w:val="006D3EBA"/>
    <w:rsid w:val="006D5193"/>
    <w:rsid w:val="006D725F"/>
    <w:rsid w:val="006D74B4"/>
    <w:rsid w:val="006E0AB1"/>
    <w:rsid w:val="006E2373"/>
    <w:rsid w:val="006E473E"/>
    <w:rsid w:val="006E54F7"/>
    <w:rsid w:val="006E5CEB"/>
    <w:rsid w:val="006E6540"/>
    <w:rsid w:val="006E729C"/>
    <w:rsid w:val="006E7F1E"/>
    <w:rsid w:val="006F0CC6"/>
    <w:rsid w:val="006F0E84"/>
    <w:rsid w:val="006F13EB"/>
    <w:rsid w:val="006F490D"/>
    <w:rsid w:val="006F5AEB"/>
    <w:rsid w:val="00700E63"/>
    <w:rsid w:val="00701493"/>
    <w:rsid w:val="007028CF"/>
    <w:rsid w:val="00703A8A"/>
    <w:rsid w:val="0071381E"/>
    <w:rsid w:val="00716B46"/>
    <w:rsid w:val="007173A0"/>
    <w:rsid w:val="00717BB7"/>
    <w:rsid w:val="007205AE"/>
    <w:rsid w:val="00720619"/>
    <w:rsid w:val="00721EAD"/>
    <w:rsid w:val="00724118"/>
    <w:rsid w:val="00724228"/>
    <w:rsid w:val="00733971"/>
    <w:rsid w:val="00733C1A"/>
    <w:rsid w:val="00734432"/>
    <w:rsid w:val="007351E6"/>
    <w:rsid w:val="00735BEE"/>
    <w:rsid w:val="007374B2"/>
    <w:rsid w:val="00741475"/>
    <w:rsid w:val="00741555"/>
    <w:rsid w:val="007431C9"/>
    <w:rsid w:val="007471BE"/>
    <w:rsid w:val="007505B7"/>
    <w:rsid w:val="00752745"/>
    <w:rsid w:val="0075406F"/>
    <w:rsid w:val="00754EAE"/>
    <w:rsid w:val="00755078"/>
    <w:rsid w:val="0076031D"/>
    <w:rsid w:val="00762744"/>
    <w:rsid w:val="00762777"/>
    <w:rsid w:val="00765CA7"/>
    <w:rsid w:val="00771D25"/>
    <w:rsid w:val="0077305C"/>
    <w:rsid w:val="0077342C"/>
    <w:rsid w:val="00773A4A"/>
    <w:rsid w:val="00773B89"/>
    <w:rsid w:val="0077628D"/>
    <w:rsid w:val="00776B01"/>
    <w:rsid w:val="0078053F"/>
    <w:rsid w:val="007816B5"/>
    <w:rsid w:val="00782548"/>
    <w:rsid w:val="00784E7C"/>
    <w:rsid w:val="007922C2"/>
    <w:rsid w:val="007958F7"/>
    <w:rsid w:val="00795DA0"/>
    <w:rsid w:val="007A011A"/>
    <w:rsid w:val="007A1A60"/>
    <w:rsid w:val="007A598D"/>
    <w:rsid w:val="007A5E1E"/>
    <w:rsid w:val="007A79E1"/>
    <w:rsid w:val="007B2049"/>
    <w:rsid w:val="007B468A"/>
    <w:rsid w:val="007B4A4D"/>
    <w:rsid w:val="007B6246"/>
    <w:rsid w:val="007B7583"/>
    <w:rsid w:val="007B7788"/>
    <w:rsid w:val="007C45E7"/>
    <w:rsid w:val="007C55AA"/>
    <w:rsid w:val="007C57C7"/>
    <w:rsid w:val="007C6291"/>
    <w:rsid w:val="007D28B3"/>
    <w:rsid w:val="007D4321"/>
    <w:rsid w:val="007D5F40"/>
    <w:rsid w:val="007D62E9"/>
    <w:rsid w:val="007E165D"/>
    <w:rsid w:val="007E29A4"/>
    <w:rsid w:val="007E3987"/>
    <w:rsid w:val="007E452C"/>
    <w:rsid w:val="007E5190"/>
    <w:rsid w:val="007E55AB"/>
    <w:rsid w:val="007F0CDD"/>
    <w:rsid w:val="007F239B"/>
    <w:rsid w:val="007F593A"/>
    <w:rsid w:val="00801890"/>
    <w:rsid w:val="0080774E"/>
    <w:rsid w:val="00807AA7"/>
    <w:rsid w:val="00810832"/>
    <w:rsid w:val="008118CF"/>
    <w:rsid w:val="0081234A"/>
    <w:rsid w:val="00812A83"/>
    <w:rsid w:val="008148BE"/>
    <w:rsid w:val="00815832"/>
    <w:rsid w:val="00816FA2"/>
    <w:rsid w:val="0082218B"/>
    <w:rsid w:val="00822425"/>
    <w:rsid w:val="00822BEC"/>
    <w:rsid w:val="00824F73"/>
    <w:rsid w:val="008253D1"/>
    <w:rsid w:val="00835502"/>
    <w:rsid w:val="008357D6"/>
    <w:rsid w:val="0083771F"/>
    <w:rsid w:val="00841F05"/>
    <w:rsid w:val="008446C0"/>
    <w:rsid w:val="00845278"/>
    <w:rsid w:val="0084602A"/>
    <w:rsid w:val="008523F8"/>
    <w:rsid w:val="00855B56"/>
    <w:rsid w:val="008578D9"/>
    <w:rsid w:val="00860235"/>
    <w:rsid w:val="00863BF9"/>
    <w:rsid w:val="00867D06"/>
    <w:rsid w:val="00874000"/>
    <w:rsid w:val="00875769"/>
    <w:rsid w:val="00875A18"/>
    <w:rsid w:val="0087674A"/>
    <w:rsid w:val="00880555"/>
    <w:rsid w:val="00881317"/>
    <w:rsid w:val="008814F2"/>
    <w:rsid w:val="00881DB2"/>
    <w:rsid w:val="00883FFA"/>
    <w:rsid w:val="00884151"/>
    <w:rsid w:val="0088489E"/>
    <w:rsid w:val="00885533"/>
    <w:rsid w:val="00885660"/>
    <w:rsid w:val="008862A7"/>
    <w:rsid w:val="00890A96"/>
    <w:rsid w:val="0089572F"/>
    <w:rsid w:val="008975B0"/>
    <w:rsid w:val="008A61C6"/>
    <w:rsid w:val="008B0395"/>
    <w:rsid w:val="008B245F"/>
    <w:rsid w:val="008B5035"/>
    <w:rsid w:val="008B5CF9"/>
    <w:rsid w:val="008C1D80"/>
    <w:rsid w:val="008C25D1"/>
    <w:rsid w:val="008C39CB"/>
    <w:rsid w:val="008C49F6"/>
    <w:rsid w:val="008C55C1"/>
    <w:rsid w:val="008C7143"/>
    <w:rsid w:val="008C756A"/>
    <w:rsid w:val="008D1A5F"/>
    <w:rsid w:val="008D3BDB"/>
    <w:rsid w:val="008D6A4D"/>
    <w:rsid w:val="008D6B91"/>
    <w:rsid w:val="008D751E"/>
    <w:rsid w:val="008E0362"/>
    <w:rsid w:val="008E3C4A"/>
    <w:rsid w:val="008E3CC0"/>
    <w:rsid w:val="008E77BA"/>
    <w:rsid w:val="008F31BD"/>
    <w:rsid w:val="008F351C"/>
    <w:rsid w:val="008F44A0"/>
    <w:rsid w:val="008F57F6"/>
    <w:rsid w:val="008F6063"/>
    <w:rsid w:val="008F6826"/>
    <w:rsid w:val="008F7896"/>
    <w:rsid w:val="00900AD9"/>
    <w:rsid w:val="009011C7"/>
    <w:rsid w:val="00901CCD"/>
    <w:rsid w:val="00905CE0"/>
    <w:rsid w:val="00910F59"/>
    <w:rsid w:val="0091159A"/>
    <w:rsid w:val="0091198E"/>
    <w:rsid w:val="00911FE8"/>
    <w:rsid w:val="009133E5"/>
    <w:rsid w:val="0091531D"/>
    <w:rsid w:val="00915598"/>
    <w:rsid w:val="00916D22"/>
    <w:rsid w:val="00920117"/>
    <w:rsid w:val="00921D7A"/>
    <w:rsid w:val="009231B0"/>
    <w:rsid w:val="00923298"/>
    <w:rsid w:val="00923D2B"/>
    <w:rsid w:val="0092445A"/>
    <w:rsid w:val="009263EA"/>
    <w:rsid w:val="009266DB"/>
    <w:rsid w:val="00926BB9"/>
    <w:rsid w:val="00932E3D"/>
    <w:rsid w:val="00934BD3"/>
    <w:rsid w:val="0094216A"/>
    <w:rsid w:val="0095097E"/>
    <w:rsid w:val="00956226"/>
    <w:rsid w:val="009568DA"/>
    <w:rsid w:val="009601FB"/>
    <w:rsid w:val="00961B66"/>
    <w:rsid w:val="009622C2"/>
    <w:rsid w:val="00964C3B"/>
    <w:rsid w:val="009656FC"/>
    <w:rsid w:val="009700CE"/>
    <w:rsid w:val="00970CEA"/>
    <w:rsid w:val="00973A4C"/>
    <w:rsid w:val="00974C18"/>
    <w:rsid w:val="009752C0"/>
    <w:rsid w:val="00976578"/>
    <w:rsid w:val="009779E9"/>
    <w:rsid w:val="009824A4"/>
    <w:rsid w:val="0098417C"/>
    <w:rsid w:val="00985D9E"/>
    <w:rsid w:val="00986F11"/>
    <w:rsid w:val="009912CE"/>
    <w:rsid w:val="009926AF"/>
    <w:rsid w:val="009937FE"/>
    <w:rsid w:val="0099441B"/>
    <w:rsid w:val="00994CE8"/>
    <w:rsid w:val="00995199"/>
    <w:rsid w:val="009962AF"/>
    <w:rsid w:val="009A5443"/>
    <w:rsid w:val="009A73BA"/>
    <w:rsid w:val="009B1743"/>
    <w:rsid w:val="009B3D83"/>
    <w:rsid w:val="009B4773"/>
    <w:rsid w:val="009B4FAB"/>
    <w:rsid w:val="009B7743"/>
    <w:rsid w:val="009B7CF8"/>
    <w:rsid w:val="009C0BE7"/>
    <w:rsid w:val="009C3CC7"/>
    <w:rsid w:val="009C45A1"/>
    <w:rsid w:val="009C45B9"/>
    <w:rsid w:val="009C53AD"/>
    <w:rsid w:val="009C7E83"/>
    <w:rsid w:val="009D0002"/>
    <w:rsid w:val="009D0442"/>
    <w:rsid w:val="009D1EB5"/>
    <w:rsid w:val="009D1F81"/>
    <w:rsid w:val="009D374D"/>
    <w:rsid w:val="009D3E23"/>
    <w:rsid w:val="009D44FE"/>
    <w:rsid w:val="009D537A"/>
    <w:rsid w:val="009E0614"/>
    <w:rsid w:val="009E0B01"/>
    <w:rsid w:val="009E1C35"/>
    <w:rsid w:val="009E7AC3"/>
    <w:rsid w:val="009F173C"/>
    <w:rsid w:val="009F1C9F"/>
    <w:rsid w:val="009F258A"/>
    <w:rsid w:val="009F5F02"/>
    <w:rsid w:val="009F78E0"/>
    <w:rsid w:val="00A00715"/>
    <w:rsid w:val="00A03EE8"/>
    <w:rsid w:val="00A04423"/>
    <w:rsid w:val="00A054D3"/>
    <w:rsid w:val="00A110A6"/>
    <w:rsid w:val="00A1197B"/>
    <w:rsid w:val="00A13EA3"/>
    <w:rsid w:val="00A146A4"/>
    <w:rsid w:val="00A149C8"/>
    <w:rsid w:val="00A16237"/>
    <w:rsid w:val="00A166F4"/>
    <w:rsid w:val="00A20E6E"/>
    <w:rsid w:val="00A243BE"/>
    <w:rsid w:val="00A24FCF"/>
    <w:rsid w:val="00A252F1"/>
    <w:rsid w:val="00A25580"/>
    <w:rsid w:val="00A279A8"/>
    <w:rsid w:val="00A30616"/>
    <w:rsid w:val="00A37DA4"/>
    <w:rsid w:val="00A42DFF"/>
    <w:rsid w:val="00A46799"/>
    <w:rsid w:val="00A50C7B"/>
    <w:rsid w:val="00A5228C"/>
    <w:rsid w:val="00A52BA4"/>
    <w:rsid w:val="00A54E3E"/>
    <w:rsid w:val="00A56080"/>
    <w:rsid w:val="00A60601"/>
    <w:rsid w:val="00A63F24"/>
    <w:rsid w:val="00A64174"/>
    <w:rsid w:val="00A70AE9"/>
    <w:rsid w:val="00A72280"/>
    <w:rsid w:val="00A73DA7"/>
    <w:rsid w:val="00A75020"/>
    <w:rsid w:val="00A75036"/>
    <w:rsid w:val="00A7695D"/>
    <w:rsid w:val="00A77531"/>
    <w:rsid w:val="00A80E80"/>
    <w:rsid w:val="00A82568"/>
    <w:rsid w:val="00A8295F"/>
    <w:rsid w:val="00A82CC9"/>
    <w:rsid w:val="00A83BD4"/>
    <w:rsid w:val="00A90507"/>
    <w:rsid w:val="00A90F06"/>
    <w:rsid w:val="00A9442B"/>
    <w:rsid w:val="00A945D0"/>
    <w:rsid w:val="00AA264B"/>
    <w:rsid w:val="00AA3003"/>
    <w:rsid w:val="00AA32BB"/>
    <w:rsid w:val="00AA42D4"/>
    <w:rsid w:val="00AB2602"/>
    <w:rsid w:val="00AB5FC8"/>
    <w:rsid w:val="00AB7550"/>
    <w:rsid w:val="00AC0E4A"/>
    <w:rsid w:val="00AC1F07"/>
    <w:rsid w:val="00AC24BB"/>
    <w:rsid w:val="00AC40F5"/>
    <w:rsid w:val="00AC4BD5"/>
    <w:rsid w:val="00AC5BF9"/>
    <w:rsid w:val="00AC7463"/>
    <w:rsid w:val="00AD483A"/>
    <w:rsid w:val="00AD5345"/>
    <w:rsid w:val="00AD58CC"/>
    <w:rsid w:val="00AE0037"/>
    <w:rsid w:val="00AE180B"/>
    <w:rsid w:val="00AE377D"/>
    <w:rsid w:val="00AE3AFD"/>
    <w:rsid w:val="00AE4103"/>
    <w:rsid w:val="00AE42F0"/>
    <w:rsid w:val="00AE617C"/>
    <w:rsid w:val="00AF03A0"/>
    <w:rsid w:val="00AF0515"/>
    <w:rsid w:val="00AF0D8C"/>
    <w:rsid w:val="00AF10A5"/>
    <w:rsid w:val="00AF17AB"/>
    <w:rsid w:val="00AF19E0"/>
    <w:rsid w:val="00AF66AB"/>
    <w:rsid w:val="00AF7228"/>
    <w:rsid w:val="00AF7D9C"/>
    <w:rsid w:val="00B00E3B"/>
    <w:rsid w:val="00B04619"/>
    <w:rsid w:val="00B05D98"/>
    <w:rsid w:val="00B06603"/>
    <w:rsid w:val="00B1154A"/>
    <w:rsid w:val="00B127BC"/>
    <w:rsid w:val="00B142A5"/>
    <w:rsid w:val="00B17E69"/>
    <w:rsid w:val="00B21C7B"/>
    <w:rsid w:val="00B24968"/>
    <w:rsid w:val="00B254D5"/>
    <w:rsid w:val="00B270BF"/>
    <w:rsid w:val="00B27ED8"/>
    <w:rsid w:val="00B3031F"/>
    <w:rsid w:val="00B303A0"/>
    <w:rsid w:val="00B329A0"/>
    <w:rsid w:val="00B366C8"/>
    <w:rsid w:val="00B36913"/>
    <w:rsid w:val="00B403BF"/>
    <w:rsid w:val="00B41BF6"/>
    <w:rsid w:val="00B41F7E"/>
    <w:rsid w:val="00B42D73"/>
    <w:rsid w:val="00B4378E"/>
    <w:rsid w:val="00B4394E"/>
    <w:rsid w:val="00B51CDF"/>
    <w:rsid w:val="00B520FF"/>
    <w:rsid w:val="00B522C5"/>
    <w:rsid w:val="00B53465"/>
    <w:rsid w:val="00B541A6"/>
    <w:rsid w:val="00B546CF"/>
    <w:rsid w:val="00B55115"/>
    <w:rsid w:val="00B574C0"/>
    <w:rsid w:val="00B579F9"/>
    <w:rsid w:val="00B6044E"/>
    <w:rsid w:val="00B61A57"/>
    <w:rsid w:val="00B7026F"/>
    <w:rsid w:val="00B726E4"/>
    <w:rsid w:val="00B75E95"/>
    <w:rsid w:val="00B769EC"/>
    <w:rsid w:val="00B81FC1"/>
    <w:rsid w:val="00B82063"/>
    <w:rsid w:val="00B83ACA"/>
    <w:rsid w:val="00B846E4"/>
    <w:rsid w:val="00B8531A"/>
    <w:rsid w:val="00B85D1F"/>
    <w:rsid w:val="00B86047"/>
    <w:rsid w:val="00B879FE"/>
    <w:rsid w:val="00B92A2B"/>
    <w:rsid w:val="00B93EA9"/>
    <w:rsid w:val="00B93F3C"/>
    <w:rsid w:val="00B95770"/>
    <w:rsid w:val="00B96278"/>
    <w:rsid w:val="00B963EB"/>
    <w:rsid w:val="00B97B59"/>
    <w:rsid w:val="00BA0485"/>
    <w:rsid w:val="00BA0BB9"/>
    <w:rsid w:val="00BA2839"/>
    <w:rsid w:val="00BA30AB"/>
    <w:rsid w:val="00BA49AA"/>
    <w:rsid w:val="00BB0E06"/>
    <w:rsid w:val="00BB0F0F"/>
    <w:rsid w:val="00BB1E78"/>
    <w:rsid w:val="00BB4826"/>
    <w:rsid w:val="00BC0F8D"/>
    <w:rsid w:val="00BC1752"/>
    <w:rsid w:val="00BC2A88"/>
    <w:rsid w:val="00BC4217"/>
    <w:rsid w:val="00BC4881"/>
    <w:rsid w:val="00BC4DDB"/>
    <w:rsid w:val="00BC7431"/>
    <w:rsid w:val="00BD2149"/>
    <w:rsid w:val="00BD2201"/>
    <w:rsid w:val="00BD4092"/>
    <w:rsid w:val="00BD4F9F"/>
    <w:rsid w:val="00BD658A"/>
    <w:rsid w:val="00BE0440"/>
    <w:rsid w:val="00BE1CD5"/>
    <w:rsid w:val="00BE2AE6"/>
    <w:rsid w:val="00BE460F"/>
    <w:rsid w:val="00BE50D3"/>
    <w:rsid w:val="00BE533A"/>
    <w:rsid w:val="00BE5540"/>
    <w:rsid w:val="00BE56A2"/>
    <w:rsid w:val="00BF2404"/>
    <w:rsid w:val="00BF433D"/>
    <w:rsid w:val="00BF4CA5"/>
    <w:rsid w:val="00BF51A5"/>
    <w:rsid w:val="00BF6676"/>
    <w:rsid w:val="00BF7628"/>
    <w:rsid w:val="00C00455"/>
    <w:rsid w:val="00C03D17"/>
    <w:rsid w:val="00C04A71"/>
    <w:rsid w:val="00C059E3"/>
    <w:rsid w:val="00C10686"/>
    <w:rsid w:val="00C12064"/>
    <w:rsid w:val="00C1280B"/>
    <w:rsid w:val="00C243F1"/>
    <w:rsid w:val="00C25B52"/>
    <w:rsid w:val="00C25B85"/>
    <w:rsid w:val="00C307B3"/>
    <w:rsid w:val="00C328E3"/>
    <w:rsid w:val="00C367B8"/>
    <w:rsid w:val="00C375E6"/>
    <w:rsid w:val="00C379E8"/>
    <w:rsid w:val="00C42AA3"/>
    <w:rsid w:val="00C431D7"/>
    <w:rsid w:val="00C45010"/>
    <w:rsid w:val="00C4676E"/>
    <w:rsid w:val="00C46BA3"/>
    <w:rsid w:val="00C473C9"/>
    <w:rsid w:val="00C5214B"/>
    <w:rsid w:val="00C522F7"/>
    <w:rsid w:val="00C528E4"/>
    <w:rsid w:val="00C52E3F"/>
    <w:rsid w:val="00C55456"/>
    <w:rsid w:val="00C57A00"/>
    <w:rsid w:val="00C57FED"/>
    <w:rsid w:val="00C60CCB"/>
    <w:rsid w:val="00C62AF1"/>
    <w:rsid w:val="00C62FF2"/>
    <w:rsid w:val="00C65E5A"/>
    <w:rsid w:val="00C661E6"/>
    <w:rsid w:val="00C66FAE"/>
    <w:rsid w:val="00C73A92"/>
    <w:rsid w:val="00C76B0C"/>
    <w:rsid w:val="00C81DEF"/>
    <w:rsid w:val="00C81F50"/>
    <w:rsid w:val="00C82749"/>
    <w:rsid w:val="00C83792"/>
    <w:rsid w:val="00C8583E"/>
    <w:rsid w:val="00C86521"/>
    <w:rsid w:val="00C9548D"/>
    <w:rsid w:val="00C96D3D"/>
    <w:rsid w:val="00CA35BC"/>
    <w:rsid w:val="00CA4F99"/>
    <w:rsid w:val="00CA585A"/>
    <w:rsid w:val="00CB31C0"/>
    <w:rsid w:val="00CB3FDC"/>
    <w:rsid w:val="00CC1463"/>
    <w:rsid w:val="00CC40C6"/>
    <w:rsid w:val="00CC41DB"/>
    <w:rsid w:val="00CC531B"/>
    <w:rsid w:val="00CC591B"/>
    <w:rsid w:val="00CD0A42"/>
    <w:rsid w:val="00CD0EAD"/>
    <w:rsid w:val="00CD760D"/>
    <w:rsid w:val="00CD7DD5"/>
    <w:rsid w:val="00CE02C3"/>
    <w:rsid w:val="00CE2407"/>
    <w:rsid w:val="00CE4F69"/>
    <w:rsid w:val="00CE7532"/>
    <w:rsid w:val="00CF078F"/>
    <w:rsid w:val="00CF0FB2"/>
    <w:rsid w:val="00CF34F0"/>
    <w:rsid w:val="00CF35EE"/>
    <w:rsid w:val="00CF46D7"/>
    <w:rsid w:val="00CF6065"/>
    <w:rsid w:val="00CF7D2E"/>
    <w:rsid w:val="00D02AF8"/>
    <w:rsid w:val="00D02DF9"/>
    <w:rsid w:val="00D047B9"/>
    <w:rsid w:val="00D0503D"/>
    <w:rsid w:val="00D05D9A"/>
    <w:rsid w:val="00D06E9D"/>
    <w:rsid w:val="00D077CC"/>
    <w:rsid w:val="00D148B0"/>
    <w:rsid w:val="00D206EE"/>
    <w:rsid w:val="00D20A17"/>
    <w:rsid w:val="00D21389"/>
    <w:rsid w:val="00D2211E"/>
    <w:rsid w:val="00D22BE6"/>
    <w:rsid w:val="00D23418"/>
    <w:rsid w:val="00D235B0"/>
    <w:rsid w:val="00D23889"/>
    <w:rsid w:val="00D247A8"/>
    <w:rsid w:val="00D26CFB"/>
    <w:rsid w:val="00D322FE"/>
    <w:rsid w:val="00D3288A"/>
    <w:rsid w:val="00D33855"/>
    <w:rsid w:val="00D359B5"/>
    <w:rsid w:val="00D35DE3"/>
    <w:rsid w:val="00D369C5"/>
    <w:rsid w:val="00D40E41"/>
    <w:rsid w:val="00D41C90"/>
    <w:rsid w:val="00D456EB"/>
    <w:rsid w:val="00D457A1"/>
    <w:rsid w:val="00D50378"/>
    <w:rsid w:val="00D5077F"/>
    <w:rsid w:val="00D5152B"/>
    <w:rsid w:val="00D521BD"/>
    <w:rsid w:val="00D541C3"/>
    <w:rsid w:val="00D551B0"/>
    <w:rsid w:val="00D60B8E"/>
    <w:rsid w:val="00D6271B"/>
    <w:rsid w:val="00D66817"/>
    <w:rsid w:val="00D66A18"/>
    <w:rsid w:val="00D67564"/>
    <w:rsid w:val="00D7067A"/>
    <w:rsid w:val="00D74429"/>
    <w:rsid w:val="00D76C87"/>
    <w:rsid w:val="00D80167"/>
    <w:rsid w:val="00D80D11"/>
    <w:rsid w:val="00D811F6"/>
    <w:rsid w:val="00D81271"/>
    <w:rsid w:val="00D85354"/>
    <w:rsid w:val="00D85372"/>
    <w:rsid w:val="00D859CA"/>
    <w:rsid w:val="00D872E7"/>
    <w:rsid w:val="00D92B09"/>
    <w:rsid w:val="00D94CD0"/>
    <w:rsid w:val="00D94CF9"/>
    <w:rsid w:val="00D958BD"/>
    <w:rsid w:val="00DA3B60"/>
    <w:rsid w:val="00DA57A0"/>
    <w:rsid w:val="00DA622F"/>
    <w:rsid w:val="00DA7B07"/>
    <w:rsid w:val="00DB1A60"/>
    <w:rsid w:val="00DB2A42"/>
    <w:rsid w:val="00DB386F"/>
    <w:rsid w:val="00DB3F38"/>
    <w:rsid w:val="00DB4941"/>
    <w:rsid w:val="00DB7286"/>
    <w:rsid w:val="00DB7E9A"/>
    <w:rsid w:val="00DC0586"/>
    <w:rsid w:val="00DC134E"/>
    <w:rsid w:val="00DC4CF2"/>
    <w:rsid w:val="00DC62DC"/>
    <w:rsid w:val="00DC63DE"/>
    <w:rsid w:val="00DC71D2"/>
    <w:rsid w:val="00DD04B1"/>
    <w:rsid w:val="00DD083A"/>
    <w:rsid w:val="00DD156E"/>
    <w:rsid w:val="00DD2717"/>
    <w:rsid w:val="00DD3A68"/>
    <w:rsid w:val="00DD6307"/>
    <w:rsid w:val="00DE05BD"/>
    <w:rsid w:val="00DE0F99"/>
    <w:rsid w:val="00DE22DD"/>
    <w:rsid w:val="00DE2FD3"/>
    <w:rsid w:val="00DE3B82"/>
    <w:rsid w:val="00DE726E"/>
    <w:rsid w:val="00DE78E6"/>
    <w:rsid w:val="00DF22D1"/>
    <w:rsid w:val="00DF2796"/>
    <w:rsid w:val="00DF51D5"/>
    <w:rsid w:val="00DF5B78"/>
    <w:rsid w:val="00E01A80"/>
    <w:rsid w:val="00E02D10"/>
    <w:rsid w:val="00E0744F"/>
    <w:rsid w:val="00E07D7A"/>
    <w:rsid w:val="00E10839"/>
    <w:rsid w:val="00E11171"/>
    <w:rsid w:val="00E14A0A"/>
    <w:rsid w:val="00E14EC5"/>
    <w:rsid w:val="00E1545D"/>
    <w:rsid w:val="00E20F76"/>
    <w:rsid w:val="00E24222"/>
    <w:rsid w:val="00E24872"/>
    <w:rsid w:val="00E25A57"/>
    <w:rsid w:val="00E2619D"/>
    <w:rsid w:val="00E263D2"/>
    <w:rsid w:val="00E269FA"/>
    <w:rsid w:val="00E26F95"/>
    <w:rsid w:val="00E30934"/>
    <w:rsid w:val="00E36676"/>
    <w:rsid w:val="00E4251A"/>
    <w:rsid w:val="00E4301A"/>
    <w:rsid w:val="00E434A5"/>
    <w:rsid w:val="00E443B0"/>
    <w:rsid w:val="00E45140"/>
    <w:rsid w:val="00E45976"/>
    <w:rsid w:val="00E53CCE"/>
    <w:rsid w:val="00E60846"/>
    <w:rsid w:val="00E62F9A"/>
    <w:rsid w:val="00E63BC1"/>
    <w:rsid w:val="00E63D1D"/>
    <w:rsid w:val="00E65626"/>
    <w:rsid w:val="00E66BDC"/>
    <w:rsid w:val="00E67710"/>
    <w:rsid w:val="00E7051A"/>
    <w:rsid w:val="00E7197E"/>
    <w:rsid w:val="00E71F57"/>
    <w:rsid w:val="00E809B6"/>
    <w:rsid w:val="00E82A9F"/>
    <w:rsid w:val="00E836FE"/>
    <w:rsid w:val="00E83712"/>
    <w:rsid w:val="00E85689"/>
    <w:rsid w:val="00E85CC0"/>
    <w:rsid w:val="00E86F57"/>
    <w:rsid w:val="00E87DEC"/>
    <w:rsid w:val="00E90FBD"/>
    <w:rsid w:val="00E9352B"/>
    <w:rsid w:val="00E94829"/>
    <w:rsid w:val="00E94F24"/>
    <w:rsid w:val="00E95539"/>
    <w:rsid w:val="00E96236"/>
    <w:rsid w:val="00E962F5"/>
    <w:rsid w:val="00E97A34"/>
    <w:rsid w:val="00EA4769"/>
    <w:rsid w:val="00EA5F54"/>
    <w:rsid w:val="00EB00D1"/>
    <w:rsid w:val="00EB3632"/>
    <w:rsid w:val="00EB38C7"/>
    <w:rsid w:val="00EB3EDA"/>
    <w:rsid w:val="00EB4287"/>
    <w:rsid w:val="00EB4304"/>
    <w:rsid w:val="00EB4533"/>
    <w:rsid w:val="00EB7819"/>
    <w:rsid w:val="00EC2B7D"/>
    <w:rsid w:val="00EC5992"/>
    <w:rsid w:val="00ED0579"/>
    <w:rsid w:val="00ED066E"/>
    <w:rsid w:val="00ED18CB"/>
    <w:rsid w:val="00ED2F08"/>
    <w:rsid w:val="00ED358B"/>
    <w:rsid w:val="00ED3F71"/>
    <w:rsid w:val="00ED4D46"/>
    <w:rsid w:val="00ED5087"/>
    <w:rsid w:val="00ED5677"/>
    <w:rsid w:val="00EE0154"/>
    <w:rsid w:val="00EE02DE"/>
    <w:rsid w:val="00EE2251"/>
    <w:rsid w:val="00EE60AA"/>
    <w:rsid w:val="00EE75B2"/>
    <w:rsid w:val="00EE7B9B"/>
    <w:rsid w:val="00EF0451"/>
    <w:rsid w:val="00EF0AA9"/>
    <w:rsid w:val="00EF1383"/>
    <w:rsid w:val="00EF3E68"/>
    <w:rsid w:val="00EF3FBA"/>
    <w:rsid w:val="00EF43F5"/>
    <w:rsid w:val="00EF5560"/>
    <w:rsid w:val="00EF5F7E"/>
    <w:rsid w:val="00F025F2"/>
    <w:rsid w:val="00F03137"/>
    <w:rsid w:val="00F06BF0"/>
    <w:rsid w:val="00F06F86"/>
    <w:rsid w:val="00F07268"/>
    <w:rsid w:val="00F11F48"/>
    <w:rsid w:val="00F13536"/>
    <w:rsid w:val="00F16DB8"/>
    <w:rsid w:val="00F170A9"/>
    <w:rsid w:val="00F2094C"/>
    <w:rsid w:val="00F209AE"/>
    <w:rsid w:val="00F22587"/>
    <w:rsid w:val="00F23191"/>
    <w:rsid w:val="00F238FF"/>
    <w:rsid w:val="00F30B27"/>
    <w:rsid w:val="00F319FE"/>
    <w:rsid w:val="00F31BB7"/>
    <w:rsid w:val="00F32390"/>
    <w:rsid w:val="00F32CE3"/>
    <w:rsid w:val="00F35DC7"/>
    <w:rsid w:val="00F35DE4"/>
    <w:rsid w:val="00F36CB3"/>
    <w:rsid w:val="00F436EC"/>
    <w:rsid w:val="00F44368"/>
    <w:rsid w:val="00F44499"/>
    <w:rsid w:val="00F45110"/>
    <w:rsid w:val="00F45602"/>
    <w:rsid w:val="00F45867"/>
    <w:rsid w:val="00F47E0D"/>
    <w:rsid w:val="00F51682"/>
    <w:rsid w:val="00F53C36"/>
    <w:rsid w:val="00F564C0"/>
    <w:rsid w:val="00F5680F"/>
    <w:rsid w:val="00F578B9"/>
    <w:rsid w:val="00F6024B"/>
    <w:rsid w:val="00F675BE"/>
    <w:rsid w:val="00F70566"/>
    <w:rsid w:val="00F72364"/>
    <w:rsid w:val="00F77EDD"/>
    <w:rsid w:val="00F807E3"/>
    <w:rsid w:val="00F814FF"/>
    <w:rsid w:val="00F84A72"/>
    <w:rsid w:val="00F915E6"/>
    <w:rsid w:val="00F91A5E"/>
    <w:rsid w:val="00F91DC2"/>
    <w:rsid w:val="00F93488"/>
    <w:rsid w:val="00F964FB"/>
    <w:rsid w:val="00F97EFD"/>
    <w:rsid w:val="00FA0250"/>
    <w:rsid w:val="00FA416D"/>
    <w:rsid w:val="00FA5181"/>
    <w:rsid w:val="00FA51B6"/>
    <w:rsid w:val="00FB015D"/>
    <w:rsid w:val="00FB2448"/>
    <w:rsid w:val="00FB3952"/>
    <w:rsid w:val="00FB64EF"/>
    <w:rsid w:val="00FB6C07"/>
    <w:rsid w:val="00FB76C4"/>
    <w:rsid w:val="00FC412B"/>
    <w:rsid w:val="00FC7D20"/>
    <w:rsid w:val="00FD013E"/>
    <w:rsid w:val="00FD7BB6"/>
    <w:rsid w:val="00FE0490"/>
    <w:rsid w:val="00FE089C"/>
    <w:rsid w:val="00FE2E40"/>
    <w:rsid w:val="00FE4F2F"/>
    <w:rsid w:val="00FE58E3"/>
    <w:rsid w:val="00FE6BEE"/>
    <w:rsid w:val="00FE6FB5"/>
    <w:rsid w:val="00FF1F95"/>
    <w:rsid w:val="00FF2923"/>
    <w:rsid w:val="00FF5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A0027D"/>
  <w15:docId w15:val="{A28BCDEC-400B-4F64-B861-F5CF4BFFB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B7D0B"/>
    <w:rPr>
      <w:rFonts w:ascii="Trebuchet MS" w:hAnsi="Trebuchet MS" w:cs="Arial"/>
      <w:color w:val="000000"/>
    </w:rPr>
  </w:style>
  <w:style w:type="paragraph" w:styleId="Nagwek1">
    <w:name w:val="heading 1"/>
    <w:basedOn w:val="Normalny"/>
    <w:next w:val="Normalny"/>
    <w:link w:val="Nagwek1Znak"/>
    <w:qFormat/>
    <w:pPr>
      <w:keepNext/>
      <w:spacing w:before="40"/>
      <w:jc w:val="center"/>
      <w:outlineLvl w:val="0"/>
    </w:pPr>
    <w:rPr>
      <w:sz w:val="28"/>
    </w:rPr>
  </w:style>
  <w:style w:type="paragraph" w:styleId="Nagwek2">
    <w:name w:val="heading 2"/>
    <w:basedOn w:val="Normalny"/>
    <w:next w:val="Normalny"/>
    <w:link w:val="Nagwek2Znak"/>
    <w:qFormat/>
    <w:pPr>
      <w:keepNext/>
      <w:spacing w:before="40"/>
      <w:jc w:val="center"/>
      <w:outlineLvl w:val="1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locked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Nagwek2Znak">
    <w:name w:val="Nagłówek 2 Znak"/>
    <w:link w:val="Nagwek2"/>
    <w:semiHidden/>
    <w:locked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styleId="UyteHipercze">
    <w:name w:val="FollowedHyperlink"/>
    <w:semiHidden/>
    <w:rPr>
      <w:rFonts w:cs="Times New Roman"/>
      <w:color w:val="800080"/>
      <w:u w:val="single"/>
    </w:rPr>
  </w:style>
  <w:style w:type="paragraph" w:styleId="Tekstpodstawowywcity">
    <w:name w:val="Body Text Indent"/>
    <w:basedOn w:val="Normalny"/>
    <w:link w:val="TekstpodstawowywcityZnak"/>
    <w:semiHidden/>
    <w:pPr>
      <w:ind w:firstLine="709"/>
      <w:jc w:val="both"/>
    </w:pPr>
    <w:rPr>
      <w:bCs/>
      <w:iCs/>
    </w:rPr>
  </w:style>
  <w:style w:type="character" w:customStyle="1" w:styleId="TekstpodstawowywcityZnak">
    <w:name w:val="Tekst podstawowy wcięty Znak"/>
    <w:link w:val="Tekstpodstawowywcity"/>
    <w:semiHidden/>
    <w:locked/>
    <w:rPr>
      <w:rFonts w:ascii="Trebuchet MS" w:hAnsi="Trebuchet MS" w:cs="Arial"/>
      <w:color w:val="000000"/>
      <w:sz w:val="20"/>
      <w:szCs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Pr>
      <w:rFonts w:ascii="Trebuchet MS" w:hAnsi="Trebuchet MS" w:cs="Arial"/>
      <w:color w:val="00000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Pr>
      <w:rFonts w:ascii="Trebuchet MS" w:hAnsi="Trebuchet MS" w:cs="Arial"/>
      <w:color w:val="000000"/>
    </w:rPr>
  </w:style>
  <w:style w:type="character" w:styleId="Hipercze">
    <w:name w:val="Hyperlink"/>
    <w:semiHidden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semiHidden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semiHidden/>
    <w:locked/>
    <w:rPr>
      <w:rFonts w:ascii="Tahoma" w:hAnsi="Tahoma" w:cs="Tahoma"/>
      <w:color w:val="000000"/>
      <w:sz w:val="16"/>
      <w:szCs w:val="16"/>
    </w:rPr>
  </w:style>
  <w:style w:type="table" w:styleId="Tabela-Siatka">
    <w:name w:val="Table Grid"/>
    <w:basedOn w:val="Standardowy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ezodstpw1">
    <w:name w:val="Bez odstępów1"/>
    <w:link w:val="NoSpacingChar"/>
    <w:rPr>
      <w:rFonts w:ascii="Calibri" w:hAnsi="Calibri"/>
      <w:sz w:val="22"/>
      <w:szCs w:val="22"/>
      <w:lang w:eastAsia="en-US"/>
    </w:rPr>
  </w:style>
  <w:style w:type="character" w:customStyle="1" w:styleId="NoSpacingChar">
    <w:name w:val="No Spacing Char"/>
    <w:link w:val="Bezodstpw1"/>
    <w:locked/>
    <w:rPr>
      <w:rFonts w:ascii="Calibri" w:hAnsi="Calibri" w:cs="Times New Roman"/>
      <w:sz w:val="22"/>
      <w:szCs w:val="22"/>
      <w:lang w:val="pl-PL" w:eastAsia="en-US" w:bidi="ar-SA"/>
    </w:rPr>
  </w:style>
  <w:style w:type="paragraph" w:styleId="Tekstprzypisukocowego">
    <w:name w:val="endnote text"/>
    <w:basedOn w:val="Normalny"/>
    <w:link w:val="TekstprzypisukocowegoZnak"/>
    <w:semiHidden/>
  </w:style>
  <w:style w:type="character" w:customStyle="1" w:styleId="TekstprzypisukocowegoZnak">
    <w:name w:val="Tekst przypisu końcowego Znak"/>
    <w:link w:val="Tekstprzypisukocowego"/>
    <w:semiHidden/>
    <w:locked/>
    <w:rPr>
      <w:rFonts w:ascii="Trebuchet MS" w:hAnsi="Trebuchet MS" w:cs="Arial"/>
      <w:color w:val="000000"/>
    </w:rPr>
  </w:style>
  <w:style w:type="character" w:styleId="Odwoanieprzypisukocowego">
    <w:name w:val="endnote reference"/>
    <w:semiHidden/>
    <w:rPr>
      <w:rFonts w:cs="Times New Roman"/>
      <w:vertAlign w:val="superscript"/>
    </w:rPr>
  </w:style>
  <w:style w:type="character" w:styleId="Odwoaniedokomentarza">
    <w:name w:val="annotation reference"/>
    <w:semiHidden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semiHidden/>
  </w:style>
  <w:style w:type="character" w:customStyle="1" w:styleId="TekstkomentarzaZnak">
    <w:name w:val="Tekst komentarza Znak"/>
    <w:link w:val="Tekstkomentarza"/>
    <w:semiHidden/>
    <w:locked/>
    <w:rPr>
      <w:rFonts w:ascii="Trebuchet MS" w:hAnsi="Trebuchet MS" w:cs="Arial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Pr>
      <w:b/>
      <w:bCs/>
    </w:rPr>
  </w:style>
  <w:style w:type="character" w:customStyle="1" w:styleId="TematkomentarzaZnak">
    <w:name w:val="Temat komentarza Znak"/>
    <w:link w:val="Tematkomentarza"/>
    <w:semiHidden/>
    <w:locked/>
    <w:rPr>
      <w:rFonts w:ascii="Trebuchet MS" w:hAnsi="Trebuchet MS" w:cs="Arial"/>
      <w:b/>
      <w:bCs/>
      <w:color w:val="000000"/>
      <w:sz w:val="20"/>
      <w:szCs w:val="20"/>
    </w:rPr>
  </w:style>
  <w:style w:type="paragraph" w:styleId="NormalnyWeb">
    <w:name w:val="Normal (Web)"/>
    <w:basedOn w:val="Normalny"/>
    <w:uiPriority w:val="99"/>
    <w:unhideWhenUsed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Podtytu">
    <w:name w:val="Subtitle"/>
    <w:basedOn w:val="Normalny"/>
    <w:next w:val="Normalny"/>
    <w:link w:val="PodtytuZnak"/>
    <w:qFormat/>
    <w:locked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Pogrubienie">
    <w:name w:val="Strong"/>
    <w:uiPriority w:val="22"/>
    <w:qFormat/>
    <w:locked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Pr>
      <w:rFonts w:ascii="Trebuchet MS" w:hAnsi="Trebuchet MS" w:cs="Arial"/>
      <w:color w:val="000000"/>
    </w:rPr>
  </w:style>
  <w:style w:type="paragraph" w:customStyle="1" w:styleId="pf1">
    <w:name w:val="pf1"/>
    <w:basedOn w:val="Normalny"/>
    <w:rsid w:val="008814F2"/>
    <w:pPr>
      <w:spacing w:before="100" w:beforeAutospacing="1" w:after="100" w:afterAutospacing="1"/>
      <w:ind w:left="280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pf0">
    <w:name w:val="pf0"/>
    <w:basedOn w:val="Normalny"/>
    <w:rsid w:val="008814F2"/>
    <w:pPr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cf01">
    <w:name w:val="cf01"/>
    <w:basedOn w:val="Domylnaczcionkaakapitu"/>
    <w:rsid w:val="008814F2"/>
    <w:rPr>
      <w:rFonts w:ascii="Segoe UI" w:hAnsi="Segoe UI" w:cs="Segoe UI" w:hint="default"/>
      <w:color w:val="1C244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zpf.pl/kondycja-sektora-pozyczkowego-w-polsce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linkedin.com/company/zpf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727A50648376C43A414D43F74F01924" ma:contentTypeVersion="2" ma:contentTypeDescription="Utwórz nowy dokument." ma:contentTypeScope="" ma:versionID="8b8952551c9abdde30d92d487fbc6b25">
  <xsd:schema xmlns:xsd="http://www.w3.org/2001/XMLSchema" xmlns:xs="http://www.w3.org/2001/XMLSchema" xmlns:p="http://schemas.microsoft.com/office/2006/metadata/properties" xmlns:ns2="7461709f-0f2e-48e8-b059-5912730bec9d" targetNamespace="http://schemas.microsoft.com/office/2006/metadata/properties" ma:root="true" ma:fieldsID="6e632a73da9e0e46f24b92e51756e646" ns2:_="">
    <xsd:import namespace="7461709f-0f2e-48e8-b059-5912730bec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1709f-0f2e-48e8-b059-5912730bec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5218BF-E15C-4F40-98E1-1B818F0812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61709f-0f2e-48e8-b059-5912730bec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682AB3-6677-4944-9581-01ABE4B2F9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3A9627-CFB8-4923-BDE6-22939A836F5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54EC2C1-354E-4107-8091-3E3D19B50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732</Words>
  <Characters>4397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KPF</Company>
  <LinksUpToDate>false</LinksUpToDate>
  <CharactersWithSpaces>5119</CharactersWithSpaces>
  <SharedDoc>false</SharedDoc>
  <HLinks>
    <vt:vector size="12" baseType="variant">
      <vt:variant>
        <vt:i4>6619194</vt:i4>
      </vt:variant>
      <vt:variant>
        <vt:i4>3</vt:i4>
      </vt:variant>
      <vt:variant>
        <vt:i4>0</vt:i4>
      </vt:variant>
      <vt:variant>
        <vt:i4>5</vt:i4>
      </vt:variant>
      <vt:variant>
        <vt:lpwstr>http://www.linkedin.com/company/zpf</vt:lpwstr>
      </vt:variant>
      <vt:variant>
        <vt:lpwstr/>
      </vt:variant>
      <vt:variant>
        <vt:i4>7864439</vt:i4>
      </vt:variant>
      <vt:variant>
        <vt:i4>0</vt:i4>
      </vt:variant>
      <vt:variant>
        <vt:i4>0</vt:i4>
      </vt:variant>
      <vt:variant>
        <vt:i4>5</vt:i4>
      </vt:variant>
      <vt:variant>
        <vt:lpwstr>https://zpf.pl/kondycja-sektora-pozyczkowego-w-polsce/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Frąckowiak</dc:creator>
  <cp:keywords/>
  <cp:lastModifiedBy>Agnieszka Frąckowiak</cp:lastModifiedBy>
  <cp:revision>3</cp:revision>
  <cp:lastPrinted>2026-07-23T19:48:00Z</cp:lastPrinted>
  <dcterms:created xsi:type="dcterms:W3CDTF">2026-09-22T08:58:00Z</dcterms:created>
  <dcterms:modified xsi:type="dcterms:W3CDTF">2026-09-22T08:58:00Z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0x010100A727A50648376C43A414D43F74F01924</vt:lpwstr>
  </property>
</Properties>
</file>