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2E57" w14:textId="4DCFDA2E" w:rsidR="00D3424E" w:rsidRPr="00D3424E" w:rsidRDefault="00D3424E" w:rsidP="00D3424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hAnsi="Tahoma" w:cs="Tahoma"/>
          <w:color w:val="002060"/>
        </w:rPr>
      </w:pPr>
      <w:r w:rsidRPr="00D3424E">
        <w:rPr>
          <w:rFonts w:ascii="Tahoma" w:hAnsi="Tahoma" w:cs="Tahoma"/>
          <w:color w:val="002060"/>
        </w:rPr>
        <w:t>Warszawa, 2</w:t>
      </w:r>
      <w:r w:rsidR="004C3A69">
        <w:rPr>
          <w:rFonts w:ascii="Tahoma" w:hAnsi="Tahoma" w:cs="Tahoma"/>
          <w:color w:val="002060"/>
        </w:rPr>
        <w:t>4</w:t>
      </w:r>
      <w:r w:rsidRPr="00D3424E">
        <w:rPr>
          <w:rFonts w:ascii="Tahoma" w:hAnsi="Tahoma" w:cs="Tahoma"/>
          <w:color w:val="002060"/>
        </w:rPr>
        <w:t xml:space="preserve"> </w:t>
      </w:r>
      <w:r w:rsidR="004C3A69">
        <w:rPr>
          <w:rFonts w:ascii="Tahoma" w:hAnsi="Tahoma" w:cs="Tahoma"/>
          <w:color w:val="002060"/>
        </w:rPr>
        <w:t>września</w:t>
      </w:r>
      <w:r w:rsidRPr="00D3424E">
        <w:rPr>
          <w:rFonts w:ascii="Tahoma" w:hAnsi="Tahoma" w:cs="Tahoma"/>
          <w:color w:val="002060"/>
        </w:rPr>
        <w:t xml:space="preserve"> 2026 r.</w:t>
      </w:r>
    </w:p>
    <w:p w14:paraId="7DD819AF" w14:textId="77777777" w:rsidR="00D3424E" w:rsidRDefault="00D3424E" w:rsidP="00BC03A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hAnsi="Tahoma" w:cs="Tahoma"/>
          <w:color w:val="002060"/>
        </w:rPr>
      </w:pPr>
    </w:p>
    <w:p w14:paraId="49714586" w14:textId="665E384C" w:rsidR="002A77CF" w:rsidRPr="00D3424E" w:rsidRDefault="00BC03A2" w:rsidP="00D3424E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ahoma" w:hAnsi="Tahoma" w:cs="Tahoma"/>
          <w:color w:val="002060"/>
        </w:rPr>
      </w:pPr>
      <w:r w:rsidRPr="00D3424E">
        <w:rPr>
          <w:rFonts w:ascii="Tahoma" w:hAnsi="Tahoma" w:cs="Tahoma"/>
          <w:color w:val="002060"/>
        </w:rPr>
        <w:t>Informacja prasowa</w:t>
      </w:r>
      <w:r w:rsidRPr="00D3424E">
        <w:rPr>
          <w:rFonts w:ascii="Tahoma" w:hAnsi="Tahoma" w:cs="Tahoma"/>
          <w:color w:val="002060"/>
        </w:rPr>
        <w:tab/>
      </w:r>
      <w:r w:rsidRPr="00D3424E">
        <w:rPr>
          <w:rFonts w:ascii="Tahoma" w:hAnsi="Tahoma" w:cs="Tahoma"/>
          <w:color w:val="002060"/>
        </w:rPr>
        <w:tab/>
      </w:r>
      <w:r w:rsidRPr="00D3424E">
        <w:rPr>
          <w:rFonts w:ascii="Tahoma" w:hAnsi="Tahoma" w:cs="Tahoma"/>
          <w:color w:val="002060"/>
        </w:rPr>
        <w:tab/>
      </w:r>
      <w:r w:rsidRPr="00D3424E">
        <w:rPr>
          <w:rFonts w:ascii="Tahoma" w:hAnsi="Tahoma" w:cs="Tahoma"/>
          <w:color w:val="002060"/>
        </w:rPr>
        <w:tab/>
      </w:r>
      <w:r w:rsidRPr="00D3424E">
        <w:rPr>
          <w:rFonts w:ascii="Tahoma" w:hAnsi="Tahoma" w:cs="Tahoma"/>
          <w:color w:val="002060"/>
        </w:rPr>
        <w:tab/>
      </w:r>
      <w:r w:rsidRPr="00D3424E">
        <w:rPr>
          <w:rFonts w:ascii="Tahoma" w:hAnsi="Tahoma" w:cs="Tahoma"/>
          <w:color w:val="002060"/>
        </w:rPr>
        <w:tab/>
        <w:t xml:space="preserve">              </w:t>
      </w:r>
    </w:p>
    <w:p w14:paraId="09442E8A" w14:textId="69A331A3" w:rsidR="00D3424E" w:rsidRPr="00D3424E" w:rsidRDefault="004C3A69" w:rsidP="00D3424E">
      <w:pPr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2060"/>
          <w:kern w:val="0"/>
          <w:lang w:eastAsia="en-GB"/>
          <w14:ligatures w14:val="none"/>
        </w:rPr>
      </w:pPr>
      <w:r w:rsidRPr="004C3A69"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en-GB"/>
          <w14:ligatures w14:val="none"/>
        </w:rPr>
        <w:t xml:space="preserve">PMPG Polskie Media podsumowuje I półrocze 2026 roku. Rozwój aktywów cyfrowych i debiut Do Rzeczy na </w:t>
      </w:r>
      <w:proofErr w:type="spellStart"/>
      <w:r w:rsidRPr="004C3A69">
        <w:rPr>
          <w:rFonts w:ascii="Tahoma" w:eastAsia="Times New Roman" w:hAnsi="Tahoma" w:cs="Tahoma"/>
          <w:b/>
          <w:bCs/>
          <w:color w:val="002060"/>
          <w:kern w:val="0"/>
          <w:sz w:val="28"/>
          <w:szCs w:val="28"/>
          <w:lang w:eastAsia="en-GB"/>
          <w14:ligatures w14:val="none"/>
        </w:rPr>
        <w:t>NewConnect</w:t>
      </w:r>
      <w:proofErr w:type="spellEnd"/>
    </w:p>
    <w:p w14:paraId="28FDCAF8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Grupa Kapitałowa PMPG Polskie Media zakończyła pierwsze półrocze 2026 roku przychodami na poziomie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13,9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. Jednocześnie Grupa kontynuowała transformację cyfrową swoich aktywów medialnych oraz realizowała działania związane z rozwojem spółki Do Rzeczy S.A., której akcje zadebiutowały w kwietniu na rynku </w:t>
      </w:r>
      <w:proofErr w:type="spellStart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NewConnect</w:t>
      </w:r>
      <w:proofErr w:type="spellEnd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</w:t>
      </w:r>
    </w:p>
    <w:p w14:paraId="2B6053BA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13,9 mln zł przychodów Grupy</w:t>
      </w:r>
    </w:p>
    <w:p w14:paraId="2978D2ED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W pierwszych sześciu miesiącach 2026 roku skonsolidowane przychody PMPG Polskie Media wyniosły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13,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en-GB"/>
          <w14:ligatures w14:val="none"/>
        </w:rPr>
        <w:t>93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 xml:space="preserve">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, wobec 14,93 mln zł w analogicznym okresie 2025 roku. Grupa wypracowała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6,17 mln zł zysku brutto ze sprzedaży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. EBITDA wyniosła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-2,0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, a strata netto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1,87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</w:t>
      </w:r>
    </w:p>
    <w:p w14:paraId="1B408519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Jednocześnie wyniki jednostkowe PMPG Polskie Media S.A. wskazują na poprawę sytuacji operacyjnej spółki dominującej. Przychody wzrosły do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7,9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, EBITDA poprawiła się z -0,3 mln zł do -0,1 mln zł, natomiast wynik netto zmienił się z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-0,5 mln zł w I półroczu 2025 r. do +0,1 mln zł w I półroczu 2026 r.</w:t>
      </w:r>
    </w:p>
    <w:p w14:paraId="153ED000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„Pierwsza połowa 2026 roku była dla Grupy okresem dalszej transformacji modelu biznesowego i koncentracji na rozwoju aktywów cyfrowych. Szczególnie istotnym wydarzeniem był debiut Do Rzeczy na rynku </w:t>
      </w:r>
      <w:proofErr w:type="spellStart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NewConnect</w:t>
      </w:r>
      <w:proofErr w:type="spellEnd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, który otworzył przed spółką nowe możliwości rozwoju i pozyskiwania kapitału” – komentuje Zarząd PMPG Polskie Media.</w:t>
      </w:r>
    </w:p>
    <w:p w14:paraId="25BE4128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 xml:space="preserve">Do Rzeczy zadebiutowało na </w:t>
      </w:r>
      <w:proofErr w:type="spellStart"/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NewConnect</w:t>
      </w:r>
      <w:proofErr w:type="spellEnd"/>
    </w:p>
    <w:p w14:paraId="0ED65501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Jednym z najważniejszych wydarzeń pierwszego półrocza był debiut akcji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Do Rzeczy S.A.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w Alternatywnym Systemie Obrotu </w:t>
      </w:r>
      <w:proofErr w:type="spellStart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NewConnect</w:t>
      </w:r>
      <w:proofErr w:type="spellEnd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. Uchwałę o wprowadzeniu akcji do obrotu Giełda Papierów Wartościowych w Warszawie podjęła 30 marca 2026 roku, a pierwsze notowanie odbyło się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28 kwietnia 2026 roku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</w:t>
      </w:r>
    </w:p>
    <w:p w14:paraId="4F87C70D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Proces poprzedzający debiut obejmował trzy emisje akcji, w ramach których spółka pozyskała łącznie około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5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na rozwój projektów wydawniczych, a także emisję skierowaną do współpracowników w ramach programu motywacyjnego. Po debiucie w akcjonariacie Do Rzeczy znalazło się kilkuset akcjonariuszy, a wycena spółki przekroczyła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60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</w:t>
      </w:r>
    </w:p>
    <w:p w14:paraId="26EC26B3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lastRenderedPageBreak/>
        <w:t>Mocna pozycja marek cyfrowych</w:t>
      </w:r>
    </w:p>
    <w:p w14:paraId="4C9566DC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Grupa konsekwentnie rozwija swoje główne marki medialne w kanałach cyfrowych. Portal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Wprost.pl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odwiedzało w I półroczu 2026 roku średnio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5,35 mln realnych użytkowników miesięcznie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, według danych </w:t>
      </w:r>
      <w:proofErr w:type="spellStart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Mediapanel</w:t>
      </w:r>
      <w:proofErr w:type="spellEnd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</w:t>
      </w:r>
      <w:proofErr w:type="spellStart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Gemius</w:t>
      </w:r>
      <w:proofErr w:type="spellEnd"/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 Równolegle rozwijane są subskrypcje cyfrowe, podcasty, materiały wideo oraz nowe kanały dystrybucji treści.</w:t>
      </w:r>
    </w:p>
    <w:p w14:paraId="1A97EADA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W segmencie Do Rzeczy średnia miesięczna liczba realnych użytkowników serwisu DoRzeczy.pl w pierwszym półroczu wyniosła blisko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2,32 mln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. Spółka rozwija również ofertę cyfrową oraz działalność wideo, w tym kanał YouTube, który na koniec okresu liczył blisko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132 tys. subskrybentów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.</w:t>
      </w:r>
    </w:p>
    <w:p w14:paraId="51197A5F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Reklama pozostaje ważnym źródłem przychodów</w:t>
      </w:r>
    </w:p>
    <w:p w14:paraId="59786BCC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W I półroczu 2026 roku Grupa uzyskała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8,8 mln zł przychodów z usług reklamowych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, co odpowiadało 63% jej przychodów w tym okresie. Około 35% przychodów Grupy generowała współpraca z kolporterami prasy.</w:t>
      </w:r>
    </w:p>
    <w:p w14:paraId="7BCC506A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PMPG wskazuje jednocześnie na dalszą zmianę struktury rynku medialnego i reklamowego oraz rosnące znaczenie kanałów internetowych. Strategia Grupy zakłada dalszy rozwój własnych aktywów cyfrowych, subskrypcji oraz formatów multimedialnych.</w:t>
      </w:r>
    </w:p>
    <w:p w14:paraId="6835F482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Stabilna sytuacja płynnościowa</w:t>
      </w:r>
    </w:p>
    <w:p w14:paraId="78F1FEC2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Na koniec czerwca 2026 roku Grupa dysponowała aktywami o wartości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26,1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, a kapitał własny wynosił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18,5 mln zł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. Wskaźnik bieżącej płynności wzrósł z 1,48 na koniec I półrocza 2025 roku do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1,93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na koniec czerwca 2026 roku.</w:t>
      </w:r>
    </w:p>
    <w:p w14:paraId="76C74904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PMPG Polskie Media wskazuje również na niski poziom zadłużenia – wskaźnik ogólnego zadłużenia Grupy na 30 czerwca 2026 roku wyniósł </w:t>
      </w: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29,22%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, wobec 33,30% rok wcześniej.</w:t>
      </w:r>
    </w:p>
    <w:p w14:paraId="56491810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outlineLvl w:val="2"/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t>Kierunek: dalsza cyfryzacja i dywersyfikacja</w:t>
      </w:r>
    </w:p>
    <w:p w14:paraId="4D2CF029" w14:textId="77777777" w:rsidR="004C3A69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>W kolejnych okresach Grupa zamierza koncentrować się na rozwoju nowoczesnych kanałów dotarcia do odbiorców, zwiększaniu znaczenia serwisów internetowych i aplikacji oraz dalszej dywersyfikacji źródeł przychodów. Elementem strategii pozostaje także rozwój oferty reklamowej i wykorzystanie synergii pomiędzy poszczególnymi aktywami Grupy.</w:t>
      </w:r>
    </w:p>
    <w:p w14:paraId="56546114" w14:textId="77777777" w:rsidR="004C3A69" w:rsidRPr="000610EB" w:rsidRDefault="004C3A69" w:rsidP="004C3A69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</w:p>
    <w:p w14:paraId="2B04F6A9" w14:textId="7E1D27C9" w:rsidR="004C3A69" w:rsidRDefault="004C3A69" w:rsidP="004C3A69">
      <w:pPr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  <w:r w:rsidRPr="000610EB">
        <w:rPr>
          <w:rFonts w:ascii="Tahoma" w:eastAsia="Times New Roman" w:hAnsi="Tahoma" w:cs="Tahoma"/>
          <w:b/>
          <w:bCs/>
          <w:color w:val="002060"/>
          <w:kern w:val="0"/>
          <w:lang w:eastAsia="pl-PL"/>
          <w14:ligatures w14:val="none"/>
        </w:rPr>
        <w:lastRenderedPageBreak/>
        <w:t>PMPG Polskie Media S.A.</w:t>
      </w:r>
      <w:r w:rsidRPr="000610EB"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  <w:t xml:space="preserve"> jest holdingiem działającym w obszarze mediów, marketingu i reklamy. W skład Grupy wchodzą m.in. Agencja Wydawniczo-Reklamowa „Wprost” oraz Do Rzeczy S.A. Grupa rozwija działalność w obszarze mediów tradycyjnych i cyfrowych, łącząc działalność wydawniczą, internetową, reklamową i marketingową.</w:t>
      </w:r>
    </w:p>
    <w:p w14:paraId="1B2B653C" w14:textId="77777777" w:rsidR="004C3A69" w:rsidRDefault="004C3A69" w:rsidP="004C3A69">
      <w:pPr>
        <w:rPr>
          <w:rFonts w:ascii="Tahoma" w:eastAsia="Times New Roman" w:hAnsi="Tahoma" w:cs="Tahoma"/>
          <w:color w:val="002060"/>
          <w:kern w:val="0"/>
          <w:lang w:eastAsia="pl-PL"/>
          <w14:ligatures w14:val="none"/>
        </w:rPr>
      </w:pPr>
    </w:p>
    <w:p w14:paraId="634C6FD3" w14:textId="77777777" w:rsidR="004C3A69" w:rsidRPr="00D3424E" w:rsidRDefault="004C3A69" w:rsidP="004C3A69">
      <w:pPr>
        <w:rPr>
          <w:rFonts w:ascii="Tahoma" w:hAnsi="Tahoma" w:cs="Tahoma"/>
          <w:color w:val="002060"/>
        </w:rPr>
      </w:pPr>
    </w:p>
    <w:p w14:paraId="04083061" w14:textId="61C01271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hAnsi="Tahoma" w:cs="Tahoma"/>
          <w:color w:val="002060"/>
          <w:lang w:val="en-US"/>
        </w:rPr>
      </w:pPr>
      <w:r w:rsidRPr="00D3424E">
        <w:rPr>
          <w:rFonts w:ascii="Tahoma" w:hAnsi="Tahoma" w:cs="Tahoma"/>
          <w:b/>
          <w:color w:val="002060"/>
          <w:lang w:val="en-US"/>
        </w:rPr>
        <w:t>www:</w:t>
      </w:r>
      <w:r w:rsidRPr="00D3424E">
        <w:rPr>
          <w:rFonts w:ascii="Tahoma" w:hAnsi="Tahoma" w:cs="Tahoma"/>
          <w:color w:val="002060"/>
          <w:lang w:val="en-US"/>
        </w:rPr>
        <w:t xml:space="preserve">                          </w:t>
      </w:r>
      <w:r w:rsidR="00D3424E">
        <w:rPr>
          <w:rFonts w:ascii="Tahoma" w:hAnsi="Tahoma" w:cs="Tahoma"/>
          <w:color w:val="002060"/>
          <w:lang w:val="en-US"/>
        </w:rPr>
        <w:tab/>
      </w:r>
      <w:hyperlink r:id="rId7" w:history="1">
        <w:r w:rsidR="00D3424E" w:rsidRPr="00B00985">
          <w:rPr>
            <w:rStyle w:val="Hipercze"/>
            <w:rFonts w:ascii="Tahoma" w:hAnsi="Tahoma" w:cs="Tahoma"/>
            <w:lang w:val="en-US"/>
          </w:rPr>
          <w:t>www.pmpg.pl</w:t>
        </w:r>
      </w:hyperlink>
      <w:r w:rsidRPr="00D3424E">
        <w:rPr>
          <w:rFonts w:ascii="Tahoma" w:hAnsi="Tahoma" w:cs="Tahoma"/>
          <w:color w:val="002060"/>
          <w:lang w:val="en-US"/>
        </w:rPr>
        <w:t xml:space="preserve"> </w:t>
      </w:r>
    </w:p>
    <w:p w14:paraId="4934AAEA" w14:textId="28D332C2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hAnsi="Tahoma" w:cs="Tahoma"/>
          <w:color w:val="002060"/>
          <w:lang w:val="en-US"/>
        </w:rPr>
      </w:pPr>
      <w:r w:rsidRPr="00D3424E">
        <w:rPr>
          <w:rFonts w:ascii="Tahoma" w:hAnsi="Tahoma" w:cs="Tahoma"/>
          <w:b/>
          <w:color w:val="002060"/>
          <w:lang w:val="en-US"/>
        </w:rPr>
        <w:t>FB:</w:t>
      </w:r>
      <w:r w:rsidRPr="00D3424E">
        <w:rPr>
          <w:rFonts w:ascii="Tahoma" w:hAnsi="Tahoma" w:cs="Tahoma"/>
          <w:color w:val="002060"/>
          <w:lang w:val="en-US"/>
        </w:rPr>
        <w:t xml:space="preserve">                              </w:t>
      </w:r>
      <w:r w:rsidR="00D3424E">
        <w:rPr>
          <w:rFonts w:ascii="Tahoma" w:hAnsi="Tahoma" w:cs="Tahoma"/>
          <w:color w:val="002060"/>
          <w:lang w:val="en-US"/>
        </w:rPr>
        <w:tab/>
      </w:r>
      <w:hyperlink r:id="rId8" w:history="1">
        <w:r w:rsidR="00D3424E" w:rsidRPr="00B00985">
          <w:rPr>
            <w:rStyle w:val="Hipercze"/>
            <w:rFonts w:ascii="Tahoma" w:hAnsi="Tahoma" w:cs="Tahoma"/>
            <w:lang w:val="en-US"/>
          </w:rPr>
          <w:t>https://www.facebook.com/PMPG.SA</w:t>
        </w:r>
      </w:hyperlink>
      <w:r w:rsidRPr="00D3424E">
        <w:rPr>
          <w:rFonts w:ascii="Tahoma" w:hAnsi="Tahoma" w:cs="Tahoma"/>
          <w:color w:val="002060"/>
          <w:lang w:val="en-US"/>
        </w:rPr>
        <w:t xml:space="preserve"> </w:t>
      </w:r>
    </w:p>
    <w:p w14:paraId="048DBD43" w14:textId="08B98114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hAnsi="Tahoma" w:cs="Tahoma"/>
          <w:color w:val="002060"/>
          <w:lang w:val="en-US"/>
        </w:rPr>
      </w:pPr>
      <w:r w:rsidRPr="00D3424E">
        <w:rPr>
          <w:rFonts w:ascii="Tahoma" w:hAnsi="Tahoma" w:cs="Tahoma"/>
          <w:b/>
          <w:color w:val="002060"/>
          <w:lang w:val="en-US"/>
        </w:rPr>
        <w:t>LinkedIn:</w:t>
      </w:r>
      <w:r w:rsidRPr="00D3424E">
        <w:rPr>
          <w:rFonts w:ascii="Tahoma" w:hAnsi="Tahoma" w:cs="Tahoma"/>
          <w:color w:val="002060"/>
          <w:lang w:val="en-US"/>
        </w:rPr>
        <w:t xml:space="preserve">                    </w:t>
      </w:r>
      <w:r w:rsidR="00D3424E">
        <w:rPr>
          <w:rFonts w:ascii="Tahoma" w:hAnsi="Tahoma" w:cs="Tahoma"/>
          <w:color w:val="002060"/>
          <w:lang w:val="en-US"/>
        </w:rPr>
        <w:tab/>
      </w:r>
      <w:hyperlink r:id="rId9" w:history="1">
        <w:r w:rsidR="00D3424E" w:rsidRPr="00B00985">
          <w:rPr>
            <w:rStyle w:val="Hipercze"/>
            <w:rFonts w:ascii="Tahoma" w:hAnsi="Tahoma" w:cs="Tahoma"/>
            <w:lang w:val="en-US"/>
          </w:rPr>
          <w:t>https://www.linkedin.com/company/point-group/</w:t>
        </w:r>
      </w:hyperlink>
      <w:r w:rsidRPr="00D3424E">
        <w:rPr>
          <w:rFonts w:ascii="Tahoma" w:hAnsi="Tahoma" w:cs="Tahoma"/>
          <w:color w:val="002060"/>
          <w:lang w:val="en-US"/>
        </w:rPr>
        <w:t xml:space="preserve"> </w:t>
      </w:r>
    </w:p>
    <w:p w14:paraId="4CA2562E" w14:textId="67F0FFCC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hAnsi="Tahoma" w:cs="Tahoma"/>
          <w:color w:val="002060"/>
          <w:lang w:val="en-US"/>
        </w:rPr>
      </w:pPr>
      <w:r w:rsidRPr="00D3424E">
        <w:rPr>
          <w:rFonts w:ascii="Tahoma" w:hAnsi="Tahoma" w:cs="Tahoma"/>
          <w:b/>
          <w:color w:val="002060"/>
          <w:lang w:val="en-US"/>
        </w:rPr>
        <w:t>Twitter:</w:t>
      </w:r>
      <w:r w:rsidRPr="00D3424E">
        <w:rPr>
          <w:rFonts w:ascii="Tahoma" w:hAnsi="Tahoma" w:cs="Tahoma"/>
          <w:color w:val="002060"/>
          <w:lang w:val="en-US"/>
        </w:rPr>
        <w:t xml:space="preserve">                      </w:t>
      </w:r>
      <w:r w:rsidR="00D3424E">
        <w:rPr>
          <w:rFonts w:ascii="Tahoma" w:hAnsi="Tahoma" w:cs="Tahoma"/>
          <w:color w:val="002060"/>
          <w:lang w:val="en-US"/>
        </w:rPr>
        <w:tab/>
      </w:r>
      <w:hyperlink r:id="rId10" w:history="1">
        <w:r w:rsidR="00D3424E" w:rsidRPr="00B00985">
          <w:rPr>
            <w:rStyle w:val="Hipercze"/>
            <w:rFonts w:ascii="Tahoma" w:hAnsi="Tahoma" w:cs="Tahoma"/>
            <w:lang w:val="en-US"/>
          </w:rPr>
          <w:t>https://twitter.com/PMPG_PL</w:t>
        </w:r>
      </w:hyperlink>
      <w:r w:rsidRPr="00D3424E">
        <w:rPr>
          <w:rFonts w:ascii="Tahoma" w:hAnsi="Tahoma" w:cs="Tahoma"/>
          <w:color w:val="002060"/>
          <w:lang w:val="en-US"/>
        </w:rPr>
        <w:t xml:space="preserve"> </w:t>
      </w:r>
    </w:p>
    <w:p w14:paraId="0AD10E50" w14:textId="355AB307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ahoma" w:hAnsi="Tahoma" w:cs="Tahoma"/>
          <w:color w:val="002060"/>
        </w:rPr>
      </w:pPr>
      <w:r w:rsidRPr="00D3424E">
        <w:rPr>
          <w:rFonts w:ascii="Tahoma" w:hAnsi="Tahoma" w:cs="Tahoma"/>
          <w:b/>
          <w:color w:val="002060"/>
        </w:rPr>
        <w:t>Notowania GPW:     </w:t>
      </w:r>
      <w:r w:rsidR="00D3424E">
        <w:rPr>
          <w:rFonts w:ascii="Tahoma" w:hAnsi="Tahoma" w:cs="Tahoma"/>
          <w:b/>
          <w:color w:val="002060"/>
        </w:rPr>
        <w:tab/>
      </w:r>
      <w:hyperlink r:id="rId11" w:history="1">
        <w:r w:rsidR="00D3424E" w:rsidRPr="00B00985">
          <w:rPr>
            <w:rStyle w:val="Hipercze"/>
            <w:rFonts w:ascii="Tahoma" w:hAnsi="Tahoma" w:cs="Tahoma"/>
          </w:rPr>
          <w:t>https://pl.investing.com/equities/point-group</w:t>
        </w:r>
      </w:hyperlink>
    </w:p>
    <w:p w14:paraId="111EC03F" w14:textId="77777777" w:rsidR="00A2795B" w:rsidRPr="00D3424E" w:rsidRDefault="00A2795B" w:rsidP="00A279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hAnsi="Tahoma" w:cs="Tahoma"/>
          <w:color w:val="002060"/>
        </w:rPr>
      </w:pPr>
    </w:p>
    <w:p w14:paraId="3D32E78A" w14:textId="020ACF19" w:rsidR="007E6FB5" w:rsidRPr="00D3424E" w:rsidRDefault="007E6FB5" w:rsidP="00C4783A">
      <w:pPr>
        <w:spacing w:after="120" w:line="240" w:lineRule="auto"/>
        <w:jc w:val="both"/>
        <w:rPr>
          <w:rFonts w:ascii="Tahoma" w:hAnsi="Tahoma" w:cs="Tahoma"/>
          <w:color w:val="002060"/>
        </w:rPr>
      </w:pPr>
    </w:p>
    <w:sectPr w:rsidR="007E6FB5" w:rsidRPr="00D3424E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CCA7F" w14:textId="77777777" w:rsidR="00473A5D" w:rsidRDefault="00473A5D" w:rsidP="0089463F">
      <w:pPr>
        <w:spacing w:after="0" w:line="240" w:lineRule="auto"/>
      </w:pPr>
      <w:r>
        <w:separator/>
      </w:r>
    </w:p>
  </w:endnote>
  <w:endnote w:type="continuationSeparator" w:id="0">
    <w:p w14:paraId="6FD580B1" w14:textId="77777777" w:rsidR="00473A5D" w:rsidRDefault="00473A5D" w:rsidP="00894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FA2DA" w14:textId="77777777" w:rsidR="00473A5D" w:rsidRDefault="00473A5D" w:rsidP="0089463F">
      <w:pPr>
        <w:spacing w:after="0" w:line="240" w:lineRule="auto"/>
      </w:pPr>
      <w:r>
        <w:separator/>
      </w:r>
    </w:p>
  </w:footnote>
  <w:footnote w:type="continuationSeparator" w:id="0">
    <w:p w14:paraId="0E663AE1" w14:textId="77777777" w:rsidR="00473A5D" w:rsidRDefault="00473A5D" w:rsidP="00894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D0B0" w14:textId="5DD0F95D" w:rsidR="0089463F" w:rsidRDefault="0089463F">
    <w:pPr>
      <w:pStyle w:val="Nagwek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0F6D391" wp14:editId="181F05CB">
          <wp:simplePos x="0" y="0"/>
          <wp:positionH relativeFrom="margin">
            <wp:posOffset>0</wp:posOffset>
          </wp:positionH>
          <wp:positionV relativeFrom="paragraph">
            <wp:posOffset>183515</wp:posOffset>
          </wp:positionV>
          <wp:extent cx="1455420" cy="618490"/>
          <wp:effectExtent l="0" t="0" r="0" b="0"/>
          <wp:wrapTopAndBottom/>
          <wp:docPr id="1" name="Obraz 1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Grafika, logo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A3B28"/>
    <w:multiLevelType w:val="multilevel"/>
    <w:tmpl w:val="6D08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5F1B21"/>
    <w:multiLevelType w:val="multilevel"/>
    <w:tmpl w:val="E3B8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284AD9"/>
    <w:multiLevelType w:val="multilevel"/>
    <w:tmpl w:val="48C4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413325">
    <w:abstractNumId w:val="2"/>
  </w:num>
  <w:num w:numId="2" w16cid:durableId="1152065465">
    <w:abstractNumId w:val="1"/>
  </w:num>
  <w:num w:numId="3" w16cid:durableId="167680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CF"/>
    <w:rsid w:val="000052F7"/>
    <w:rsid w:val="00017901"/>
    <w:rsid w:val="000D3FC9"/>
    <w:rsid w:val="000D7DC9"/>
    <w:rsid w:val="0010231A"/>
    <w:rsid w:val="00123538"/>
    <w:rsid w:val="001D3274"/>
    <w:rsid w:val="001D352E"/>
    <w:rsid w:val="001E237E"/>
    <w:rsid w:val="00261F5C"/>
    <w:rsid w:val="00297BBE"/>
    <w:rsid w:val="002A77CF"/>
    <w:rsid w:val="002D576A"/>
    <w:rsid w:val="003569EB"/>
    <w:rsid w:val="003577C9"/>
    <w:rsid w:val="003932F1"/>
    <w:rsid w:val="003B7B48"/>
    <w:rsid w:val="003D0424"/>
    <w:rsid w:val="00473A5D"/>
    <w:rsid w:val="004A602A"/>
    <w:rsid w:val="004C3A69"/>
    <w:rsid w:val="004C6448"/>
    <w:rsid w:val="00511782"/>
    <w:rsid w:val="00527921"/>
    <w:rsid w:val="00532CF9"/>
    <w:rsid w:val="0053696D"/>
    <w:rsid w:val="005774DA"/>
    <w:rsid w:val="005A7EF2"/>
    <w:rsid w:val="00602F7E"/>
    <w:rsid w:val="00634E32"/>
    <w:rsid w:val="00673CC5"/>
    <w:rsid w:val="0072485F"/>
    <w:rsid w:val="007A03CC"/>
    <w:rsid w:val="007E6FB5"/>
    <w:rsid w:val="0081309E"/>
    <w:rsid w:val="00832072"/>
    <w:rsid w:val="00892507"/>
    <w:rsid w:val="0089463F"/>
    <w:rsid w:val="008B3C64"/>
    <w:rsid w:val="008F0F21"/>
    <w:rsid w:val="00932F45"/>
    <w:rsid w:val="009569FD"/>
    <w:rsid w:val="0096594C"/>
    <w:rsid w:val="0098653E"/>
    <w:rsid w:val="00A2795B"/>
    <w:rsid w:val="00AE4B52"/>
    <w:rsid w:val="00B07277"/>
    <w:rsid w:val="00B27E76"/>
    <w:rsid w:val="00B53CEE"/>
    <w:rsid w:val="00BC03A2"/>
    <w:rsid w:val="00C4783A"/>
    <w:rsid w:val="00C57168"/>
    <w:rsid w:val="00CA02C1"/>
    <w:rsid w:val="00CA75EA"/>
    <w:rsid w:val="00D3424E"/>
    <w:rsid w:val="00D70898"/>
    <w:rsid w:val="00E028D1"/>
    <w:rsid w:val="00E64293"/>
    <w:rsid w:val="00E81B08"/>
    <w:rsid w:val="00EA5346"/>
    <w:rsid w:val="00EB63FA"/>
    <w:rsid w:val="00EE6679"/>
    <w:rsid w:val="00EF7F30"/>
    <w:rsid w:val="00F96640"/>
    <w:rsid w:val="00FE11C9"/>
    <w:rsid w:val="00FF480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34FA6"/>
  <w15:chartTrackingRefBased/>
  <w15:docId w15:val="{27148B7C-E63E-48F2-B4BD-7C3FE3FA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77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77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77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7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77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7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7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7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7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77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A77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A77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77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77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77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77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77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77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7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7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77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77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7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77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77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77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77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77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77C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A77C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77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94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63F"/>
  </w:style>
  <w:style w:type="paragraph" w:styleId="Stopka">
    <w:name w:val="footer"/>
    <w:basedOn w:val="Normalny"/>
    <w:link w:val="StopkaZnak"/>
    <w:uiPriority w:val="99"/>
    <w:unhideWhenUsed/>
    <w:rsid w:val="00894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63F"/>
  </w:style>
  <w:style w:type="paragraph" w:styleId="Poprawka">
    <w:name w:val="Revision"/>
    <w:hidden/>
    <w:uiPriority w:val="99"/>
    <w:semiHidden/>
    <w:rsid w:val="00527921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6FB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6F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6FB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3424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34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omylnaczcionkaakapitu"/>
    <w:rsid w:val="00D3424E"/>
  </w:style>
  <w:style w:type="character" w:customStyle="1" w:styleId="whitespace-normal">
    <w:name w:val="whitespace-normal"/>
    <w:basedOn w:val="Domylnaczcionkaakapitu"/>
    <w:rsid w:val="00D34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5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MPG.S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mpg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.investing.com/equities/point-grou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witter.com/PMPG_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pany/point-group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703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Starosta</dc:creator>
  <cp:keywords/>
  <dc:description/>
  <cp:lastModifiedBy>Kamil Szmytko</cp:lastModifiedBy>
  <cp:revision>5</cp:revision>
  <cp:lastPrinted>2024-12-05T13:51:00Z</cp:lastPrinted>
  <dcterms:created xsi:type="dcterms:W3CDTF">2026-04-28T14:39:00Z</dcterms:created>
  <dcterms:modified xsi:type="dcterms:W3CDTF">2026-09-24T14:22:00Z</dcterms:modified>
</cp:coreProperties>
</file>